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F22F00" w:rsidRDefault="00F22F00" w:rsidRPr="008640AE">
      <w:pPr>
        <w:autoSpaceDE w:val="0"/>
        <w:autoSpaceDN w:val="0"/>
        <w:adjustRightInd w:val="0"/>
        <w:spacing w:before="29" w:line="288" w:lineRule="auto"/>
        <w:jc w:val="left"/>
        <w:rPr>
          <w:color w:val="000000"/>
          <w:kern w:val="0"/>
          <w:sz w:val="24"/>
        </w:rPr>
      </w:pPr>
    </w:p>
    <w:p w:rsidP="005546C0" w:rsidR="00F22F00" w:rsidRDefault="00F22F00" w:rsidRPr="006A23FB">
      <w:pPr>
        <w:spacing w:before="29" w:line="288" w:lineRule="auto"/>
        <w:jc w:val="center"/>
        <w:rPr>
          <w:b/>
          <w:sz w:val="36"/>
          <w:szCs w:val="36"/>
        </w:rPr>
      </w:pPr>
      <w:r w:rsidRPr="006A23FB">
        <w:rPr>
          <w:b/>
          <w:sz w:val="36"/>
          <w:szCs w:val="36"/>
        </w:rPr>
        <w:t>交银施罗德全球自然资源证券投资基金</w:t>
      </w:r>
    </w:p>
    <w:p w:rsidP="005546C0" w:rsidR="00F22F00" w:rsidRDefault="00F22F00" w:rsidRPr="006A23FB">
      <w:pPr>
        <w:spacing w:before="29" w:line="288" w:lineRule="auto"/>
        <w:jc w:val="center"/>
        <w:rPr>
          <w:b/>
          <w:sz w:val="36"/>
          <w:szCs w:val="36"/>
        </w:rPr>
      </w:pPr>
      <w:r w:rsidRPr="006A23FB">
        <w:rPr>
          <w:b/>
          <w:sz w:val="36"/>
          <w:szCs w:val="36"/>
        </w:rPr>
        <w:t>2019年第2季度报告</w:t>
      </w:r>
    </w:p>
    <w:p w:rsidP="005546C0" w:rsidR="00397616" w:rsidRDefault="00623556" w:rsidRPr="006A23FB">
      <w:pPr>
        <w:spacing w:before="29" w:line="288" w:lineRule="auto"/>
        <w:jc w:val="center"/>
        <w:rPr>
          <w:b/>
          <w:sz w:val="36"/>
          <w:szCs w:val="36"/>
        </w:rPr>
      </w:pPr>
      <w:r w:rsidRPr="006A23FB">
        <w:rPr>
          <w:b/>
          <w:sz w:val="36"/>
          <w:szCs w:val="36"/>
        </w:rPr>
        <w:t>2019年6月30日</w:t>
      </w: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ind w:firstLine="2168" w:firstLineChars="900"/>
        <w:rPr>
          <w:b/>
          <w:color w:val="000000"/>
          <w:sz w:val="24"/>
        </w:rPr>
      </w:pP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基金管理人：</w:t>
      </w:r>
      <w:r w:rsidRPr="006A23FB">
        <w:rPr>
          <w:b/>
          <w:color w:val="000000"/>
          <w:sz w:val="24"/>
        </w:rPr>
        <w:t>交银施罗德基金管理有限公司</w:t>
      </w: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基金托管人：</w:t>
      </w:r>
      <w:r w:rsidRPr="006A23FB">
        <w:rPr>
          <w:b/>
          <w:color w:val="000000"/>
          <w:sz w:val="24"/>
        </w:rPr>
        <w:t>中国建设银行股份有限公司</w:t>
      </w:r>
    </w:p>
    <w:p w:rsidP="005546C0" w:rsidR="007D1292" w:rsidRDefault="007D1292" w:rsidRPr="006A23FB">
      <w:pPr>
        <w:spacing w:before="29" w:line="288" w:lineRule="auto"/>
        <w:ind w:firstLine="2168" w:firstLineChars="900"/>
        <w:rPr>
          <w:b/>
          <w:color w:val="000000"/>
          <w:sz w:val="24"/>
        </w:rPr>
      </w:pPr>
      <w:r w:rsidRPr="006A23FB">
        <w:rPr>
          <w:b/>
          <w:color w:val="000000"/>
          <w:sz w:val="24"/>
        </w:rPr>
        <w:t>报告送出日期：</w:t>
      </w:r>
      <w:r w:rsidR="00CB44DE" w:rsidRPr="006A23FB">
        <w:rPr>
          <w:b/>
          <w:color w:val="000000"/>
          <w:sz w:val="24"/>
        </w:rPr>
        <w:t/>
      </w:r>
      <w:r w:rsidR="00623556" w:rsidRPr="006A23FB">
        <w:rPr>
          <w:b/>
          <w:color w:val="000000"/>
          <w:sz w:val="24"/>
        </w:rPr>
        <w:t/>
      </w:r>
      <w:r w:rsidR="00CB44DE" w:rsidRPr="006A23FB">
        <w:rPr>
          <w:b/>
          <w:color w:val="000000"/>
          <w:sz w:val="24"/>
        </w:rPr>
        <w:t>二〇一九年七月十七日</w:t>
      </w:r>
    </w:p>
    <w:p w:rsidP="005546C0" w:rsidR="00CC4CB4" w:rsidRDefault="00CC4CB4" w:rsidRPr="008640AE">
      <w:pPr>
        <w:spacing w:before="29" w:line="288" w:lineRule="auto"/>
        <w:ind w:firstLine="2168" w:firstLineChars="900"/>
        <w:rPr>
          <w:b/>
          <w:color w:val="000000"/>
          <w:sz w:val="24"/>
        </w:rPr>
        <w:sectPr w:rsidR="00CC4CB4" w:rsidRPr="008640AE" w:rsidSect="00C6069A">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p>
    <w:p w:rsidP="00BB3041" w:rsidR="0076518F" w:rsidRDefault="0076518F" w:rsidRPr="008640AE">
      <w:pPr>
        <w:pStyle w:val="1"/>
        <w:spacing w:after="312" w:afterLines="100" w:before="312" w:before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基金托管人中国建设银行股份有限公司根据本基金合同规定，于2019年7月16日复核了本报告中的财务指标、净值表现和投资组合报告等内容，保证复核内容不存在虚假记载、误导性陈述或者重大遗漏。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5546C0" w:rsidR="007D1292" w:rsidRDefault="007D1292" w:rsidRPr="008640AE">
      <w:pPr>
        <w:spacing w:before="29" w:line="288" w:lineRule="auto"/>
        <w:ind w:firstLine="480" w:firstLineChars="200"/>
        <w:rPr>
          <w:color w:val="000000"/>
          <w:sz w:val="24"/>
        </w:rPr>
      </w:pPr>
      <w:r w:rsidRPr="008640AE">
        <w:rPr>
          <w:color w:val="000000"/>
          <w:sz w:val="24"/>
        </w:rPr>
        <w:t>本报告期自2019年4月1日起至6月30日止。</w:t>
      </w:r>
    </w:p>
    <w:p w:rsidP="005546C0" w:rsidR="00110D1F" w:rsidRDefault="00110D1F" w:rsidRPr="008640AE">
      <w:pPr>
        <w:spacing w:before="29" w:line="288" w:lineRule="auto"/>
        <w:ind w:firstLine="480" w:firstLineChars="200"/>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135"/>
        <w:gridCol w:w="2866"/>
        <w:gridCol w:w="2867"/>
      </w:tblGrid>
      <w:tr w:rsidR="00363E15" w:rsidRPr="008640AE" w:rsidTr="0010282F">
        <w:trPr>
          <w:jc w:val="center"/>
        </w:trPr>
        <w:tc>
          <w:tcPr>
            <w:tcW w:type="dxa" w:w="3135"/>
            <w:vAlign w:val="center"/>
          </w:tcPr>
          <w:p w:rsidP="005546C0" w:rsidR="00363E15" w:rsidRDefault="00363E15" w:rsidRPr="008640AE">
            <w:pPr>
              <w:adjustRightInd w:val="0"/>
              <w:spacing w:before="29" w:line="288" w:lineRule="auto"/>
              <w:ind w:left="17"/>
              <w:jc w:val="left"/>
              <w:rPr>
                <w:kern w:val="0"/>
                <w:sz w:val="24"/>
              </w:rPr>
            </w:pPr>
            <w:r w:rsidRPr="008640AE">
              <w:rPr>
                <w:kern w:val="0"/>
                <w:sz w:val="24"/>
              </w:rPr>
              <w:t>基金简称</w:t>
            </w:r>
          </w:p>
        </w:tc>
        <w:tc>
          <w:tcPr>
            <w:tcW w:type="dxa" w:w="5733"/>
            <w:gridSpan w:val="2"/>
            <w:vAlign w:val="center"/>
          </w:tcPr>
          <w:p w:rsidP="005546C0" w:rsidR="00363E15" w:rsidRDefault="00363E15" w:rsidRPr="008640AE">
            <w:pPr>
              <w:adjustRightInd w:val="0"/>
              <w:spacing w:before="29" w:line="288" w:lineRule="auto"/>
              <w:ind w:left="17"/>
              <w:jc w:val="left"/>
              <w:rPr>
                <w:color w:val="000000"/>
                <w:kern w:val="0"/>
                <w:sz w:val="24"/>
              </w:rPr>
            </w:pPr>
            <w:r w:rsidRPr="008640AE">
              <w:rPr>
                <w:color w:val="000000"/>
                <w:kern w:val="0"/>
                <w:sz w:val="24"/>
              </w:rPr>
              <w:t>交银全球资源混合(QDII)</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基金主代码</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type="dxa" w:w="3135"/>
            <w:vAlign w:val="center"/>
          </w:tcPr>
          <w:p w:rsidP="005546C0" w:rsidR="005837E4" w:rsidRDefault="005837E4" w:rsidRPr="008640AE">
            <w:pPr>
              <w:adjustRightInd w:val="0"/>
              <w:spacing w:before="29" w:line="288" w:lineRule="auto"/>
              <w:ind w:left="17"/>
              <w:jc w:val="left"/>
              <w:rPr>
                <w:kern w:val="0"/>
                <w:sz w:val="24"/>
              </w:rPr>
            </w:pPr>
            <w:r w:rsidRPr="008640AE">
              <w:rPr>
                <w:kern w:val="0"/>
                <w:sz w:val="24"/>
              </w:rPr>
              <w:t>交易代码</w:t>
            </w:r>
          </w:p>
        </w:tc>
        <w:tc>
          <w:tcPr>
            <w:tcW w:type="dxa" w:w="5733"/>
            <w:gridSpan w:val="2"/>
            <w:vAlign w:val="center"/>
          </w:tcPr>
          <w:p w:rsidP="005546C0" w:rsidR="005837E4" w:rsidRDefault="005837E4" w:rsidRPr="008640AE">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基金运作方式</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基金合同生效日</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2012年5月22日</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报告期末基金份额总额</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22,577,957.30</w:t>
            </w:r>
            <w:r w:rsidRPr="008640AE">
              <w:rPr>
                <w:color w:val="000000"/>
                <w:kern w:val="0"/>
                <w:sz w:val="24"/>
              </w:rPr>
              <w:t>份</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投资目标</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投资策略</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业绩比较基准</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MSCI全球原材料总收益指数收益率×65%＋MSCI全球能源总收益指数收益率×35%</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风险收益特征</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基金管理人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基金托管人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JPMorgan Chase Bank，National Association</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摩根大通银行</w:t>
            </w:r>
          </w:p>
        </w:tc>
      </w:tr>
    </w:tbl>
    <w:p w:rsidP="005546C0" w:rsidR="001C1457" w:rsidRDefault="001C1457"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jc w:val="center"/>
              <w:rPr>
                <w:kern w:val="0"/>
                <w:sz w:val="24"/>
              </w:rPr>
            </w:pPr>
            <w:r w:rsidRPr="008640AE">
              <w:rPr>
                <w:kern w:val="0"/>
                <w:sz w:val="24"/>
              </w:rPr>
              <w:t>主要财务指标</w:t>
            </w:r>
            <w:r w:rsidR="001B28D0" w:rsidRPr="008640AE">
              <w:rPr>
                <w:kern w:val="0"/>
                <w:sz w:val="24"/>
              </w:rPr>
              <w:t/>
            </w:r>
          </w:p>
        </w:tc>
        <w:tc>
          <w:tcPr>
            <w:tcW w:type="dxa" w:w="4962"/>
            <w:hMerge w:val="restart"/>
            <w:vAlign w:val="center"/>
          </w:tcPr>
          <w:p w:rsidP="005546C0" w:rsidR="000306F0" w:rsidRDefault="000306F0" w:rsidRPr="008640AE">
            <w:pPr>
              <w:adjustRightInd w:val="0"/>
              <w:spacing w:before="29" w:line="288" w:lineRule="auto"/>
              <w:ind w:left="17"/>
              <w:jc w:val="center"/>
              <w:rPr>
                <w:color w:val="000000"/>
                <w:sz w:val="24"/>
              </w:rPr>
            </w:pPr>
            <w:r w:rsidRPr="008640AE">
              <w:rPr>
                <w:color w:val="000000"/>
                <w:sz w:val="24"/>
              </w:rPr>
              <w:t>报告期</w:t>
            </w:r>
          </w:p>
          <w:p w:rsidP="005546C0" w:rsidR="007D1292" w:rsidRDefault="000306F0" w:rsidRPr="008640AE">
            <w:pPr>
              <w:adjustRightInd w:val="0"/>
              <w:spacing w:before="29" w:line="288" w:lineRule="auto"/>
              <w:ind w:left="17"/>
              <w:jc w:val="center"/>
              <w:rPr>
                <w:color w:val="000000"/>
                <w:sz w:val="24"/>
              </w:rPr>
            </w:pPr>
            <w:r w:rsidRPr="008640AE">
              <w:rPr>
                <w:color w:val="000000"/>
                <w:sz w:val="24"/>
              </w:rPr>
              <w:t>(2019年4月1日-2019年6月30日)</w:t>
            </w:r>
          </w:p>
        </w:tc>
        <w:tc>
          <w:tcPr>
            <w:tcW w:type="dxa" w:w="2410"/>
            <w:hMerge/>
            <w:vAlign w:val="center"/>
          </w:tcPr>
          <w:p w:rsidP="005546C0" w:rsidR="007D1292" w:rsidRDefault="007D1292" w:rsidRPr="008640AE">
            <w:pPr>
              <w:adjustRightInd w:val="0"/>
              <w:spacing w:before="29" w:line="288" w:lineRule="auto"/>
              <w:ind w:left="17"/>
              <w:jc w:val="center"/>
              <w:rPr>
                <w:color w:val="000000"/>
                <w:sz w:val="24"/>
              </w:rPr>
            </w:pPr>
            <w:r w:rsidRPr="008640AE">
              <w:rPr>
                <w:color w:val="000000"/>
                <w:sz w:val="24"/>
              </w:rPr>
              <w:t>上期金额</w:t>
            </w:r>
            <w:r w:rsidR="0018734E" w:rsidRPr="008640AE">
              <w:rPr>
                <w:color w:val="000000"/>
                <w:sz w:val="24"/>
              </w:rPr>
              <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-2,181,429.24</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-1,607,426.39</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-0.0558</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32,423,796.70</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trHeight w:val="158"/>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1.436</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5546C0" w:rsidR="007D1292" w:rsidRDefault="007D1292" w:rsidRPr="008640AE">
      <w:pPr>
        <w:autoSpaceDE w:val="0"/>
        <w:autoSpaceDN w:val="0"/>
        <w:adjustRightInd w:val="0"/>
        <w:spacing w:before="29" w:line="288" w:lineRule="auto"/>
        <w:jc w:val="left"/>
        <w:rPr>
          <w:color w:val="000000"/>
          <w:sz w:val="24"/>
        </w:rPr>
      </w:pPr>
      <w:r w:rsidRPr="008640AE">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P="005546C0" w:rsidR="0076518F" w:rsidRDefault="0076518F" w:rsidRPr="008640AE">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1701"/>
        <w:gridCol w:w="1194"/>
        <w:gridCol w:w="1194"/>
        <w:gridCol w:w="1194"/>
        <w:gridCol w:w="1343"/>
        <w:gridCol w:w="1194"/>
        <w:gridCol w:w="1048"/>
      </w:tblGrid>
      <w:tr w:rsidR="007D1292" w:rsidRPr="008640AE" w:rsidTr="00811B44">
        <w:trPr>
          <w:jc w:val="center"/>
        </w:trPr>
        <w:tc>
          <w:tcPr>
            <w:tcW w:type="dxa" w:w="161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阶段</w:t>
            </w:r>
            <w:r w:rsidR="00026BFF" w:rsidRPr="008640AE">
              <w:rPr>
                <w:color w:val="000000"/>
                <w:sz w:val="24"/>
              </w:rPr>
              <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type="dxa" w:w="127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type="dxa" w:w="99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tc>
          <w:tcPr>
            <w:vAlign w:val="center"/>
          </w:tcPr>
          <w:p>
            <w:pPr>
              <w:jc w:val="left"/>
            </w:pPr>
            <w:r>
              <w:rPr>
                <w:color w:val="000000"/>
                <w:sz w:val="24"/>
              </w:rPr>
              <w:t>过去三个月</w:t>
            </w:r>
          </w:p>
        </w:tc>
        <w:tc>
          <w:tcPr>
            <w:vAlign w:val="center"/>
          </w:tcPr>
          <w:p>
            <w:pPr>
              <w:jc w:val="right"/>
            </w:pPr>
            <w:r>
              <w:rPr>
                <w:color w:val="000000"/>
                <w:sz w:val="24"/>
              </w:rPr>
              <w:t>-2.84%</w:t>
            </w:r>
          </w:p>
        </w:tc>
        <w:tc>
          <w:tcPr>
            <w:vAlign w:val="center"/>
          </w:tcPr>
          <w:p>
            <w:pPr>
              <w:jc w:val="right"/>
            </w:pPr>
            <w:r>
              <w:rPr>
                <w:color w:val="000000"/>
                <w:sz w:val="24"/>
              </w:rPr>
              <w:t>0.99%</w:t>
            </w:r>
          </w:p>
        </w:tc>
        <w:tc>
          <w:tcPr>
            <w:vAlign w:val="center"/>
          </w:tcPr>
          <w:p>
            <w:pPr>
              <w:jc w:val="right"/>
            </w:pPr>
            <w:r>
              <w:rPr>
                <w:color w:val="000000"/>
                <w:sz w:val="24"/>
              </w:rPr>
              <w:t>1.72%</w:t>
            </w:r>
          </w:p>
        </w:tc>
        <w:tc>
          <w:tcPr>
            <w:vAlign w:val="center"/>
          </w:tcPr>
          <w:p>
            <w:pPr>
              <w:jc w:val="right"/>
            </w:pPr>
            <w:r>
              <w:rPr>
                <w:color w:val="000000"/>
                <w:sz w:val="24"/>
              </w:rPr>
              <w:t>0.81%</w:t>
            </w:r>
          </w:p>
        </w:tc>
        <w:tc>
          <w:tcPr>
            <w:vAlign w:val="center"/>
          </w:tcPr>
          <w:p>
            <w:pPr>
              <w:jc w:val="right"/>
            </w:pPr>
            <w:r>
              <w:rPr>
                <w:color w:val="000000"/>
                <w:sz w:val="24"/>
              </w:rPr>
              <w:t>-4.56%</w:t>
            </w:r>
          </w:p>
        </w:tc>
        <w:tc>
          <w:tcPr>
            <w:vAlign w:val="center"/>
          </w:tcPr>
          <w:p>
            <w:pPr>
              <w:jc w:val="right"/>
            </w:pPr>
            <w:r>
              <w:rPr>
                <w:color w:val="000000"/>
                <w:sz w:val="24"/>
              </w:rPr>
              <w:t>0.18%</w:t>
            </w:r>
          </w:p>
        </w:tc>
      </w:tr>
    </w:tbl>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P="005546C0" w:rsidR="00A96FD9" w:rsidRDefault="00A96FD9" w:rsidRPr="008640AE">
      <w:pPr>
        <w:spacing w:before="29" w:line="288" w:lineRule="auto"/>
        <w:jc w:val="center"/>
        <w:rPr>
          <w:sz w:val="24"/>
        </w:rPr>
      </w:pPr>
      <w:r w:rsidRPr="008640AE">
        <w:rPr>
          <w:sz w:val="24"/>
        </w:rPr>
        <w:t>交银施罗德全球自然资源证券投资基金</w:t>
      </w:r>
    </w:p>
    <w:p w:rsidP="005546C0" w:rsidR="00FB39F7" w:rsidRDefault="00F94B4D" w:rsidRPr="008640A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P="005546C0" w:rsidR="005908C0" w:rsidRDefault="005908C0" w:rsidRPr="008640AE">
      <w:pPr>
        <w:spacing w:before="29" w:line="288" w:lineRule="auto"/>
        <w:jc w:val="center"/>
        <w:rPr>
          <w:sz w:val="24"/>
        </w:rPr>
      </w:pPr>
      <w:r w:rsidRPr="008640AE">
        <w:rPr>
          <w:color w:val="000000"/>
          <w:kern w:val="0"/>
          <w:sz w:val="24"/>
        </w:rPr>
        <w:t>（</w:t>
      </w:r>
      <w:r w:rsidR="00623556" w:rsidRPr="008640AE">
        <w:rPr>
          <w:color w:val="000000"/>
          <w:kern w:val="0"/>
          <w:sz w:val="24"/>
        </w:rPr>
        <w:t>2012年5月22日</w:t>
      </w:r>
      <w:r w:rsidRPr="008640AE">
        <w:rPr>
          <w:color w:val="000000"/>
          <w:kern w:val="0"/>
          <w:sz w:val="24"/>
        </w:rPr>
        <w:t>至</w:t>
      </w:r>
      <w:r w:rsidRPr="008640AE">
        <w:rPr>
          <w:color w:val="000000"/>
          <w:kern w:val="0"/>
          <w:sz w:val="24"/>
        </w:rPr>
        <w:t>2019年6月30日</w:t>
      </w:r>
      <w:r w:rsidRPr="008640AE">
        <w:rPr>
          <w:color w:val="000000"/>
          <w:kern w:val="0"/>
          <w:sz w:val="24"/>
        </w:rPr>
        <w:t>）</w:t>
      </w:r>
    </w:p>
    <w:p w:rsidP="005546C0" w:rsidR="00A96FD9" w:rsidRDefault="00566F22" w:rsidRPr="008640AE">
      <w:pPr>
        <w:tabs>
          <w:tab w:pos="1800" w:val="left"/>
        </w:tabs>
        <w:spacing w:before="29" w:line="288" w:lineRule="auto"/>
        <w:jc w:val="center"/>
        <w:rPr>
          <w:color w:val="000000"/>
          <w:sz w:val="24"/>
        </w:rPr>
      </w:pPr>
      <w:r w:rsidRPr="008640AE">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5546C0" w:rsidR="00A96FD9" w:rsidRDefault="00A96FD9" w:rsidRPr="008640AE">
      <w:pPr>
        <w:autoSpaceDE w:val="0"/>
        <w:autoSpaceDN w:val="0"/>
        <w:adjustRightInd w:val="0"/>
        <w:spacing w:before="29" w:line="288" w:lineRule="auto"/>
        <w:jc w:val="left"/>
        <w:rPr>
          <w:color w:val="000000"/>
          <w:sz w:val="24"/>
        </w:rPr>
      </w:pPr>
      <w:r w:rsidRPr="008640AE">
        <w:rPr>
          <w:color w:val="000000"/>
          <w:sz w:val="24"/>
        </w:rPr>
        <w:t/>
      </w:r>
      <w:r w:rsidR="00FB7363" w:rsidRPr="008640AE">
        <w:rPr>
          <w:color w:val="000000"/>
          <w:sz w:val="24"/>
        </w:rPr>
        <w:t/>
      </w:r>
      <w:r w:rsidRPr="008640AE">
        <w:rPr>
          <w:color w:val="000000"/>
          <w:sz w:val="24"/>
        </w:rPr>
        <w:t>注：本基金建仓期为自基金合同生效日起的6个月。截至建仓期结束，本基金各项资产配置比例符合基金合同及招募说明书有关投资比例的约定。</w:t>
      </w:r>
    </w:p>
    <w:p w:rsidP="005546C0" w:rsidR="00EA3F21" w:rsidRDefault="00EA3F21"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7D1292" w:rsidRPr="008640AE" w:rsidTr="00811B44">
        <w:trPr>
          <w:trHeight w:val="292"/>
          <w:jc w:val="center"/>
        </w:trPr>
        <w:tc>
          <w:tcPr>
            <w:tcW w:type="dxa" w:w="851"/>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姓名</w:t>
            </w:r>
          </w:p>
        </w:tc>
        <w:tc>
          <w:tcPr>
            <w:tcW w:type="dxa" w:w="850"/>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职务</w:t>
            </w:r>
          </w:p>
        </w:tc>
        <w:tc>
          <w:tcPr>
            <w:tcW w:type="dxa" w:w="3119"/>
            <w:gridSpan w:val="2"/>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type="dxa" w:w="1417"/>
            <w:vMerge w:val="restart"/>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type="dxa" w:w="2694"/>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type="dxa" w:w="851"/>
            <w:vMerge/>
            <w:vAlign w:val="center"/>
          </w:tcPr>
          <w:p w:rsidP="005546C0" w:rsidR="007D1292" w:rsidRDefault="007D1292" w:rsidRPr="008640AE">
            <w:pPr>
              <w:widowControl/>
              <w:spacing w:before="29" w:line="288" w:lineRule="auto"/>
              <w:jc w:val="left"/>
              <w:rPr>
                <w:color w:val="000000"/>
                <w:kern w:val="0"/>
                <w:sz w:val="24"/>
              </w:rPr>
            </w:pPr>
          </w:p>
        </w:tc>
        <w:tc>
          <w:tcPr>
            <w:tcW w:type="dxa" w:w="850"/>
            <w:vMerge/>
            <w:vAlign w:val="center"/>
          </w:tcPr>
          <w:p w:rsidP="005546C0" w:rsidR="007D1292" w:rsidRDefault="007D1292" w:rsidRPr="008640AE">
            <w:pPr>
              <w:widowControl/>
              <w:spacing w:before="29" w:line="288" w:lineRule="auto"/>
              <w:jc w:val="left"/>
              <w:rPr>
                <w:color w:val="000000"/>
                <w:kern w:val="0"/>
                <w:sz w:val="24"/>
              </w:rPr>
            </w:pPr>
          </w:p>
        </w:tc>
        <w:tc>
          <w:tcPr>
            <w:tcW w:type="dxa" w:w="1560"/>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type="dxa" w:w="1559"/>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type="dxa" w:w="1417"/>
            <w:vMerge/>
            <w:vAlign w:val="center"/>
          </w:tcPr>
          <w:p w:rsidP="005546C0" w:rsidR="007D1292" w:rsidRDefault="007D1292" w:rsidRPr="008640AE">
            <w:pPr>
              <w:widowControl/>
              <w:spacing w:before="29" w:line="288" w:lineRule="auto"/>
              <w:jc w:val="left"/>
              <w:rPr>
                <w:color w:val="000000"/>
                <w:kern w:val="0"/>
                <w:sz w:val="24"/>
              </w:rPr>
            </w:pPr>
          </w:p>
        </w:tc>
        <w:tc>
          <w:tcPr>
            <w:tcW w:type="dxa" w:w="2694"/>
            <w:vMerge/>
            <w:vAlign w:val="center"/>
          </w:tcPr>
          <w:p w:rsidP="005546C0" w:rsidR="007D1292" w:rsidRDefault="007D1292" w:rsidRPr="008640AE">
            <w:pPr>
              <w:widowControl/>
              <w:spacing w:before="29" w:line="288" w:lineRule="auto"/>
              <w:jc w:val="left"/>
              <w:rPr>
                <w:color w:val="000000"/>
                <w:kern w:val="0"/>
                <w:sz w:val="24"/>
              </w:rPr>
            </w:pPr>
          </w:p>
        </w:tc>
      </w:tr>
      <w:tr>
        <w:tc>
          <w:tcPr>
            <w:vAlign w:val="center"/>
          </w:tcPr>
          <w:p>
            <w:pPr>
              <w:jc w:val="center"/>
            </w:pPr>
            <w:r>
              <w:rPr>
                <w:color w:val="000000"/>
                <w:sz w:val="24"/>
              </w:rPr>
              <w:t>陈俊华</w:t>
            </w:r>
          </w:p>
        </w:tc>
        <w:tc>
          <w:tcPr>
            <w:vAlign w:val="center"/>
          </w:tcPr>
          <w:p>
            <w:pPr>
              <w:jc w:val="center"/>
            </w:pPr>
            <w:r>
              <w:rPr>
                <w:color w:val="000000"/>
                <w:sz w:val="24"/>
              </w:rPr>
              <w:t>交银环球精选混合(QDII)、交银全球资源混合(QDII)、交银沪港深价值精选混合、交银核心资产混合的基金经理，公司跨境投资副总监</w:t>
            </w:r>
          </w:p>
        </w:tc>
        <w:tc>
          <w:tcPr>
            <w:vAlign w:val="center"/>
          </w:tcPr>
          <w:p>
            <w:pPr>
              <w:jc w:val="center"/>
            </w:pPr>
            <w:r>
              <w:rPr>
                <w:color w:val="000000"/>
                <w:sz w:val="24"/>
              </w:rPr>
              <w:t>2015-11-21</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left"/>
            </w:pPr>
            <w:r>
              <w:rPr>
                <w:color w:val="000000"/>
                <w:sz w:val="24"/>
              </w:rPr>
              <w:t>陈俊华女士，中国国籍，上海交通大学金融学硕士。历任国泰君安证券研究部研究员、中国国际金融有限公司研究部公用事业组负责人。2015年加入交银施罗德基金管理有限公司。</w:t>
            </w:r>
          </w:p>
        </w:tc>
      </w:tr>
      <w:tr>
        <w:tc>
          <w:tcPr>
            <w:vAlign w:val="center"/>
          </w:tcPr>
          <w:p>
            <w:pPr>
              <w:jc w:val="center"/>
            </w:pPr>
            <w:r>
              <w:rPr>
                <w:color w:val="000000"/>
                <w:sz w:val="24"/>
              </w:rPr>
              <w:t>周中</w:t>
            </w:r>
          </w:p>
        </w:tc>
        <w:tc>
          <w:tcPr>
            <w:vAlign w:val="center"/>
          </w:tcPr>
          <w:p>
            <w:pPr>
              <w:jc w:val="center"/>
            </w:pPr>
            <w:r>
              <w:rPr>
                <w:color w:val="000000"/>
                <w:sz w:val="24"/>
              </w:rPr>
              <w:t>交银环球精选混合(QDII)、交银全球资源混合(QDII)、交银创新成长混合的基金经理</w:t>
            </w:r>
          </w:p>
        </w:tc>
        <w:tc>
          <w:tcPr>
            <w:vAlign w:val="center"/>
          </w:tcPr>
          <w:p>
            <w:pPr>
              <w:jc w:val="center"/>
            </w:pPr>
            <w:r>
              <w:rPr>
                <w:color w:val="000000"/>
                <w:sz w:val="24"/>
              </w:rPr>
              <w:t>2015-12-12</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left"/>
            </w:pPr>
            <w:r>
              <w:rPr>
                <w:color w:val="000000"/>
                <w:sz w:val="24"/>
              </w:rPr>
              <w:t>周中先生，中国国籍，复旦大学金融学硕士。历任野村证券亚太区股票研究部研究助理，中银国际证券研究部研究员、高级经理，瑞银证券研究部行业分析师、董事。2015年加入交银施罗德基金管理有限公司。</w:t>
            </w:r>
          </w:p>
        </w:tc>
      </w:tr>
    </w:tbl>
    <w:p w:rsidP="005546C0" w:rsidR="00A47E47" w:rsidRDefault="00A47E47" w:rsidRPr="008640AE">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F077D2" w:rsidRPr="008640AE">
        <w:rPr>
          <w:b/>
          <w:color w:val="000000"/>
          <w:kern w:val="0"/>
          <w:sz w:val="24"/>
        </w:rPr>
        <w:t>2</w:t>
      </w:r>
      <w:r w:rsidR="0076518F" w:rsidRPr="008640AE">
        <w:rPr>
          <w:b/>
          <w:color w:val="000000"/>
          <w:kern w:val="0"/>
          <w:sz w:val="24"/>
        </w:rPr>
        <w:t>境外投资顾问为本基金提供投资建议的主要成员简介</w:t>
      </w:r>
    </w:p>
    <w:tbl>
      <w:tblPr>
        <w:tblStyle w:val="af7"/>
        <w:tblW w:type="dxa" w:w="8868"/>
        <w:jc w:val="center"/>
        <w:tblLayout w:type="fixed"/>
        <w:tblCellMar>
          <w:top w:type="dxa" w:w="57"/>
          <w:bottom w:type="dxa" w:w="57"/>
        </w:tblCellMar>
        <w:tblLook w:firstColumn="1" w:firstRow="1" w:lastColumn="0" w:lastRow="0" w:noHBand="0" w:noVBand="1" w:val="04A0"/>
      </w:tblPr>
      <w:tblGrid>
        <w:gridCol w:w="2070"/>
        <w:gridCol w:w="2465"/>
        <w:gridCol w:w="2116"/>
        <w:gridCol w:w="2217"/>
      </w:tblGrid>
      <w:tr w:rsidR="004061D9" w:rsidRPr="008640AE" w:rsidTr="00811B44">
        <w:trPr>
          <w:jc w:val="center"/>
        </w:trPr>
        <w:tc>
          <w:tcPr>
            <w:tcW w:type="dxa" w:w="198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type="dxa" w:w="2366"/>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type="dxa" w:w="2031"/>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type="dxa" w:w="212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tc>
          <w:tcPr>
            <w:vAlign w:val="center"/>
          </w:tcPr>
          <w:p>
            <w:pPr>
              <w:jc w:val="center"/>
            </w:pPr>
            <w:r>
              <w:rPr>
                <w:color w:val="000000"/>
                <w:sz w:val="24"/>
              </w:rPr>
              <w:t>Simon Webber</w:t>
            </w:r>
          </w:p>
        </w:tc>
        <w:tc>
          <w:tcPr>
            <w:vAlign w:val="center"/>
          </w:tcPr>
          <w:p>
            <w:pPr>
              <w:jc w:val="center"/>
            </w:pPr>
            <w:r>
              <w:rPr>
                <w:color w:val="000000"/>
                <w:sz w:val="24"/>
              </w:rPr>
              <w:t>施罗德集团多区域（全球及国际）股票投资主管、全球和国际股票基金经理、全球气候变化股票基金经理</w:t>
            </w:r>
          </w:p>
        </w:tc>
        <w:tc>
          <w:tcPr>
            <w:vAlign w:val="center"/>
          </w:tcPr>
          <w:p>
            <w:pPr>
              <w:jc w:val="center"/>
            </w:pPr>
            <w:r>
              <w:rPr>
                <w:color w:val="000000"/>
                <w:sz w:val="24"/>
              </w:rPr>
              <w:t>20年</w:t>
            </w:r>
          </w:p>
        </w:tc>
        <w:tc>
          <w:tcPr>
            <w:vAlign w:val="center"/>
          </w:tcPr>
          <w:p>
            <w:pPr>
              <w:jc w:val="left"/>
            </w:pPr>
            <w:r>
              <w:rPr>
                <w:color w:val="000000"/>
                <w:sz w:val="24"/>
              </w:rPr>
              <w:t>Simon Webber先生，英国曼彻斯特大学物理学学士，CFA。1999年加入施罗德投资管理有限公司，历任全球技术团队分析员。</w:t>
            </w:r>
          </w:p>
        </w:tc>
      </w:tr>
    </w:tbl>
    <w:p w:rsidP="005546C0" w:rsidR="00FB47E0" w:rsidRDefault="00FB47E0"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A32FDA" w:rsidRPr="008640AE">
        <w:rPr>
          <w:b/>
          <w:color w:val="000000"/>
          <w:kern w:val="0"/>
          <w:sz w:val="24"/>
        </w:rPr>
        <w:t>3</w:t>
      </w:r>
      <w:r w:rsidR="0076518F" w:rsidRPr="008640AE">
        <w:rPr>
          <w:b/>
          <w:color w:val="000000"/>
          <w:kern w:val="0"/>
          <w:sz w:val="24"/>
        </w:rPr>
        <w:t>报告期内本基金运作遵规守信情况说明</w:t>
      </w:r>
    </w:p>
    <w:p w:rsidP="005546C0" w:rsidR="00363E15" w:rsidRDefault="00363E15" w:rsidRPr="008640AE">
      <w:pPr>
        <w:spacing w:before="29" w:line="288" w:lineRule="auto"/>
        <w:ind w:firstLine="480" w:firstLineChars="20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P="005546C0" w:rsidR="00AB42E2" w:rsidRDefault="00AB42E2" w:rsidRPr="008640AE">
      <w:pPr>
        <w:spacing w:before="29" w:line="288" w:lineRule="auto"/>
        <w:rPr>
          <w:sz w:val="24"/>
        </w:rPr>
      </w:pPr>
      <w:r w:rsidRPr="008640AE">
        <w:rPr>
          <w:sz w:val="24"/>
        </w:rPr>
        <w:t>4.</w:t>
      </w:r>
      <w:r w:rsidR="00A32FDA" w:rsidRPr="008640AE">
        <w:rPr>
          <w:sz w:val="24"/>
        </w:rPr>
        <w:t>4.1</w:t>
      </w:r>
      <w:r w:rsidRPr="008640AE">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5546C0" w:rsidR="00AB42E2" w:rsidRDefault="001F3C28" w:rsidRPr="008640AE">
      <w:pPr>
        <w:spacing w:before="29" w:line="288" w:lineRule="auto"/>
        <w:ind w:firstLine="480" w:firstLineChars="200"/>
        <w:rPr>
          <w:color w:val="000000"/>
          <w:sz w:val="24"/>
        </w:rPr>
      </w:pPr>
      <w:r w:rsidRPr="008640AE">
        <w:rPr>
          <w:color w:val="000000"/>
          <w:sz w:val="24"/>
        </w:rPr>
        <w:t>报告期内本公司严格执行公平交易制度，公平对待旗下各投资组合，未发现任何违反公平交易的行为。</w:t>
      </w:r>
    </w:p>
    <w:p w:rsidP="005546C0" w:rsidR="00EA3F21" w:rsidRDefault="00EA3F21" w:rsidRPr="008640AE">
      <w:pPr>
        <w:spacing w:before="29" w:line="288" w:lineRule="auto"/>
        <w:ind w:firstLine="480" w:firstLineChars="200"/>
        <w:rPr>
          <w:color w:val="000000"/>
          <w:sz w:val="24"/>
        </w:rPr>
      </w:pPr>
    </w:p>
    <w:p w:rsidP="005546C0" w:rsidR="00AB42E2" w:rsidRDefault="00AB42E2" w:rsidRPr="008640AE">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P="005546C0" w:rsidR="001F3C28" w:rsidRDefault="001F3C28" w:rsidRPr="008640AE">
      <w:pPr>
        <w:spacing w:before="29" w:line="288" w:lineRule="auto"/>
        <w:ind w:firstLine="480" w:firstLineChars="200"/>
        <w:rPr>
          <w:color w:val="000000"/>
          <w:sz w:val="24"/>
        </w:rPr>
      </w:pPr>
      <w:r w:rsidRPr="008640AE">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5546C0" w:rsidR="0076518F" w:rsidRDefault="0076518F" w:rsidRPr="008640AE">
      <w:pPr>
        <w:autoSpaceDE w:val="0"/>
        <w:autoSpaceDN w:val="0"/>
        <w:adjustRightInd w:val="0"/>
        <w:spacing w:before="29" w:line="288" w:lineRule="auto"/>
        <w:jc w:val="left"/>
        <w:rPr>
          <w:b/>
          <w:color w:val="000000"/>
          <w:kern w:val="0"/>
          <w:sz w:val="24"/>
        </w:rPr>
      </w:pPr>
    </w:p>
    <w:p w:rsidP="005546C0" w:rsidR="00462B61" w:rsidRDefault="009D0169" w:rsidRPr="008640AE">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pPr>
        <w:spacing w:before="29" w:line="288" w:lineRule="auto"/>
        <w:ind w:firstLine="480" w:firstLineChars="200"/>
        <w:rPr>
          <w:color w:val="000000"/>
          <w:sz w:val="24"/>
        </w:rPr>
      </w:pPr>
      <w:r>
        <w:rPr>
          <w:color w:val="000000"/>
          <w:sz w:val="24"/>
        </w:rPr>
        <w:t>2019年二季度市场明显波动加大，沪深300指数下跌1.21%，但是振幅达到15%；恒生指数下跌1.75%，振幅也达12.4%。白酒、金融为代表的蓝筹股表现较好，创业板为代表的科技类个股表现较差。</w:t>
      </w:r>
    </w:p>
    <w:p>
      <w:pPr>
        <w:spacing w:before="29" w:line="288" w:lineRule="auto"/>
        <w:ind w:firstLine="480" w:firstLineChars="200"/>
        <w:rPr>
          <w:color w:val="000000"/>
          <w:sz w:val="24"/>
        </w:rPr>
      </w:pPr>
      <w:r>
        <w:rPr>
          <w:color w:val="000000"/>
          <w:sz w:val="24"/>
        </w:rPr>
        <w:t>本基金在二季度重点投资于港股的能源、建材和消费服务板块，为了规避系统性风险进行了减仓操作。</w:t>
      </w:r>
    </w:p>
    <w:p w:rsidP="005546C0" w:rsidR="00B0116D" w:rsidRDefault="00B0116D" w:rsidRPr="008640AE">
      <w:pPr>
        <w:spacing w:before="29" w:line="288" w:lineRule="auto"/>
        <w:ind w:firstLine="480" w:firstLineChars="200"/>
        <w:rPr>
          <w:color w:val="000000"/>
          <w:sz w:val="24"/>
        </w:rPr>
      </w:pPr>
      <w:r w:rsidRPr="008640AE">
        <w:rPr>
          <w:color w:val="000000"/>
          <w:sz w:val="24"/>
        </w:rPr>
        <w:t>展望2019年三季度，中美贸易战可能阶段性的缓解，但是对全球经济增长的负面影响依然存在。我们认为整体上经济下行趋势已经确立，目前海外主要央行的政策方向已经转向鸽派，我们推测未来随着流动性的改善和刺激性政策的推出，以贵金属为代表的优质资源类品种可能有比较好的表现。</w:t>
      </w:r>
    </w:p>
    <w:p w:rsidP="005546C0" w:rsidR="00FD7298" w:rsidRDefault="00B0116D" w:rsidRPr="008640AE">
      <w:pPr>
        <w:spacing w:before="29" w:line="288" w:lineRule="auto"/>
        <w:ind w:firstLine="480" w:firstLineChars="200"/>
        <w:rPr>
          <w:color w:val="000000"/>
          <w:sz w:val="24"/>
        </w:rPr>
      </w:pPr>
      <w:r w:rsidRPr="008640AE">
        <w:rPr>
          <w:color w:val="000000"/>
          <w:sz w:val="24"/>
        </w:rPr>
        <w:t>本基金（各类）份额净值及业绩表现请见“3.1 主要财务指标” 及“3.2.1本报告期基金份额净值增长率及其与同期业绩比较基准收益率的比较”部分披露。</w:t>
      </w:r>
    </w:p>
    <w:p w:rsidP="005546C0" w:rsidR="00C736BB" w:rsidRDefault="00C736BB" w:rsidRPr="008640AE">
      <w:pPr>
        <w:spacing w:before="29" w:line="288" w:lineRule="auto"/>
        <w:ind w:firstLine="480" w:firstLineChars="200"/>
        <w:rPr>
          <w:color w:val="000000"/>
          <w:sz w:val="24"/>
        </w:rPr>
      </w:pPr>
    </w:p>
    <w:p w:rsidP="00C477A2" w:rsidR="00C477A2" w:rsidRDefault="00C477A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C477A2" w:rsidR="00C477A2" w:rsidRDefault="00C477A2">
      <w:pPr>
        <w:spacing w:before="29" w:line="288" w:lineRule="auto"/>
        <w:ind w:firstLine="480" w:firstLineChars="200"/>
        <w:rPr>
          <w:color w:val="000000"/>
          <w:sz w:val="24"/>
        </w:rPr>
      </w:pPr>
      <w:r w:rsidRPr="002070B4">
        <w:rPr>
          <w:color w:val="000000"/>
          <w:sz w:val="24"/>
        </w:rPr>
        <w:lastRenderedPageBreak/>
        <w:t>本基金本报告期内连续六十个工作日出现基金资产净值低于5000万元的情形，截至本报告期末，本基金基金资产净值仍低于5000万元。</w:t>
      </w:r>
    </w:p>
    <w:p w:rsidP="005546C0" w:rsidR="00EA3F21" w:rsidRDefault="00EA3F21" w:rsidRPr="008640AE">
      <w:pPr>
        <w:spacing w:before="29" w:line="288" w:lineRule="auto"/>
        <w:ind w:firstLine="480" w:firstLineChars="200"/>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P="007977A8" w:rsidR="007977A8" w:rsidRDefault="007977A8" w:rsidRPr="007977A8">
      <w:pPr>
        <w:autoSpaceDE w:val="0"/>
        <w:autoSpaceDN w:val="0"/>
        <w:adjustRightInd w:val="0"/>
        <w:spacing w:before="29" w:line="288" w:lineRule="auto"/>
        <w:jc w:val="right"/>
        <w:rPr>
          <w:color w:val="000000"/>
          <w:kern w:val="0"/>
          <w:sz w:val="24"/>
        </w:rPr>
      </w:pPr>
      <w:r w:rsidRPr="007977A8">
        <w:rPr>
          <w:rFonts w:hint="eastAsia"/>
          <w:color w:val="000000"/>
          <w:kern w:val="0"/>
          <w:sz w:val="24"/>
        </w:rPr>
        <w:t/>
      </w:r>
      <w:r w:rsidRPr="007977A8">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05"/>
        <w:gridCol w:w="3957"/>
        <w:gridCol w:w="2644"/>
        <w:gridCol w:w="1462"/>
      </w:tblGrid>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序号</w:t>
            </w:r>
          </w:p>
        </w:tc>
        <w:tc>
          <w:tcPr>
            <w:tcW w:type="dxa" w:w="4253"/>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项目</w:t>
            </w:r>
            <w:r w:rsidR="00304106" w:rsidRPr="008640AE">
              <w:rPr>
                <w:color w:val="000000"/>
                <w:sz w:val="24"/>
              </w:rPr>
              <w:t/>
            </w:r>
          </w:p>
        </w:tc>
        <w:tc>
          <w:tcPr>
            <w:tcW w:type="dxa" w:w="283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金额</w:t>
            </w:r>
          </w:p>
        </w:tc>
        <w:tc>
          <w:tcPr>
            <w:tcW w:type="dxa" w:w="1559"/>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1</w:t>
            </w: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权益投资</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12,180,444.71</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36.75</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B0A73" w:rsidRPr="008640AE">
              <w:rPr>
                <w:color w:val="000000"/>
                <w:sz w:val="24"/>
              </w:rPr>
              <w:t/>
            </w:r>
            <w:r w:rsidRPr="008640AE">
              <w:rPr>
                <w:color w:val="000000"/>
                <w:sz w:val="24"/>
              </w:rPr>
              <w:t>12,180,444.71</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620ED" w:rsidRPr="008640AE">
              <w:rPr>
                <w:color w:val="000000"/>
                <w:sz w:val="24"/>
              </w:rPr>
              <w:t/>
            </w:r>
            <w:r w:rsidRPr="008640AE">
              <w:rPr>
                <w:color w:val="000000"/>
                <w:sz w:val="24"/>
              </w:rPr>
              <w:t>36.75</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firstLine="720" w:firstLineChars="300" w:left="17"/>
              <w:jc w:val="left"/>
              <w:rPr>
                <w:color w:val="000000"/>
                <w:sz w:val="24"/>
              </w:rPr>
            </w:pPr>
            <w:r w:rsidRPr="008640AE">
              <w:rPr>
                <w:color w:val="000000"/>
                <w:sz w:val="24"/>
              </w:rPr>
              <w:t>存托凭证</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优先股</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房地产信托</w:t>
            </w:r>
            <w:r w:rsidR="0008226F" w:rsidRPr="008640AE">
              <w:rPr>
                <w:color w:val="000000"/>
                <w:sz w:val="24"/>
              </w:rPr>
              <w:t>凭证</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lastRenderedPageBreak/>
              <w:t>2</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基金投资</w:t>
            </w:r>
          </w:p>
        </w:tc>
        <w:tc>
          <w:tcPr>
            <w:tcW w:type="dxa" w:w="2835"/>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3</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固定收益投资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00900F02" w:rsidRPr="008640AE">
              <w:rPr>
                <w:color w:val="000000"/>
                <w:sz w:val="24"/>
              </w:rPr>
              <w:t/>
            </w: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其中：债券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utoSpaceDE w:val="0"/>
              <w:autoSpaceDN w:val="0"/>
              <w:adjustRightInd w:val="0"/>
              <w:spacing w:before="29" w:line="288" w:lineRule="auto"/>
              <w:ind w:firstLine="720" w:firstLineChars="300" w:left="17"/>
              <w:jc w:val="left"/>
              <w:rPr>
                <w:color w:val="000000"/>
                <w:sz w:val="24"/>
              </w:rPr>
            </w:pPr>
            <w:r w:rsidRPr="008640AE">
              <w:rPr>
                <w:color w:val="000000"/>
                <w:sz w:val="24"/>
              </w:rPr>
              <w:t>资产支持证券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4</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金融衍生品投资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其中：远期</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Del="00455464"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期货</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期权</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15" w:firstLineChars="298"/>
              <w:rPr>
                <w:color w:val="000000"/>
                <w:sz w:val="24"/>
              </w:rPr>
            </w:pPr>
            <w:r w:rsidRPr="008640AE">
              <w:rPr>
                <w:color w:val="000000"/>
                <w:sz w:val="24"/>
              </w:rPr>
              <w:t>权证</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5</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其中：买断式回购的买入返售金融资产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6</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货币市场工具</w:t>
            </w:r>
          </w:p>
        </w:tc>
        <w:tc>
          <w:tcPr>
            <w:tcW w:type="dxa" w:w="2835"/>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7</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银行存款和结算备付金合计</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20,769,772.89</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62.66</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
            </w:r>
            <w:r w:rsidR="00466B17" w:rsidRPr="008640AE">
              <w:rPr>
                <w:color w:val="000000"/>
                <w:sz w:val="24"/>
              </w:rPr>
              <w:t/>
            </w:r>
            <w:r w:rsidRPr="008640AE">
              <w:rPr>
                <w:color w:val="000000"/>
                <w:sz w:val="24"/>
              </w:rPr>
              <w:t>8</w:t>
            </w:r>
          </w:p>
        </w:tc>
        <w:tc>
          <w:tcPr>
            <w:tcW w:type="dxa" w:w="4253"/>
            <w:shd w:color="auto" w:fill="auto" w:val="clear"/>
            <w:vAlign w:val="center"/>
          </w:tcPr>
          <w:p w:rsidP="005546C0" w:rsidR="00E462F4" w:rsidRDefault="001303FF" w:rsidRPr="008640AE">
            <w:pPr>
              <w:spacing w:before="29" w:line="288" w:lineRule="auto"/>
              <w:jc w:val="left"/>
              <w:rPr>
                <w:sz w:val="24"/>
              </w:rPr>
            </w:pPr>
            <w:r w:rsidRPr="008640AE">
              <w:rPr>
                <w:color w:val="000000"/>
                <w:sz w:val="24"/>
              </w:rPr>
              <w:t>其他</w:t>
            </w:r>
            <w:r w:rsidR="0066673A">
              <w:rPr>
                <w:rFonts w:hint="eastAsia"/>
                <w:color w:val="000000"/>
                <w:sz w:val="24"/>
              </w:rPr>
              <w:t>各项</w:t>
            </w:r>
            <w:bookmarkStart w:id="2" w:name="_GoBack"/>
            <w:bookmarkEnd w:id="2"/>
            <w:r w:rsidR="00E462F4" w:rsidRPr="008640AE">
              <w:rPr>
                <w:color w:val="000000"/>
                <w:sz w:val="24"/>
              </w:rPr>
              <w:t>资产</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195,124.03</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0.59</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00466B17" w:rsidRPr="008640AE">
              <w:rPr>
                <w:color w:val="000000"/>
                <w:sz w:val="24"/>
              </w:rPr>
              <w:t/>
            </w:r>
            <w:r w:rsidRPr="008640AE">
              <w:rPr>
                <w:color w:val="000000"/>
                <w:sz w:val="24"/>
              </w:rPr>
              <w:t>9</w:t>
            </w:r>
          </w:p>
        </w:tc>
        <w:tc>
          <w:tcPr>
            <w:tcW w:type="dxa" w:w="4253"/>
            <w:shd w:color="auto" w:fill="auto" w:val="clear"/>
            <w:vAlign w:val="center"/>
          </w:tcPr>
          <w:p w:rsidP="005546C0" w:rsidR="00E462F4" w:rsidRDefault="00E462F4" w:rsidRPr="008640AE">
            <w:pPr>
              <w:spacing w:before="29" w:line="288" w:lineRule="auto"/>
              <w:jc w:val="left"/>
              <w:rPr>
                <w:sz w:val="24"/>
              </w:rPr>
            </w:pPr>
            <w:r w:rsidRPr="008640AE">
              <w:rPr>
                <w:color w:val="000000"/>
                <w:sz w:val="24"/>
              </w:rPr>
              <w:t>合计</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33,145,341.63</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100.00</w:t>
            </w:r>
          </w:p>
        </w:tc>
      </w:tr>
    </w:tbl>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P="009F647F" w:rsidR="009F647F" w:rsidRDefault="009F647F" w:rsidRPr="009F647F">
      <w:pPr>
        <w:autoSpaceDE w:val="0"/>
        <w:autoSpaceDN w:val="0"/>
        <w:adjustRightInd w:val="0"/>
        <w:spacing w:before="29" w:line="288" w:lineRule="auto"/>
        <w:jc w:val="right"/>
        <w:rPr>
          <w:color w:val="000000"/>
          <w:kern w:val="0"/>
          <w:sz w:val="24"/>
        </w:rPr>
      </w:pPr>
      <w:r w:rsidRPr="009F647F">
        <w:rPr>
          <w:rFonts w:hint="eastAsia"/>
          <w:color w:val="000000"/>
          <w:kern w:val="0"/>
          <w:sz w:val="24"/>
        </w:rPr>
        <w:t/>
      </w:r>
      <w:r w:rsidRPr="009F647F">
        <w:rPr>
          <w:rFonts w:hint="eastAsia"/>
          <w:color w:val="000000"/>
          <w:kern w:val="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2484"/>
        <w:gridCol w:w="3214"/>
        <w:gridCol w:w="3170"/>
      </w:tblGrid>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type="dxa" w:w="3118"/>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type="dxa" w:w="3076"/>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香港</w:t>
            </w:r>
          </w:p>
        </w:tc>
        <w:tc>
          <w:tcPr>
            <w:vAlign w:val="center"/>
          </w:tcPr>
          <w:p>
            <w:pPr>
              <w:jc w:val="right"/>
            </w:pPr>
            <w:r>
              <w:rPr>
                <w:color w:val="000000"/>
                <w:sz w:val="24"/>
              </w:rPr>
              <w:t>12,180,444.71</w:t>
            </w:r>
          </w:p>
        </w:tc>
        <w:tc>
          <w:tcPr>
            <w:vAlign w:val="center"/>
          </w:tcPr>
          <w:p>
            <w:pPr>
              <w:jc w:val="right"/>
            </w:pPr>
            <w:r>
              <w:rPr>
                <w:color w:val="000000"/>
                <w:sz w:val="24"/>
              </w:rPr>
              <w:t>37.57</w:t>
            </w:r>
          </w:p>
        </w:tc>
      </w:tr>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jc w:val="left"/>
              <w:rPr>
                <w:color w:val="000000"/>
                <w:sz w:val="24"/>
              </w:rPr>
            </w:pPr>
            <w:r w:rsidRPr="008640AE">
              <w:rPr>
                <w:color w:val="000000"/>
                <w:sz w:val="24"/>
              </w:rPr>
              <w:t>合计</w:t>
            </w:r>
          </w:p>
        </w:tc>
        <w:tc>
          <w:tcPr>
            <w:tcW w:type="dxa" w:w="3118"/>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12,180,444.71</w:t>
            </w:r>
          </w:p>
        </w:tc>
        <w:tc>
          <w:tcPr>
            <w:tcW w:type="dxa" w:w="3076"/>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37.57</w:t>
            </w:r>
          </w:p>
        </w:tc>
      </w:tr>
    </w:tbl>
    <w:p>
      <w:pPr>
        <w:autoSpaceDE w:val="0"/>
        <w:autoSpaceDN w:val="0"/>
        <w:adjustRightInd w:val="0"/>
        <w:spacing w:before="29" w:line="288" w:lineRule="auto"/>
        <w:jc w:val="left"/>
        <w:rPr>
          <w:color w:val="000000"/>
          <w:sz w:val="24"/>
        </w:rPr>
      </w:pPr>
      <w:r>
        <w:rPr>
          <w:color w:val="000000"/>
          <w:sz w:val="24"/>
        </w:rPr>
        <w:t>注：1、国家（地区）类别根据其所在的证券交易所确定；</w:t>
      </w:r>
    </w:p>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 xml:space="preserve">    2、ADR、GDR按照存托凭证本身挂牌的证券交易所确定。</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C37E98"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P="00DB3862" w:rsidR="00DB3862" w:rsidRDefault="00DB3862" w:rsidRPr="00DB3862">
      <w:pPr>
        <w:autoSpaceDE w:val="0"/>
        <w:autoSpaceDN w:val="0"/>
        <w:adjustRightInd w:val="0"/>
        <w:spacing w:before="29" w:line="288" w:lineRule="auto"/>
        <w:jc w:val="right"/>
        <w:rPr>
          <w:color w:val="000000"/>
          <w:kern w:val="0"/>
          <w:sz w:val="24"/>
        </w:rPr>
      </w:pPr>
      <w:r w:rsidRPr="00DB3862">
        <w:rPr>
          <w:rFonts w:hint="eastAsia"/>
          <w:color w:val="000000"/>
          <w:kern w:val="0"/>
          <w:sz w:val="24"/>
        </w:rPr>
        <w:t/>
      </w:r>
      <w:r w:rsidRPr="00DB3862">
        <w:rPr>
          <w:rFonts w:hint="eastAsia"/>
          <w:color w:val="000000"/>
          <w:kern w:val="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2904"/>
        <w:gridCol w:w="2657"/>
        <w:gridCol w:w="3307"/>
      </w:tblGrid>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r w:rsidR="00304E97" w:rsidRPr="008640AE">
              <w:rPr>
                <w:color w:val="000000"/>
                <w:kern w:val="0"/>
                <w:sz w:val="24"/>
              </w:rPr>
              <w:t/>
            </w:r>
          </w:p>
        </w:tc>
        <w:tc>
          <w:tcPr>
            <w:tcW w:type="dxa" w:w="2551"/>
            <w:vAlign w:val="center"/>
          </w:tcPr>
          <w:p w:rsidP="005546C0" w:rsidR="00C37E98" w:rsidRDefault="00DB3862" w:rsidRPr="008640AE">
            <w:pPr>
              <w:autoSpaceDE w:val="0"/>
              <w:autoSpaceDN w:val="0"/>
              <w:adjustRightInd w:val="0"/>
              <w:spacing w:before="29" w:line="288" w:lineRule="auto"/>
              <w:ind w:left="15"/>
              <w:jc w:val="center"/>
              <w:rPr>
                <w:color w:val="000000"/>
                <w:kern w:val="0"/>
                <w:sz w:val="24"/>
              </w:rPr>
            </w:pPr>
            <w:r>
              <w:rPr>
                <w:color w:val="000000"/>
                <w:kern w:val="0"/>
                <w:sz w:val="24"/>
              </w:rPr>
              <w:t>公允价值</w:t>
            </w:r>
          </w:p>
        </w:tc>
        <w:tc>
          <w:tcPr>
            <w:tcW w:type="dxa" w:w="3175"/>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材料</w:t>
            </w:r>
          </w:p>
        </w:tc>
        <w:tc>
          <w:tcPr>
            <w:vAlign w:val="center"/>
          </w:tcPr>
          <w:p>
            <w:pPr>
              <w:jc w:val="right"/>
            </w:pPr>
            <w:r>
              <w:rPr>
                <w:color w:val="000000"/>
                <w:sz w:val="24"/>
              </w:rPr>
              <w:t>4,171,102.19</w:t>
            </w:r>
          </w:p>
        </w:tc>
        <w:tc>
          <w:tcPr>
            <w:vAlign w:val="center"/>
          </w:tcPr>
          <w:p>
            <w:pPr>
              <w:jc w:val="right"/>
            </w:pPr>
            <w:r>
              <w:rPr>
                <w:color w:val="000000"/>
                <w:sz w:val="24"/>
              </w:rPr>
              <w:t>12.86</w:t>
            </w:r>
          </w:p>
        </w:tc>
      </w:tr>
      <w:tr>
        <w:tc>
          <w:tcPr>
            <w:vAlign w:val="center"/>
          </w:tcPr>
          <w:p>
            <w:pPr>
              <w:jc w:val="left"/>
            </w:pPr>
            <w:r>
              <w:rPr>
                <w:color w:val="000000"/>
                <w:sz w:val="24"/>
              </w:rPr>
              <w:t>信息技术</w:t>
            </w:r>
          </w:p>
        </w:tc>
        <w:tc>
          <w:tcPr>
            <w:vAlign w:val="center"/>
          </w:tcPr>
          <w:p>
            <w:pPr>
              <w:jc w:val="right"/>
            </w:pPr>
            <w:r>
              <w:rPr>
                <w:color w:val="000000"/>
                <w:sz w:val="24"/>
              </w:rPr>
              <w:t>2,465,710.99</w:t>
            </w:r>
          </w:p>
        </w:tc>
        <w:tc>
          <w:tcPr>
            <w:vAlign w:val="center"/>
          </w:tcPr>
          <w:p>
            <w:pPr>
              <w:jc w:val="right"/>
            </w:pPr>
            <w:r>
              <w:rPr>
                <w:color w:val="000000"/>
                <w:sz w:val="24"/>
              </w:rPr>
              <w:t>7.60</w:t>
            </w:r>
          </w:p>
        </w:tc>
      </w:tr>
      <w:tr>
        <w:tc>
          <w:tcPr>
            <w:vAlign w:val="center"/>
          </w:tcPr>
          <w:p>
            <w:pPr>
              <w:jc w:val="left"/>
            </w:pPr>
            <w:r>
              <w:rPr>
                <w:color w:val="000000"/>
                <w:sz w:val="24"/>
              </w:rPr>
              <w:t>能源</w:t>
            </w:r>
          </w:p>
        </w:tc>
        <w:tc>
          <w:tcPr>
            <w:vAlign w:val="center"/>
          </w:tcPr>
          <w:p>
            <w:pPr>
              <w:jc w:val="right"/>
            </w:pPr>
            <w:r>
              <w:rPr>
                <w:color w:val="000000"/>
                <w:sz w:val="24"/>
              </w:rPr>
              <w:t>1,377,814.74</w:t>
            </w:r>
          </w:p>
        </w:tc>
        <w:tc>
          <w:tcPr>
            <w:vAlign w:val="center"/>
          </w:tcPr>
          <w:p>
            <w:pPr>
              <w:jc w:val="right"/>
            </w:pPr>
            <w:r>
              <w:rPr>
                <w:color w:val="000000"/>
                <w:sz w:val="24"/>
              </w:rPr>
              <w:t>4.25</w:t>
            </w:r>
          </w:p>
        </w:tc>
      </w:tr>
      <w:tr>
        <w:tc>
          <w:tcPr>
            <w:vAlign w:val="center"/>
          </w:tcPr>
          <w:p>
            <w:pPr>
              <w:jc w:val="left"/>
            </w:pPr>
            <w:r>
              <w:rPr>
                <w:color w:val="000000"/>
                <w:sz w:val="24"/>
              </w:rPr>
              <w:t>工业</w:t>
            </w:r>
          </w:p>
        </w:tc>
        <w:tc>
          <w:tcPr>
            <w:vAlign w:val="center"/>
          </w:tcPr>
          <w:p>
            <w:pPr>
              <w:jc w:val="right"/>
            </w:pPr>
            <w:r>
              <w:rPr>
                <w:color w:val="000000"/>
                <w:sz w:val="24"/>
              </w:rPr>
              <w:t>1,287,509.52</w:t>
            </w:r>
          </w:p>
        </w:tc>
        <w:tc>
          <w:tcPr>
            <w:vAlign w:val="center"/>
          </w:tcPr>
          <w:p>
            <w:pPr>
              <w:jc w:val="right"/>
            </w:pPr>
            <w:r>
              <w:rPr>
                <w:color w:val="000000"/>
                <w:sz w:val="24"/>
              </w:rPr>
              <w:t>3.97</w:t>
            </w:r>
          </w:p>
        </w:tc>
      </w:tr>
      <w:tr>
        <w:tc>
          <w:tcPr>
            <w:vAlign w:val="center"/>
          </w:tcPr>
          <w:p>
            <w:pPr>
              <w:jc w:val="left"/>
            </w:pPr>
            <w:r>
              <w:rPr>
                <w:color w:val="000000"/>
                <w:sz w:val="24"/>
              </w:rPr>
              <w:t>房地产</w:t>
            </w:r>
          </w:p>
        </w:tc>
        <w:tc>
          <w:tcPr>
            <w:vAlign w:val="center"/>
          </w:tcPr>
          <w:p>
            <w:pPr>
              <w:jc w:val="right"/>
            </w:pPr>
            <w:r>
              <w:rPr>
                <w:color w:val="000000"/>
                <w:sz w:val="24"/>
              </w:rPr>
              <w:t>1,254,239.17</w:t>
            </w:r>
          </w:p>
        </w:tc>
        <w:tc>
          <w:tcPr>
            <w:vAlign w:val="center"/>
          </w:tcPr>
          <w:p>
            <w:pPr>
              <w:jc w:val="right"/>
            </w:pPr>
            <w:r>
              <w:rPr>
                <w:color w:val="000000"/>
                <w:sz w:val="24"/>
              </w:rPr>
              <w:t>3.87</w:t>
            </w:r>
          </w:p>
        </w:tc>
      </w:tr>
      <w:tr>
        <w:tc>
          <w:tcPr>
            <w:vAlign w:val="center"/>
          </w:tcPr>
          <w:p>
            <w:pPr>
              <w:jc w:val="left"/>
            </w:pPr>
            <w:r>
              <w:rPr>
                <w:color w:val="000000"/>
                <w:sz w:val="24"/>
              </w:rPr>
              <w:t>公共事业</w:t>
            </w:r>
          </w:p>
        </w:tc>
        <w:tc>
          <w:tcPr>
            <w:vAlign w:val="center"/>
          </w:tcPr>
          <w:p>
            <w:pPr>
              <w:jc w:val="right"/>
            </w:pPr>
            <w:r>
              <w:rPr>
                <w:color w:val="000000"/>
                <w:sz w:val="24"/>
              </w:rPr>
              <w:t>1,087,887.45</w:t>
            </w:r>
          </w:p>
        </w:tc>
        <w:tc>
          <w:tcPr>
            <w:vAlign w:val="center"/>
          </w:tcPr>
          <w:p>
            <w:pPr>
              <w:jc w:val="right"/>
            </w:pPr>
            <w:r>
              <w:rPr>
                <w:color w:val="000000"/>
                <w:sz w:val="24"/>
              </w:rPr>
              <w:t>3.36</w:t>
            </w:r>
          </w:p>
        </w:tc>
      </w:tr>
      <w:tr>
        <w:tc>
          <w:tcPr>
            <w:vAlign w:val="center"/>
          </w:tcPr>
          <w:p>
            <w:pPr>
              <w:jc w:val="left"/>
            </w:pPr>
            <w:r>
              <w:rPr>
                <w:color w:val="000000"/>
                <w:sz w:val="24"/>
              </w:rPr>
              <w:t>保健</w:t>
            </w:r>
          </w:p>
        </w:tc>
        <w:tc>
          <w:tcPr>
            <w:vAlign w:val="center"/>
          </w:tcPr>
          <w:p>
            <w:pPr>
              <w:jc w:val="right"/>
            </w:pPr>
            <w:r>
              <w:rPr>
                <w:color w:val="000000"/>
                <w:sz w:val="24"/>
              </w:rPr>
              <w:t>536,180.65</w:t>
            </w:r>
          </w:p>
        </w:tc>
        <w:tc>
          <w:tcPr>
            <w:vAlign w:val="center"/>
          </w:tcPr>
          <w:p>
            <w:pPr>
              <w:jc w:val="right"/>
            </w:pPr>
            <w:r>
              <w:rPr>
                <w:color w:val="000000"/>
                <w:sz w:val="24"/>
              </w:rPr>
              <w:t>1.65</w:t>
            </w:r>
          </w:p>
        </w:tc>
      </w:tr>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left"/>
              <w:rPr>
                <w:color w:val="000000"/>
                <w:sz w:val="24"/>
              </w:rPr>
            </w:pPr>
            <w:r w:rsidRPr="008640AE">
              <w:rPr>
                <w:color w:val="000000"/>
                <w:sz w:val="24"/>
              </w:rPr>
              <w:lastRenderedPageBreak/>
              <w:t>合计</w:t>
            </w:r>
          </w:p>
        </w:tc>
        <w:tc>
          <w:tcPr>
            <w:tcW w:type="dxa" w:w="2551"/>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12,180,444.71</w:t>
            </w:r>
          </w:p>
        </w:tc>
        <w:tc>
          <w:tcPr>
            <w:tcW w:type="dxa" w:w="3175"/>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37.57</w:t>
            </w:r>
          </w:p>
        </w:tc>
      </w:tr>
    </w:tbl>
    <w:p w:rsidP="005546C0" w:rsidR="005B6AC7" w:rsidRDefault="00363E15" w:rsidRPr="008640AE">
      <w:pPr>
        <w:autoSpaceDE w:val="0"/>
        <w:autoSpaceDN w:val="0"/>
        <w:adjustRightInd w:val="0"/>
        <w:spacing w:before="29" w:line="288" w:lineRule="auto"/>
        <w:jc w:val="left"/>
        <w:rPr>
          <w:color w:val="000000"/>
          <w:sz w:val="24"/>
        </w:rPr>
      </w:pPr>
      <w:r w:rsidRPr="008640AE">
        <w:rPr>
          <w:color w:val="000000"/>
          <w:sz w:val="24"/>
        </w:rPr>
        <w:t/>
      </w:r>
      <w:r w:rsidR="000A521D" w:rsidRPr="008640AE">
        <w:rPr>
          <w:color w:val="000000"/>
          <w:sz w:val="24"/>
        </w:rPr>
        <w:t>注：以上分类采用全球行业分类标准（GICS）。</w:t>
      </w:r>
    </w:p>
    <w:p w:rsidP="005546C0" w:rsidR="000A521D" w:rsidRDefault="000A521D" w:rsidRPr="008640AE">
      <w:pPr>
        <w:autoSpaceDE w:val="0"/>
        <w:autoSpaceDN w:val="0"/>
        <w:adjustRightInd w:val="0"/>
        <w:spacing w:before="29" w:line="288" w:lineRule="auto"/>
        <w:jc w:val="left"/>
        <w:rPr>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type="auto" w:w="0"/>
        <w:jc w:val="center"/>
        <w:tblLayout w:type="fixed"/>
        <w:tblCellMar>
          <w:top w:type="dxa" w:w="57"/>
          <w:bottom w:type="dxa" w:w="57"/>
        </w:tblCellMar>
        <w:tblLook w:firstColumn="1" w:firstRow="1" w:lastColumn="0" w:lastRow="0" w:noHBand="0" w:noVBand="1" w:val="04A0"/>
      </w:tblPr>
      <w:tblGrid>
        <w:gridCol w:w="1243"/>
        <w:gridCol w:w="971"/>
        <w:gridCol w:w="993"/>
        <w:gridCol w:w="725"/>
        <w:gridCol w:w="747"/>
        <w:gridCol w:w="975"/>
        <w:gridCol w:w="1175"/>
        <w:gridCol w:w="975"/>
        <w:gridCol w:w="1175"/>
      </w:tblGrid>
      <w:tr w:rsidR="001C7D5D" w:rsidRPr="00293A87" w:rsidTr="00811B44">
        <w:trPr>
          <w:jc w:val="center"/>
        </w:trPr>
        <w:tc>
          <w:tcPr>
            <w:tcW w:type="dxa" w:w="1243"/>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type="dxa" w:w="971"/>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公司名称（英文）</w:t>
            </w:r>
          </w:p>
        </w:tc>
        <w:tc>
          <w:tcPr>
            <w:tcW w:type="dxa" w:w="993"/>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公司名称（中文）</w:t>
            </w:r>
          </w:p>
        </w:tc>
        <w:tc>
          <w:tcPr>
            <w:tcW w:type="dxa" w:w="725"/>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证券代码</w:t>
            </w:r>
          </w:p>
        </w:tc>
        <w:tc>
          <w:tcPr>
            <w:tcW w:type="dxa" w:w="747"/>
            <w:vAlign w:val="center"/>
          </w:tcPr>
          <w:p w:rsidP="005546C0" w:rsidR="001C7D5D" w:rsidRDefault="009B6E8F"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Anhui Conch Cement Company Limited</w:t>
            </w:r>
          </w:p>
        </w:tc>
        <w:tc>
          <w:tcPr>
            <w:vAlign w:val="center"/>
          </w:tcPr>
          <w:p>
            <w:pPr>
              <w:jc w:val="center"/>
            </w:pPr>
            <w:r>
              <w:rPr>
                <w:color w:val="000000"/>
                <w:sz w:val="24"/>
              </w:rPr>
              <w:t>安徽海螺水泥股份有限公司</w:t>
            </w:r>
          </w:p>
        </w:tc>
        <w:tc>
          <w:tcPr>
            <w:vAlign w:val="center"/>
          </w:tcPr>
          <w:p>
            <w:pPr>
              <w:jc w:val="center"/>
            </w:pPr>
            <w:r>
              <w:rPr>
                <w:color w:val="000000"/>
                <w:sz w:val="24"/>
              </w:rPr>
              <w:t>914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39,500</w:t>
            </w:r>
          </w:p>
        </w:tc>
        <w:tc>
          <w:tcPr>
            <w:vAlign w:val="center"/>
          </w:tcPr>
          <w:p>
            <w:pPr>
              <w:jc w:val="right"/>
            </w:pPr>
            <w:r>
              <w:rPr>
                <w:color w:val="000000"/>
                <w:sz w:val="24"/>
              </w:rPr>
              <w:t>1,701,826.52</w:t>
            </w:r>
          </w:p>
        </w:tc>
        <w:tc>
          <w:tcPr>
            <w:vAlign w:val="center"/>
          </w:tcPr>
          <w:p>
            <w:pPr>
              <w:jc w:val="right"/>
            </w:pPr>
            <w:r>
              <w:rPr>
                <w:color w:val="000000"/>
                <w:sz w:val="24"/>
              </w:rPr>
              <w:t>5.25</w:t>
            </w:r>
          </w:p>
        </w:tc>
      </w:tr>
      <w:tr>
        <w:tc>
          <w:tcPr>
            <w:vAlign w:val="center"/>
          </w:tcPr>
          <w:p>
            <w:pPr>
              <w:jc w:val="center"/>
            </w:pPr>
            <w:r>
              <w:rPr>
                <w:color w:val="000000"/>
                <w:sz w:val="24"/>
              </w:rPr>
              <w:t>2</w:t>
            </w:r>
          </w:p>
        </w:tc>
        <w:tc>
          <w:tcPr>
            <w:vAlign w:val="center"/>
          </w:tcPr>
          <w:p>
            <w:pPr>
              <w:jc w:val="center"/>
            </w:pPr>
            <w:r>
              <w:rPr>
                <w:color w:val="000000"/>
                <w:sz w:val="24"/>
              </w:rPr>
              <w:t>China National Building Material Company Limited</w:t>
            </w:r>
          </w:p>
        </w:tc>
        <w:tc>
          <w:tcPr>
            <w:vAlign w:val="center"/>
          </w:tcPr>
          <w:p>
            <w:pPr>
              <w:jc w:val="center"/>
            </w:pPr>
            <w:r>
              <w:rPr>
                <w:color w:val="000000"/>
                <w:sz w:val="24"/>
              </w:rPr>
              <w:t>中国建材股份有限公司</w:t>
            </w:r>
          </w:p>
        </w:tc>
        <w:tc>
          <w:tcPr>
            <w:vAlign w:val="center"/>
          </w:tcPr>
          <w:p>
            <w:pPr>
              <w:jc w:val="center"/>
            </w:pPr>
            <w:r>
              <w:rPr>
                <w:color w:val="000000"/>
                <w:sz w:val="24"/>
              </w:rPr>
              <w:t>3323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242,000</w:t>
            </w:r>
          </w:p>
        </w:tc>
        <w:tc>
          <w:tcPr>
            <w:vAlign w:val="center"/>
          </w:tcPr>
          <w:p>
            <w:pPr>
              <w:jc w:val="right"/>
            </w:pPr>
            <w:r>
              <w:rPr>
                <w:color w:val="000000"/>
                <w:sz w:val="24"/>
              </w:rPr>
              <w:t>1,459,054.23</w:t>
            </w:r>
          </w:p>
        </w:tc>
        <w:tc>
          <w:tcPr>
            <w:vAlign w:val="center"/>
          </w:tcPr>
          <w:p>
            <w:pPr>
              <w:jc w:val="right"/>
            </w:pPr>
            <w:r>
              <w:rPr>
                <w:color w:val="000000"/>
                <w:sz w:val="24"/>
              </w:rPr>
              <w:t>4.50</w:t>
            </w:r>
          </w:p>
        </w:tc>
      </w:tr>
      <w:tr>
        <w:tc>
          <w:tcPr>
            <w:vAlign w:val="center"/>
          </w:tcPr>
          <w:p>
            <w:pPr>
              <w:jc w:val="center"/>
            </w:pPr>
            <w:r>
              <w:rPr>
                <w:color w:val="000000"/>
                <w:sz w:val="24"/>
              </w:rPr>
              <w:t>3</w:t>
            </w:r>
          </w:p>
        </w:tc>
        <w:tc>
          <w:tcPr>
            <w:vAlign w:val="center"/>
          </w:tcPr>
          <w:p>
            <w:pPr>
              <w:jc w:val="center"/>
            </w:pPr>
            <w:r>
              <w:rPr>
                <w:color w:val="000000"/>
                <w:sz w:val="24"/>
              </w:rPr>
              <w:t>China Conch Venture Holdings Limited</w:t>
            </w:r>
          </w:p>
        </w:tc>
        <w:tc>
          <w:tcPr>
            <w:vAlign w:val="center"/>
          </w:tcPr>
          <w:p>
            <w:pPr>
              <w:jc w:val="center"/>
            </w:pPr>
            <w:r>
              <w:rPr>
                <w:color w:val="000000"/>
                <w:sz w:val="24"/>
              </w:rPr>
              <w:t>中国海螺创业控股有限公司</w:t>
            </w:r>
          </w:p>
        </w:tc>
        <w:tc>
          <w:tcPr>
            <w:vAlign w:val="center"/>
          </w:tcPr>
          <w:p>
            <w:pPr>
              <w:jc w:val="center"/>
            </w:pPr>
            <w:r>
              <w:rPr>
                <w:color w:val="000000"/>
                <w:sz w:val="24"/>
              </w:rPr>
              <w:t>586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53,000</w:t>
            </w:r>
          </w:p>
        </w:tc>
        <w:tc>
          <w:tcPr>
            <w:vAlign w:val="center"/>
          </w:tcPr>
          <w:p>
            <w:pPr>
              <w:jc w:val="right"/>
            </w:pPr>
            <w:r>
              <w:rPr>
                <w:color w:val="000000"/>
                <w:sz w:val="24"/>
              </w:rPr>
              <w:t>1,287,509.52</w:t>
            </w:r>
          </w:p>
        </w:tc>
        <w:tc>
          <w:tcPr>
            <w:vAlign w:val="center"/>
          </w:tcPr>
          <w:p>
            <w:pPr>
              <w:jc w:val="right"/>
            </w:pPr>
            <w:r>
              <w:rPr>
                <w:color w:val="000000"/>
                <w:sz w:val="24"/>
              </w:rPr>
              <w:t>3.97</w:t>
            </w:r>
          </w:p>
        </w:tc>
      </w:tr>
      <w:tr>
        <w:tc>
          <w:tcPr>
            <w:vAlign w:val="center"/>
          </w:tcPr>
          <w:p>
            <w:pPr>
              <w:jc w:val="center"/>
            </w:pPr>
            <w:r>
              <w:rPr>
                <w:color w:val="000000"/>
                <w:sz w:val="24"/>
              </w:rPr>
              <w:t>4</w:t>
            </w:r>
          </w:p>
        </w:tc>
        <w:tc>
          <w:tcPr>
            <w:vAlign w:val="center"/>
          </w:tcPr>
          <w:p>
            <w:pPr>
              <w:jc w:val="center"/>
            </w:pPr>
            <w:r>
              <w:rPr>
                <w:color w:val="000000"/>
                <w:sz w:val="24"/>
              </w:rPr>
              <w:t>China Jinmao Holdings Group Limited</w:t>
            </w:r>
          </w:p>
        </w:tc>
        <w:tc>
          <w:tcPr>
            <w:vAlign w:val="center"/>
          </w:tcPr>
          <w:p>
            <w:pPr>
              <w:jc w:val="center"/>
            </w:pPr>
            <w:r>
              <w:rPr>
                <w:color w:val="000000"/>
                <w:sz w:val="24"/>
              </w:rPr>
              <w:t>中国金茂控股集团有限公司</w:t>
            </w:r>
          </w:p>
        </w:tc>
        <w:tc>
          <w:tcPr>
            <w:vAlign w:val="center"/>
          </w:tcPr>
          <w:p>
            <w:pPr>
              <w:jc w:val="center"/>
            </w:pPr>
            <w:r>
              <w:rPr>
                <w:color w:val="000000"/>
                <w:sz w:val="24"/>
              </w:rPr>
              <w:t>817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300,000</w:t>
            </w:r>
          </w:p>
        </w:tc>
        <w:tc>
          <w:tcPr>
            <w:vAlign w:val="center"/>
          </w:tcPr>
          <w:p>
            <w:pPr>
              <w:jc w:val="right"/>
            </w:pPr>
            <w:r>
              <w:rPr>
                <w:color w:val="000000"/>
                <w:sz w:val="24"/>
              </w:rPr>
              <w:t>1,254,239.17</w:t>
            </w:r>
          </w:p>
        </w:tc>
        <w:tc>
          <w:tcPr>
            <w:vAlign w:val="center"/>
          </w:tcPr>
          <w:p>
            <w:pPr>
              <w:jc w:val="right"/>
            </w:pPr>
            <w:r>
              <w:rPr>
                <w:color w:val="000000"/>
                <w:sz w:val="24"/>
              </w:rPr>
              <w:t>3.87</w:t>
            </w:r>
          </w:p>
        </w:tc>
      </w:tr>
      <w:tr>
        <w:tc>
          <w:tcPr>
            <w:vAlign w:val="center"/>
          </w:tcPr>
          <w:p>
            <w:pPr>
              <w:jc w:val="center"/>
            </w:pPr>
            <w:r>
              <w:rPr>
                <w:color w:val="000000"/>
                <w:sz w:val="24"/>
              </w:rPr>
              <w:t>5</w:t>
            </w:r>
          </w:p>
        </w:tc>
        <w:tc>
          <w:tcPr>
            <w:vAlign w:val="center"/>
          </w:tcPr>
          <w:p>
            <w:pPr>
              <w:jc w:val="center"/>
            </w:pPr>
            <w:r>
              <w:rPr>
                <w:color w:val="000000"/>
                <w:sz w:val="24"/>
              </w:rPr>
              <w:t>Huadian Power International Corporation Limited</w:t>
            </w:r>
          </w:p>
        </w:tc>
        <w:tc>
          <w:tcPr>
            <w:vAlign w:val="center"/>
          </w:tcPr>
          <w:p>
            <w:pPr>
              <w:jc w:val="center"/>
            </w:pPr>
            <w:r>
              <w:rPr>
                <w:color w:val="000000"/>
                <w:sz w:val="24"/>
              </w:rPr>
              <w:t>华电国际电力股份有限公司</w:t>
            </w:r>
          </w:p>
        </w:tc>
        <w:tc>
          <w:tcPr>
            <w:vAlign w:val="center"/>
          </w:tcPr>
          <w:p>
            <w:pPr>
              <w:jc w:val="center"/>
            </w:pPr>
            <w:r>
              <w:rPr>
                <w:color w:val="000000"/>
                <w:sz w:val="24"/>
              </w:rPr>
              <w:t>1071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400,000</w:t>
            </w:r>
          </w:p>
        </w:tc>
        <w:tc>
          <w:tcPr>
            <w:vAlign w:val="center"/>
          </w:tcPr>
          <w:p>
            <w:pPr>
              <w:jc w:val="right"/>
            </w:pPr>
            <w:r>
              <w:rPr>
                <w:color w:val="000000"/>
                <w:sz w:val="24"/>
              </w:rPr>
              <w:t>1,087,887.45</w:t>
            </w:r>
          </w:p>
        </w:tc>
        <w:tc>
          <w:tcPr>
            <w:vAlign w:val="center"/>
          </w:tcPr>
          <w:p>
            <w:pPr>
              <w:jc w:val="right"/>
            </w:pPr>
            <w:r>
              <w:rPr>
                <w:color w:val="000000"/>
                <w:sz w:val="24"/>
              </w:rPr>
              <w:t>3.36</w:t>
            </w:r>
          </w:p>
        </w:tc>
      </w:tr>
      <w:tr>
        <w:tc>
          <w:tcPr>
            <w:vAlign w:val="center"/>
          </w:tcPr>
          <w:p>
            <w:pPr>
              <w:jc w:val="center"/>
            </w:pPr>
            <w:r>
              <w:rPr>
                <w:color w:val="000000"/>
                <w:sz w:val="24"/>
              </w:rPr>
              <w:t>6</w:t>
            </w:r>
          </w:p>
        </w:tc>
        <w:tc>
          <w:tcPr>
            <w:vAlign w:val="center"/>
          </w:tcPr>
          <w:p>
            <w:pPr>
              <w:jc w:val="center"/>
            </w:pPr>
            <w:r>
              <w:rPr>
                <w:color w:val="000000"/>
                <w:sz w:val="24"/>
              </w:rPr>
              <w:t>Xiaomi Corporation</w:t>
            </w:r>
          </w:p>
        </w:tc>
        <w:tc>
          <w:tcPr>
            <w:vAlign w:val="center"/>
          </w:tcPr>
          <w:p>
            <w:pPr>
              <w:jc w:val="center"/>
            </w:pPr>
            <w:r>
              <w:rPr>
                <w:color w:val="000000"/>
                <w:sz w:val="24"/>
              </w:rPr>
              <w:t>小米集团</w:t>
            </w:r>
          </w:p>
        </w:tc>
        <w:tc>
          <w:tcPr>
            <w:vAlign w:val="center"/>
          </w:tcPr>
          <w:p>
            <w:pPr>
              <w:jc w:val="center"/>
            </w:pPr>
            <w:r>
              <w:rPr>
                <w:color w:val="000000"/>
                <w:sz w:val="24"/>
              </w:rPr>
              <w:t>1810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120,400</w:t>
            </w:r>
          </w:p>
        </w:tc>
        <w:tc>
          <w:tcPr>
            <w:vAlign w:val="center"/>
          </w:tcPr>
          <w:p>
            <w:pPr>
              <w:jc w:val="right"/>
            </w:pPr>
            <w:r>
              <w:rPr>
                <w:color w:val="000000"/>
                <w:sz w:val="24"/>
              </w:rPr>
              <w:t>1,059,722.08</w:t>
            </w:r>
          </w:p>
        </w:tc>
        <w:tc>
          <w:tcPr>
            <w:vAlign w:val="center"/>
          </w:tcPr>
          <w:p>
            <w:pPr>
              <w:jc w:val="right"/>
            </w:pPr>
            <w:r>
              <w:rPr>
                <w:color w:val="000000"/>
                <w:sz w:val="24"/>
              </w:rPr>
              <w:t>3.27</w:t>
            </w:r>
          </w:p>
        </w:tc>
      </w:tr>
      <w:tr>
        <w:tc>
          <w:tcPr>
            <w:vAlign w:val="center"/>
          </w:tcPr>
          <w:p>
            <w:pPr>
              <w:jc w:val="center"/>
            </w:pPr>
            <w:r>
              <w:rPr>
                <w:color w:val="000000"/>
                <w:sz w:val="24"/>
              </w:rPr>
              <w:t>7</w:t>
            </w:r>
          </w:p>
        </w:tc>
        <w:tc>
          <w:tcPr>
            <w:vAlign w:val="center"/>
          </w:tcPr>
          <w:p>
            <w:pPr>
              <w:jc w:val="center"/>
            </w:pPr>
            <w:r>
              <w:rPr>
                <w:color w:val="000000"/>
                <w:sz w:val="24"/>
              </w:rPr>
              <w:t>Yanzhou Coal Mining Company Limited</w:t>
            </w:r>
          </w:p>
        </w:tc>
        <w:tc>
          <w:tcPr>
            <w:vAlign w:val="center"/>
          </w:tcPr>
          <w:p>
            <w:pPr>
              <w:jc w:val="center"/>
            </w:pPr>
            <w:r>
              <w:rPr>
                <w:color w:val="000000"/>
                <w:sz w:val="24"/>
              </w:rPr>
              <w:t>兖州煤业股份有限公司</w:t>
            </w:r>
          </w:p>
        </w:tc>
        <w:tc>
          <w:tcPr>
            <w:vAlign w:val="center"/>
          </w:tcPr>
          <w:p>
            <w:pPr>
              <w:jc w:val="center"/>
            </w:pPr>
            <w:r>
              <w:rPr>
                <w:color w:val="000000"/>
                <w:sz w:val="24"/>
              </w:rPr>
              <w:t>1171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158,000</w:t>
            </w:r>
          </w:p>
        </w:tc>
        <w:tc>
          <w:tcPr>
            <w:vAlign w:val="center"/>
          </w:tcPr>
          <w:p>
            <w:pPr>
              <w:jc w:val="right"/>
            </w:pPr>
            <w:r>
              <w:rPr>
                <w:color w:val="000000"/>
                <w:sz w:val="24"/>
              </w:rPr>
              <w:t>1,015,185.59</w:t>
            </w:r>
          </w:p>
        </w:tc>
        <w:tc>
          <w:tcPr>
            <w:vAlign w:val="center"/>
          </w:tcPr>
          <w:p>
            <w:pPr>
              <w:jc w:val="right"/>
            </w:pPr>
            <w:r>
              <w:rPr>
                <w:color w:val="000000"/>
                <w:sz w:val="24"/>
              </w:rPr>
              <w:t>3.13</w:t>
            </w:r>
          </w:p>
        </w:tc>
      </w:tr>
      <w:tr>
        <w:tc>
          <w:tcPr>
            <w:vAlign w:val="center"/>
          </w:tcPr>
          <w:p>
            <w:pPr>
              <w:jc w:val="center"/>
            </w:pPr>
            <w:r>
              <w:rPr>
                <w:color w:val="000000"/>
                <w:sz w:val="24"/>
              </w:rPr>
              <w:t>8</w:t>
            </w:r>
          </w:p>
        </w:tc>
        <w:tc>
          <w:tcPr>
            <w:vAlign w:val="center"/>
          </w:tcPr>
          <w:p>
            <w:pPr>
              <w:jc w:val="center"/>
            </w:pPr>
            <w:r>
              <w:rPr>
                <w:color w:val="000000"/>
                <w:sz w:val="24"/>
              </w:rPr>
              <w:t>Sunny Optical Technology (Group) Company Limited</w:t>
            </w:r>
          </w:p>
        </w:tc>
        <w:tc>
          <w:tcPr>
            <w:vAlign w:val="center"/>
          </w:tcPr>
          <w:p>
            <w:pPr>
              <w:jc w:val="center"/>
            </w:pPr>
            <w:r>
              <w:rPr>
                <w:color w:val="000000"/>
                <w:sz w:val="24"/>
              </w:rPr>
              <w:t>舜宇光学科技(集团)有限公司</w:t>
            </w:r>
          </w:p>
        </w:tc>
        <w:tc>
          <w:tcPr>
            <w:vAlign w:val="center"/>
          </w:tcPr>
          <w:p>
            <w:pPr>
              <w:jc w:val="center"/>
            </w:pPr>
            <w:r>
              <w:rPr>
                <w:color w:val="000000"/>
                <w:sz w:val="24"/>
              </w:rPr>
              <w:t>2382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12,300</w:t>
            </w:r>
          </w:p>
        </w:tc>
        <w:tc>
          <w:tcPr>
            <w:vAlign w:val="center"/>
          </w:tcPr>
          <w:p>
            <w:pPr>
              <w:jc w:val="right"/>
            </w:pPr>
            <w:r>
              <w:rPr>
                <w:color w:val="000000"/>
                <w:sz w:val="24"/>
              </w:rPr>
              <w:t>873,663.40</w:t>
            </w:r>
          </w:p>
        </w:tc>
        <w:tc>
          <w:tcPr>
            <w:vAlign w:val="center"/>
          </w:tcPr>
          <w:p>
            <w:pPr>
              <w:jc w:val="right"/>
            </w:pPr>
            <w:r>
              <w:rPr>
                <w:color w:val="000000"/>
                <w:sz w:val="24"/>
              </w:rPr>
              <w:t>2.69</w:t>
            </w:r>
          </w:p>
        </w:tc>
      </w:tr>
      <w:tr>
        <w:tc>
          <w:tcPr>
            <w:vAlign w:val="center"/>
          </w:tcPr>
          <w:p>
            <w:pPr>
              <w:jc w:val="center"/>
            </w:pPr>
            <w:r>
              <w:rPr>
                <w:color w:val="000000"/>
                <w:sz w:val="24"/>
              </w:rPr>
              <w:t>9</w:t>
            </w:r>
          </w:p>
        </w:tc>
        <w:tc>
          <w:tcPr>
            <w:vAlign w:val="center"/>
          </w:tcPr>
          <w:p>
            <w:pPr>
              <w:jc w:val="center"/>
            </w:pPr>
            <w:r>
              <w:rPr>
                <w:color w:val="000000"/>
                <w:sz w:val="24"/>
              </w:rPr>
              <w:t>MMG Limited</w:t>
            </w:r>
          </w:p>
        </w:tc>
        <w:tc>
          <w:tcPr>
            <w:vAlign w:val="center"/>
          </w:tcPr>
          <w:p>
            <w:pPr>
              <w:jc w:val="center"/>
            </w:pPr>
            <w:r>
              <w:rPr>
                <w:color w:val="000000"/>
                <w:sz w:val="24"/>
              </w:rPr>
              <w:t>五矿资源有限公司</w:t>
            </w:r>
          </w:p>
        </w:tc>
        <w:tc>
          <w:tcPr>
            <w:vAlign w:val="center"/>
          </w:tcPr>
          <w:p>
            <w:pPr>
              <w:jc w:val="center"/>
            </w:pPr>
            <w:r>
              <w:rPr>
                <w:color w:val="000000"/>
                <w:sz w:val="24"/>
              </w:rPr>
              <w:t>1208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312,000</w:t>
            </w:r>
          </w:p>
        </w:tc>
        <w:tc>
          <w:tcPr>
            <w:vAlign w:val="center"/>
          </w:tcPr>
          <w:p>
            <w:pPr>
              <w:jc w:val="right"/>
            </w:pPr>
            <w:r>
              <w:rPr>
                <w:color w:val="000000"/>
                <w:sz w:val="24"/>
              </w:rPr>
              <w:t>749,691.76</w:t>
            </w:r>
          </w:p>
        </w:tc>
        <w:tc>
          <w:tcPr>
            <w:vAlign w:val="center"/>
          </w:tcPr>
          <w:p>
            <w:pPr>
              <w:jc w:val="right"/>
            </w:pPr>
            <w:r>
              <w:rPr>
                <w:color w:val="000000"/>
                <w:sz w:val="24"/>
              </w:rPr>
              <w:t>2.31</w:t>
            </w:r>
          </w:p>
        </w:tc>
      </w:tr>
      <w:tr>
        <w:tc>
          <w:tcPr>
            <w:vAlign w:val="center"/>
          </w:tcPr>
          <w:p>
            <w:pPr>
              <w:jc w:val="center"/>
            </w:pPr>
            <w:r>
              <w:rPr>
                <w:color w:val="000000"/>
                <w:sz w:val="24"/>
              </w:rPr>
              <w:t>10</w:t>
            </w:r>
          </w:p>
        </w:tc>
        <w:tc>
          <w:tcPr>
            <w:vAlign w:val="center"/>
          </w:tcPr>
          <w:p>
            <w:pPr>
              <w:jc w:val="center"/>
            </w:pPr>
            <w:r>
              <w:rPr>
                <w:color w:val="000000"/>
                <w:sz w:val="24"/>
              </w:rPr>
              <w:t>YiChang HEC ChangJiang Pharmaceutical Co., Ltd.</w:t>
            </w:r>
          </w:p>
        </w:tc>
        <w:tc>
          <w:tcPr>
            <w:vAlign w:val="center"/>
          </w:tcPr>
          <w:p>
            <w:pPr>
              <w:jc w:val="center"/>
            </w:pPr>
            <w:r>
              <w:rPr>
                <w:color w:val="000000"/>
                <w:sz w:val="24"/>
              </w:rPr>
              <w:t>宜昌东阳光长江药业股份有限公司</w:t>
            </w:r>
          </w:p>
        </w:tc>
        <w:tc>
          <w:tcPr>
            <w:vAlign w:val="center"/>
          </w:tcPr>
          <w:p>
            <w:pPr>
              <w:jc w:val="center"/>
            </w:pPr>
            <w:r>
              <w:rPr>
                <w:color w:val="000000"/>
                <w:sz w:val="24"/>
              </w:rPr>
              <w:t>1558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15,600</w:t>
            </w:r>
          </w:p>
        </w:tc>
        <w:tc>
          <w:tcPr>
            <w:vAlign w:val="center"/>
          </w:tcPr>
          <w:p>
            <w:pPr>
              <w:jc w:val="right"/>
            </w:pPr>
            <w:r>
              <w:rPr>
                <w:color w:val="000000"/>
                <w:sz w:val="24"/>
              </w:rPr>
              <w:t>536,180.65</w:t>
            </w:r>
          </w:p>
        </w:tc>
        <w:tc>
          <w:tcPr>
            <w:vAlign w:val="center"/>
          </w:tcPr>
          <w:p>
            <w:pPr>
              <w:jc w:val="right"/>
            </w:pPr>
            <w:r>
              <w:rPr>
                <w:color w:val="000000"/>
                <w:sz w:val="24"/>
              </w:rPr>
              <w:t>1.65</w:t>
            </w:r>
          </w:p>
        </w:tc>
      </w:tr>
    </w:tbl>
    <w:p w:rsidP="005546C0" w:rsidR="00521EDE" w:rsidRDefault="00521EDE" w:rsidRPr="008640AE">
      <w:pPr>
        <w:autoSpaceDE w:val="0"/>
        <w:autoSpaceDN w:val="0"/>
        <w:adjustRightInd w:val="0"/>
        <w:spacing w:before="29" w:line="288" w:lineRule="auto"/>
        <w:ind w:left="15"/>
        <w:jc w:val="left"/>
        <w:rPr>
          <w:color w:val="00000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P="005546C0" w:rsidR="005B6AC7" w:rsidRDefault="005B6AC7" w:rsidRPr="008640AE">
      <w:pPr>
        <w:autoSpaceDE w:val="0"/>
        <w:autoSpaceDN w:val="0"/>
        <w:adjustRightInd w:val="0"/>
        <w:spacing w:before="29" w:line="288" w:lineRule="auto"/>
        <w:ind w:left="15"/>
        <w:jc w:val="left"/>
        <w:rPr>
          <w:b/>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本基金本报告期末未持有金融衍生品。</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AC424A"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2C1372"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10</w:t>
      </w:r>
      <w:r w:rsidR="0076518F" w:rsidRPr="008640AE">
        <w:rPr>
          <w:b/>
          <w:color w:val="000000"/>
          <w:kern w:val="0"/>
          <w:sz w:val="24"/>
        </w:rPr>
        <w:t>投资组合报告附注</w:t>
      </w:r>
    </w:p>
    <w:p w:rsidP="00A31920" w:rsidR="0076518F" w:rsidRDefault="004966FE" w:rsidRPr="008640A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P="00A31920" w:rsidR="0076518F" w:rsidRDefault="001D3187" w:rsidRPr="008640A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P="005546C0" w:rsidR="0076518F" w:rsidRDefault="0076518F">
      <w:pPr>
        <w:autoSpaceDE w:val="0"/>
        <w:autoSpaceDN w:val="0"/>
        <w:adjustRightInd w:val="0"/>
        <w:spacing w:before="29" w:line="288" w:lineRule="auto"/>
        <w:jc w:val="left"/>
        <w:rPr>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color w:val="000000"/>
            <w:kern w:val="0"/>
            <w:sz w:val="24"/>
          </w:rPr>
          <w:t>5.10.3</w:t>
        </w:r>
      </w:smartTag>
      <w:r w:rsidRPr="008640AE">
        <w:rPr>
          <w:color w:val="000000"/>
          <w:kern w:val="0"/>
          <w:sz w:val="24"/>
        </w:rPr>
        <w:t>其他资产构成</w:t>
      </w:r>
    </w:p>
    <w:p w:rsidP="00B93C3A" w:rsidR="00B93C3A" w:rsidRDefault="00B93C3A" w:rsidRPr="008640AE">
      <w:pPr>
        <w:autoSpaceDE w:val="0"/>
        <w:autoSpaceDN w:val="0"/>
        <w:adjustRightInd w:val="0"/>
        <w:spacing w:before="29" w:line="288" w:lineRule="auto"/>
        <w:jc w:val="right"/>
        <w:rPr>
          <w:color w:val="000000"/>
          <w:kern w:val="0"/>
          <w:sz w:val="24"/>
        </w:rPr>
      </w:pPr>
      <w:r w:rsidRPr="00B93C3A">
        <w:rPr>
          <w:rFonts w:hint="eastAsia"/>
          <w:color w:val="000000"/>
          <w:kern w:val="0"/>
          <w:sz w:val="24"/>
        </w:rPr>
        <w:t/>
      </w:r>
      <w:r w:rsidRPr="00B93C3A">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836"/>
        <w:gridCol w:w="3024"/>
        <w:gridCol w:w="5008"/>
      </w:tblGrid>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type="dxa" w:w="2903"/>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type="dxa" w:w="4808"/>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2</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3</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194,911.18</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4</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212.85</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5</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6</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lastRenderedPageBreak/>
              <w:t>7</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8</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9</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195,124.03</w:t>
            </w:r>
          </w:p>
        </w:tc>
      </w:tr>
    </w:tbl>
    <w:p w:rsidP="005546C0" w:rsidR="00A22D4B" w:rsidRDefault="00A22D4B" w:rsidRPr="008640AE">
      <w:pPr>
        <w:autoSpaceDE w:val="0"/>
        <w:autoSpaceDN w:val="0"/>
        <w:adjustRightInd w:val="0"/>
        <w:spacing w:before="29" w:line="288" w:lineRule="auto"/>
        <w:jc w:val="left"/>
        <w:rPr>
          <w:b/>
          <w:color w:val="000000"/>
          <w:kern w:val="0"/>
          <w:sz w:val="24"/>
        </w:rPr>
      </w:pPr>
    </w:p>
    <w:p w:rsidP="005546C0" w:rsidR="0076518F" w:rsidRDefault="0076518F" w:rsidRPr="008640AE">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期末持有的处于转股期的可转换债券明细</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P="005546C0" w:rsidR="00EA3F21" w:rsidRDefault="00EA3F21" w:rsidRPr="008640AE">
      <w:pPr>
        <w:autoSpaceDE w:val="0"/>
        <w:autoSpaceDN w:val="0"/>
        <w:adjustRightInd w:val="0"/>
        <w:spacing w:before="29" w:line="288" w:lineRule="auto"/>
        <w:jc w:val="left"/>
        <w:rPr>
          <w:color w:val="000000"/>
          <w:sz w:val="24"/>
        </w:rPr>
      </w:pP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color w:val="000000"/>
            <w:kern w:val="0"/>
            <w:sz w:val="24"/>
          </w:rPr>
          <w:t>5.10.5</w:t>
        </w:r>
      </w:smartTag>
      <w:r w:rsidRPr="008640AE">
        <w:rPr>
          <w:color w:val="000000"/>
          <w:kern w:val="0"/>
          <w:sz w:val="24"/>
        </w:rPr>
        <w:t>期末前十名股票中存在流通受限情况的说明</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P="005546C0" w:rsidR="000E3B88" w:rsidRDefault="000E3B88" w:rsidRPr="008640AE">
      <w:pPr>
        <w:autoSpaceDE w:val="0"/>
        <w:autoSpaceDN w:val="0"/>
        <w:adjustRightInd w:val="0"/>
        <w:spacing w:before="29" w:line="288" w:lineRule="auto"/>
        <w:jc w:val="left"/>
        <w:rPr>
          <w:color w:val="000000"/>
          <w:sz w:val="24"/>
        </w:rPr>
      </w:pPr>
    </w:p>
    <w:p w:rsidP="005546C0" w:rsidR="0076518F" w:rsidRDefault="00280566" w:rsidRPr="008640AE">
      <w:pPr>
        <w:autoSpaceDE w:val="0"/>
        <w:autoSpaceDN w:val="0"/>
        <w:adjustRightInd w:val="0"/>
        <w:spacing w:before="29" w:line="288" w:lineRule="auto"/>
        <w:jc w:val="left"/>
        <w:rPr>
          <w:color w:val="000000"/>
          <w:kern w:val="0"/>
          <w:sz w:val="24"/>
        </w:rPr>
      </w:pPr>
      <w:r w:rsidRPr="008640AE">
        <w:rPr>
          <w:color w:val="000000"/>
          <w:kern w:val="0"/>
          <w:sz w:val="24"/>
        </w:rPr>
        <w:t/>
      </w:r>
      <w:r w:rsidR="0076518F" w:rsidRPr="008640AE">
        <w:rPr>
          <w:color w:val="000000"/>
          <w:kern w:val="0"/>
          <w:sz w:val="24"/>
        </w:rPr>
        <w:t>5.10.6</w:t>
      </w:r>
      <w:r w:rsidR="001C46E1" w:rsidRPr="008640AE">
        <w:rPr>
          <w:color w:val="000000"/>
          <w:kern w:val="0"/>
          <w:sz w:val="24"/>
        </w:rPr>
        <w:t>投资组合报告附注的其他文字描述部分</w:t>
      </w:r>
    </w:p>
    <w:p w:rsidP="00A31920" w:rsidR="000A55BD" w:rsidRDefault="000A55BD" w:rsidRPr="008640AE">
      <w:pPr>
        <w:spacing w:before="29" w:line="288" w:lineRule="auto"/>
        <w:rPr>
          <w:color w:val="000000"/>
          <w:sz w:val="24"/>
        </w:rPr>
      </w:pPr>
      <w:r w:rsidRPr="008640AE">
        <w:rPr>
          <w:color w:val="000000"/>
          <w:sz w:val="24"/>
        </w:rPr>
        <w:lastRenderedPageBreak/>
        <w:t>由于四舍五入的原因，分项之和与合计项之间可能存在尾差。</w:t>
      </w:r>
    </w:p>
    <w:p w:rsidP="005546C0" w:rsidR="00997813" w:rsidRDefault="00997813" w:rsidRPr="008640AE">
      <w:pPr>
        <w:spacing w:before="29" w:line="288" w:lineRule="auto"/>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type="dxa" w:w="8861"/>
        <w:jc w:val="center"/>
        <w:tblLayout w:type="fixed"/>
        <w:tblLook w:firstColumn="0" w:firstRow="0" w:lastColumn="0" w:lastRow="0" w:noHBand="0" w:noVBand="0" w:val="0000"/>
      </w:tblPr>
      <w:tblGrid>
        <w:gridCol w:w="4609"/>
        <w:gridCol w:w="4252"/>
      </w:tblGrid>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BF1DD5" w:rsidRPr="008640AE">
            <w:pPr>
              <w:autoSpaceDE w:val="0"/>
              <w:autoSpaceDN w:val="0"/>
              <w:adjustRightInd w:val="0"/>
              <w:spacing w:before="29" w:line="288" w:lineRule="auto"/>
              <w:ind w:left="17"/>
              <w:jc w:val="right"/>
              <w:rPr>
                <w:color w:val="000000"/>
                <w:sz w:val="24"/>
              </w:rPr>
            </w:pPr>
            <w:r w:rsidRPr="008640AE">
              <w:rPr>
                <w:color w:val="000000"/>
                <w:sz w:val="24"/>
              </w:rPr>
              <w:t/>
            </w:r>
            <w:r w:rsidR="008975BC" w:rsidRPr="008640AE">
              <w:rPr>
                <w:color w:val="000000"/>
                <w:sz w:val="24"/>
              </w:rPr>
              <w:t>31,640,342.98</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A236D2"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2,986,552.84</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1976B1" w:rsidRPr="008640AE">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12,048,938.52</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E8405D" w:rsidR="008975BC" w:rsidRDefault="003C60D5"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2C3CD4"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22,577,957.30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注：1、如果本报告期间发生转换入、红利再投业务，则总申购份额中包含该业务；     </w:t>
      </w:r>
    </w:p>
    <w:p w:rsidP="005546C0" w:rsidR="004027BA" w:rsidRDefault="004027BA" w:rsidRPr="008640AE">
      <w:pPr>
        <w:autoSpaceDE w:val="0"/>
        <w:autoSpaceDN w:val="0"/>
        <w:adjustRightInd w:val="0"/>
        <w:spacing w:before="29" w:line="288" w:lineRule="auto"/>
        <w:jc w:val="left"/>
        <w:rPr>
          <w:color w:val="000000"/>
          <w:sz w:val="24"/>
        </w:rPr>
      </w:pPr>
      <w:r w:rsidRPr="008640AE">
        <w:rPr>
          <w:color w:val="000000"/>
          <w:sz w:val="24"/>
        </w:rPr>
        <w:t xml:space="preserve">    2、如果本报告期间发生转换出业务，则总赎回份额中包含该业务。</w:t>
      </w:r>
    </w:p>
    <w:p w:rsidP="005546C0" w:rsidR="00CF0249" w:rsidRDefault="00CF0249" w:rsidRPr="008640AE">
      <w:pPr>
        <w:autoSpaceDE w:val="0"/>
        <w:autoSpaceDN w:val="0"/>
        <w:adjustRightInd w:val="0"/>
        <w:spacing w:before="29" w:line="288" w:lineRule="auto"/>
        <w:jc w:val="left"/>
        <w:rPr>
          <w:color w:val="000000"/>
          <w:sz w:val="24"/>
        </w:rPr>
      </w:pPr>
    </w:p>
    <w:p w:rsidP="00BB3041" w:rsidR="005E64DA" w:rsidRDefault="005E64DA"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1A76EF">
        <w:rPr>
          <w:rFonts w:hint="eastAsia"/>
          <w:color w:val="000000"/>
          <w:kern w:val="0"/>
          <w:sz w:val="24"/>
          <w:szCs w:val="24"/>
        </w:rPr>
        <w:t/>
      </w:r>
      <w:r w:rsidRPr="008640AE">
        <w:rPr>
          <w:color w:val="000000"/>
          <w:kern w:val="0"/>
          <w:sz w:val="24"/>
          <w:szCs w:val="24"/>
        </w:rPr>
        <w:t xml:space="preserve">7  </w:t>
      </w:r>
      <w:r w:rsidRPr="008640AE">
        <w:rPr>
          <w:color w:val="000000"/>
          <w:kern w:val="0"/>
          <w:sz w:val="24"/>
          <w:szCs w:val="24"/>
        </w:rPr>
        <w:t>基金管理人运用固有资金投资本基金交易明细</w:t>
      </w:r>
    </w:p>
    <w:p w:rsidP="005546C0" w:rsidR="005E64DA" w:rsidRDefault="005E64DA" w:rsidRPr="008640AE">
      <w:pPr>
        <w:autoSpaceDE w:val="0"/>
        <w:autoSpaceDN w:val="0"/>
        <w:adjustRightInd w:val="0"/>
        <w:spacing w:before="29" w:line="288" w:lineRule="auto"/>
        <w:jc w:val="left"/>
        <w:rPr>
          <w:color w:val="000000"/>
          <w:sz w:val="24"/>
        </w:rPr>
      </w:pPr>
      <w:r w:rsidRPr="008640AE">
        <w:rPr>
          <w:color w:val="000000"/>
          <w:sz w:val="24"/>
        </w:rPr>
        <w:lastRenderedPageBreak/>
        <w:t xml:space="preserve">    本基金管理人本报告期内未进行本基金的申购、赎回、红利再投等；本基金管理人本报告期末持有本基金份额0.00份，占本基金期末总份额的0.00%。</w:t>
      </w:r>
    </w:p>
    <w:p w:rsidP="005546C0" w:rsidR="00200B62" w:rsidRDefault="00200B62" w:rsidRPr="008640AE">
      <w:pPr>
        <w:autoSpaceDE w:val="0"/>
        <w:autoSpaceDN w:val="0"/>
        <w:adjustRightInd w:val="0"/>
        <w:spacing w:before="29" w:line="288" w:lineRule="auto"/>
        <w:jc w:val="left"/>
        <w:rPr>
          <w:color w:val="000000"/>
          <w:sz w:val="24"/>
        </w:rPr>
      </w:pPr>
    </w:p>
    <w:p w:rsidP="00BB3041" w:rsidR="00ED3DCF" w:rsidRDefault="00ED3DCF">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ED3DCF" w:rsidR="00ED3DCF" w:rsidRDefault="00ED3DCF">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3DCF" w:rsidTr="00ED3DCF">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type="dxa" w:w="993"/>
            <w:vMerge/>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2019/4/1-2019/6/30</w:t>
            </w:r>
          </w:p>
        </w:tc>
        <w:tc>
          <w:tcPr>
            <w:vAlign w:val="center"/>
          </w:tcPr>
          <w:p>
            <w:pPr>
              <w:jc w:val="center"/>
            </w:pPr>
            <w:r>
              <w:rPr>
                <w:rFonts w:ascii="宋体" w:hAnsi="宋体" w:hint="eastAsia"/>
                <w:color w:val="000000"/>
                <w:kern w:val="0"/>
                <w:szCs w:val="21"/>
              </w:rPr>
              <w:t>5,114,450.13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5,114,450.13</w:t>
            </w:r>
          </w:p>
        </w:tc>
        <w:tc>
          <w:tcPr>
            <w:vAlign w:val="center"/>
          </w:tcPr>
          <w:p>
            <w:pPr>
              <w:jc w:val="center"/>
            </w:pPr>
            <w:r>
              <w:rPr>
                <w:rFonts w:ascii="宋体" w:hAnsi="宋体" w:hint="eastAsia"/>
                <w:color w:val="000000"/>
                <w:kern w:val="0"/>
                <w:szCs w:val="21"/>
              </w:rPr>
              <w:t>22.65%</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
      </w:r>
      <w:r w:rsidR="00376A15" w:rsidRPr="008640AE">
        <w:rPr>
          <w:color w:val="000000"/>
          <w:kern w:val="0"/>
          <w:sz w:val="24"/>
          <w:szCs w:val="24"/>
        </w:rPr>
        <w:t/>
      </w:r>
      <w:r w:rsidR="00AE7D44" w:rsidRPr="008640AE">
        <w:rPr>
          <w:color w:val="000000"/>
          <w:kern w:val="0"/>
          <w:sz w:val="24"/>
          <w:szCs w:val="24"/>
        </w:rPr>
        <w:t/>
      </w:r>
      <w:r w:rsidR="00B111B9" w:rsidRPr="008640AE">
        <w:rPr>
          <w:color w:val="000000"/>
          <w:kern w:val="0"/>
          <w:sz w:val="24"/>
          <w:szCs w:val="24"/>
        </w:rPr>
        <w:t/>
      </w:r>
      <w:r w:rsidR="002711AA" w:rsidRPr="008640AE">
        <w:rPr>
          <w:color w:val="000000"/>
          <w:kern w:val="0"/>
          <w:sz w:val="24"/>
          <w:szCs w:val="24"/>
        </w:rPr>
        <w:t>9</w:t>
      </w:r>
      <w:r w:rsidRPr="008640AE">
        <w:rPr>
          <w:color w:val="000000"/>
          <w:kern w:val="0"/>
          <w:sz w:val="24"/>
          <w:szCs w:val="24"/>
        </w:rPr>
        <w:t>备查文件目录</w:t>
      </w: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
      </w:r>
      <w:r w:rsidR="008975BC" w:rsidRPr="008640AE">
        <w:rPr>
          <w:b/>
          <w:bCs/>
          <w:color w:val="000000"/>
          <w:kern w:val="0"/>
          <w:sz w:val="24"/>
        </w:rPr>
        <w:t/>
      </w:r>
      <w:r w:rsidR="00376A15" w:rsidRPr="008640AE">
        <w:rPr>
          <w:b/>
          <w:bCs/>
          <w:color w:val="000000"/>
          <w:kern w:val="0"/>
          <w:sz w:val="24"/>
        </w:rPr>
        <w:t>1</w:t>
      </w:r>
      <w:r w:rsidR="008975BC" w:rsidRPr="008640AE">
        <w:rPr>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1、中国证监会批准交银施罗德全球自然资源证券投资基金募集的文件； </w:t>
      </w:r>
    </w:p>
    <w:p>
      <w:pPr>
        <w:spacing w:before="29" w:line="288" w:lineRule="auto"/>
        <w:ind w:firstLine="480" w:firstLineChars="200"/>
        <w:rPr>
          <w:color w:val="000000"/>
          <w:sz w:val="24"/>
        </w:rPr>
      </w:pPr>
      <w:r>
        <w:rPr>
          <w:color w:val="000000"/>
          <w:sz w:val="24"/>
        </w:rPr>
        <w:t xml:space="preserve">2、《交银施罗德全球自然资源证券投资基金基金合同》； </w:t>
      </w:r>
    </w:p>
    <w:p>
      <w:pPr>
        <w:spacing w:before="29" w:line="288" w:lineRule="auto"/>
        <w:ind w:firstLine="480" w:firstLineChars="200"/>
        <w:rPr>
          <w:color w:val="000000"/>
          <w:sz w:val="24"/>
        </w:rPr>
      </w:pPr>
      <w:r>
        <w:rPr>
          <w:color w:val="000000"/>
          <w:sz w:val="24"/>
        </w:rPr>
        <w:t>3、《交银施罗德全球自然资源证券投资基金招募说明书》；</w:t>
      </w:r>
    </w:p>
    <w:p>
      <w:pPr>
        <w:spacing w:before="29" w:line="288" w:lineRule="auto"/>
        <w:ind w:firstLine="480" w:firstLineChars="200"/>
        <w:rPr>
          <w:color w:val="000000"/>
          <w:sz w:val="24"/>
        </w:rPr>
      </w:pPr>
      <w:r>
        <w:rPr>
          <w:color w:val="000000"/>
          <w:sz w:val="24"/>
        </w:rPr>
        <w:t xml:space="preserve">4、《交银施罗德全球自然资源证券投资基金托管协议》； </w:t>
      </w:r>
    </w:p>
    <w:p>
      <w:pPr>
        <w:spacing w:before="29" w:line="288" w:lineRule="auto"/>
        <w:ind w:firstLine="480" w:firstLineChars="200"/>
        <w:rPr>
          <w:color w:val="000000"/>
          <w:sz w:val="24"/>
        </w:rPr>
      </w:pPr>
      <w:r>
        <w:rPr>
          <w:color w:val="000000"/>
          <w:sz w:val="24"/>
        </w:rPr>
        <w:t>5、基金管理人业务资格批件、营业执照；</w:t>
      </w:r>
    </w:p>
    <w:p>
      <w:pPr>
        <w:spacing w:before="29" w:line="288" w:lineRule="auto"/>
        <w:ind w:firstLine="480" w:firstLineChars="200"/>
        <w:rPr>
          <w:color w:val="000000"/>
          <w:sz w:val="24"/>
        </w:rPr>
      </w:pPr>
      <w:r>
        <w:rPr>
          <w:color w:val="000000"/>
          <w:sz w:val="24"/>
        </w:rPr>
        <w:t>6、基金托管人业务资格批件、营业执照；</w:t>
      </w:r>
    </w:p>
    <w:p>
      <w:pPr>
        <w:spacing w:before="29" w:line="288" w:lineRule="auto"/>
        <w:ind w:firstLine="480" w:firstLineChars="200"/>
        <w:rPr>
          <w:color w:val="000000"/>
          <w:sz w:val="24"/>
        </w:rPr>
      </w:pPr>
      <w:r>
        <w:rPr>
          <w:color w:val="000000"/>
          <w:sz w:val="24"/>
        </w:rPr>
        <w:t>7、关于申请募集交银施罗德全球自然资源证券投资基金之法律意见书；</w:t>
      </w:r>
    </w:p>
    <w:p w:rsidP="005546C0" w:rsidR="008975BC" w:rsidRDefault="008975BC" w:rsidRPr="008640AE">
      <w:pPr>
        <w:spacing w:before="29" w:line="288" w:lineRule="auto"/>
        <w:ind w:firstLine="480" w:firstLineChars="200"/>
        <w:rPr>
          <w:color w:val="000000"/>
          <w:sz w:val="24"/>
        </w:rPr>
      </w:pPr>
      <w:r w:rsidRPr="008640AE">
        <w:rPr>
          <w:color w:val="000000"/>
          <w:sz w:val="24"/>
        </w:rPr>
        <w:t>8、报告期内交银施罗德全球自然资源证券投资基金在指定报刊上各项公告的原稿。</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P="005546C0" w:rsidR="008975BC" w:rsidRDefault="008975BC" w:rsidRPr="008640AE">
      <w:pPr>
        <w:spacing w:before="29" w:line="288" w:lineRule="auto"/>
        <w:ind w:firstLine="480" w:firstLineChars="200"/>
        <w:rPr>
          <w:color w:val="000000"/>
          <w:sz w:val="24"/>
        </w:rPr>
      </w:pPr>
      <w:r w:rsidRPr="008640AE">
        <w:rPr>
          <w:color w:val="000000"/>
          <w:sz w:val="24"/>
        </w:rPr>
        <w:t>备查文件存放于基金管理人的办公场所。</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5546C0" w:rsidR="007D4AE2" w:rsidRDefault="008975BC" w:rsidRPr="008640AE">
      <w:pPr>
        <w:spacing w:before="29" w:line="288" w:lineRule="auto"/>
        <w:ind w:firstLine="480" w:firstLineChars="200"/>
        <w:rPr>
          <w:color w:val="000000"/>
          <w:sz w:val="24"/>
        </w:rPr>
      </w:pPr>
      <w:r w:rsidRPr="008640AE">
        <w:rPr>
          <w:color w:val="000000"/>
          <w:sz w:val="24"/>
        </w:rPr>
        <w:t>投资者对本报告书如有疑问，可咨询本基金管理人交银施罗德基金管理有限公司。本公司客户服务中心电话：400-700-5000（免长途话费），021-61055000，电子邮件：services@jysld.com。</w:t>
      </w:r>
    </w:p>
    <w:p w:rsidP="005546C0" w:rsidR="007D4AE2" w:rsidRDefault="007D4AE2" w:rsidRPr="008640AE">
      <w:pPr>
        <w:spacing w:before="29" w:line="288" w:lineRule="auto"/>
        <w:ind w:firstLine="480" w:firstLineChars="200"/>
        <w:rPr>
          <w:color w:val="000000"/>
          <w:sz w:val="24"/>
        </w:rPr>
      </w:pPr>
    </w:p>
    <w:sectPr w:rsidR="007D4AE2" w:rsidRPr="008640AE" w:rsidSect="002537A4">
      <w:headerReference r:id="rId14" w:type="even"/>
      <w:footerReference r:id="rId15" w:type="even"/>
      <w:headerReference r:id="rId16" w:type="first"/>
      <w:footerReference r:id="rId17" w:type="first"/>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18" w:rsidRDefault="00BB3E18">
      <w:r>
        <w:separator/>
      </w:r>
    </w:p>
  </w:endnote>
  <w:endnote w:type="continuationSeparator" w:id="0">
    <w:p w:rsidR="00BB3E18" w:rsidRDefault="00BB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B918B8" w:rsidR="007D1292" w:rsidRDefault="007D1292" w:rsidRPr="001D0DB0">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66673A">
      <w:rPr>
        <w:noProof/>
        <w:kern w:val="0"/>
        <w:szCs w:val="21"/>
      </w:rPr>
      <w:t>9</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66673A">
      <w:rPr>
        <w:noProof/>
        <w:kern w:val="0"/>
        <w:szCs w:val="21"/>
      </w:rPr>
      <w:t>19</w:t>
    </w:r>
    <w:r w:rsidR="00DB2A0D">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547D9C" w:rsidRDefault="00DB2A0D">
    <w:pPr>
      <w:pStyle w:val="a6"/>
      <w:framePr w:hAnchor="margin" w:vAnchor="text" w:wrap="around"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50358" w:rsidRDefault="00750358">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B3E18" w:rsidRDefault="00BB3E18">
      <w:r>
        <w:separator/>
      </w:r>
    </w:p>
  </w:footnote>
  <w:footnote w:id="0" w:type="continuationSeparator">
    <w:p w:rsidR="00BB3E18" w:rsidRDefault="00BB3E18">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C6069A" w:rsidR="001D1356" w:rsidRDefault="00C6069A" w:rsidRPr="00C6069A">
    <w:pPr>
      <w:pStyle w:val="a9"/>
      <w:pBdr>
        <w:bottom w:color="auto" w:space="0" w:sz="6" w:val="single"/>
      </w:pBdr>
      <w:ind w:firstLine="480"/>
      <w:jc w:val="right"/>
      <w:rPr>
        <w:sz w:val="24"/>
        <w:szCs w:val="24"/>
      </w:rPr>
    </w:pPr>
    <w:r w:rsidRPr="003E676C">
      <w:rPr>
        <w:sz w:val="24"/>
        <w:szCs w:val="24"/>
      </w:rPr>
      <w:t>交银施罗德全球自然资源证券投资基金2019年第2季度报告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9"/>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50358" w:rsidRDefault="00750358">
    <w:pPr>
      <w:pStyle w:val="a9"/>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50358" w:rsidRDefault="00750358">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226F"/>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1AF8"/>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673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977A8"/>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547"/>
    <w:rsid w:val="009E1E55"/>
    <w:rsid w:val="009E4465"/>
    <w:rsid w:val="009E6401"/>
    <w:rsid w:val="009E6C54"/>
    <w:rsid w:val="009E6D44"/>
    <w:rsid w:val="009F2A25"/>
    <w:rsid w:val="009F5235"/>
    <w:rsid w:val="009F531A"/>
    <w:rsid w:val="009F647F"/>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3C3A"/>
    <w:rsid w:val="00B94BB8"/>
    <w:rsid w:val="00B94C15"/>
    <w:rsid w:val="00B95E5A"/>
    <w:rsid w:val="00B96B27"/>
    <w:rsid w:val="00BA22A8"/>
    <w:rsid w:val="00BA3E48"/>
    <w:rsid w:val="00BA4BF8"/>
    <w:rsid w:val="00BA7C61"/>
    <w:rsid w:val="00BB1EB3"/>
    <w:rsid w:val="00BB2678"/>
    <w:rsid w:val="00BB3041"/>
    <w:rsid w:val="00BB3E1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3862"/>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B1A"/>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8DF28F86-B5D6-4749-8878-6DB63B2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rsid w:val="00C503D3"/>
    <w:rPr>
      <w:kern w:val="2"/>
      <w:sz w:val="24"/>
    </w:rPr>
  </w:style>
  <w:style w:styleId="af8" w:type="character">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110</TotalTime>
  <Pages>19</Pages>
  <Words>3089</Words>
  <Characters>17611</Characters>
  <Application>Microsoft Office Word</Application>
  <DocSecurity>0</DocSecurity>
  <Lines>146</Lines>
  <Paragraphs>41</Paragraphs>
  <ScaleCrop>false</ScaleCrop>
  <Company>TRT. Ltd. Co.</Company>
  <LinksUpToDate>false</LinksUpToDate>
  <CharactersWithSpaces>20659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2013-08-01T05:26:00Z</dcterms:created>
  <dc:creator>bonnieliu</dc:creator>
  <cp:lastModifiedBy>业务系统</cp:lastModifiedBy>
  <cp:lastPrinted>2007-07-19T00:46:00Z</cp:lastPrinted>
  <dcterms:modified xsi:type="dcterms:W3CDTF">2019-07-04T03:10:00Z</dcterms:modified>
  <cp:revision>247</cp:revision>
</cp:coreProperties>
</file>