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交银施罗德深证300价值交易型开放式指数证券投资基金联接基金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2019年第2季度报告</w:t>
      </w:r>
    </w:p>
    <w:p w:rsidP="00B04217" w:rsidR="00943748" w:rsidRDefault="003251EE" w:rsidRPr="006C615F">
      <w:pPr>
        <w:spacing w:before="29" w:line="288" w:lineRule="auto"/>
        <w:jc w:val="center"/>
        <w:rPr>
          <w:b/>
          <w:sz w:val="36"/>
          <w:szCs w:val="36"/>
        </w:rPr>
      </w:pPr>
      <w:r w:rsidRPr="006C615F">
        <w:rPr>
          <w:b/>
          <w:sz w:val="36"/>
          <w:szCs w:val="36"/>
        </w:rPr>
        <w:t>2019年6月30日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r w:rsidR="003251EE" w:rsidRPr="006C615F">
        <w:rPr>
          <w:b/>
          <w:color w:val="000000"/>
          <w:sz w:val="24"/>
        </w:rPr>
        <w:t/>
      </w:r>
      <w:r w:rsidR="00AB5C7D" w:rsidRPr="006C615F">
        <w:rPr>
          <w:b/>
          <w:color w:val="000000"/>
          <w:sz w:val="24"/>
        </w:rPr>
        <w:t>二〇一九年七月十七日</w:t>
      </w:r>
    </w:p>
    <w:p w:rsidP="0048293C" w:rsidR="00220542" w:rsidRDefault="00220542" w:rsidRPr="00324C76">
      <w:pPr>
        <w:pStyle w:val="1"/>
        <w:spacing w:afterLines="100"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本报告期自2019年4月1日起至6月30日止。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Lines="100"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0" w:name="_Toc245193810"/>
      <w:r w:rsidRPr="00324C76">
        <w:rPr>
          <w:rFonts w:ascii="Times New Roman" w:cs="Times New Roman" w:hAnsi="Times New Roman"/>
          <w:szCs w:val="24"/>
        </w:rPr>
        <w:t>2.1</w:t>
      </w:r>
      <w:bookmarkEnd w:id="0"/>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交银深证300价值ETF联接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2011年9月28日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46,271,708.21</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深证300价值价格指数收益率×95%＋银行活期存款税后收益率×5%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本基金属ETF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深证300价值交易型开放式指数证券投资基金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159913</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3D1893" w:rsidRPr="00324C76">
              <w:rPr>
                <w:sz w:val="24"/>
              </w:rPr>
              <w:t/>
            </w:r>
            <w:r w:rsidRPr="00324C76">
              <w:rPr>
                <w:sz w:val="24"/>
              </w:rPr>
              <w:t>2011年9月22日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r w:rsidRPr="00324C76">
              <w:rPr>
                <w:sz w:val="24"/>
              </w:rPr>
              <w:lastRenderedPageBreak/>
              <w:t>深圳证券交易所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r w:rsidR="00F840F0" w:rsidRPr="00324C76">
              <w:rPr>
                <w:sz w:val="24"/>
              </w:rPr>
              <w:t/>
            </w:r>
            <w:r w:rsidRPr="00324C76">
              <w:rPr>
                <w:sz w:val="24"/>
              </w:rPr>
              <w:t>2011年10月25日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中国农业银行股份有限公司</w:t>
            </w:r>
          </w:p>
        </w:tc>
      </w:tr>
    </w:tbl>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Year" w:val="1899"/>
          <w:attr w:name="Month" w:val="12"/>
          <w:attr w:name="Day" w:val="30"/>
          <w:attr w:name="IsLunarDate" w:val="False"/>
          <w:attr w:name="IsROCDate" w:val="False"/>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绝大部分资产采用完全复制法，跟踪深证300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深证300价值价格指数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Lines="100"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2019年4月1日-2019年6月30日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1,222,752.98</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-264,151.70</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-0.0056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79,864,527.44</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1.726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-0.12%</w:t>
            </w:r>
          </w:p>
        </w:tc>
        <w:tc>
          <w:tcPr>
            <w:vAlign w:val="center"/>
          </w:tcPr>
          <w:p>
            <w:pPr>
              <w:jc w:val="center"/>
            </w:pPr>
            <w:r>
              <w:rPr>
                <w:color w:val="000000"/>
                <w:sz w:val="24"/>
              </w:rPr>
              <w:t>1.68%</w:t>
            </w:r>
          </w:p>
        </w:tc>
        <w:tc>
          <w:tcPr>
            <w:vAlign w:val="center"/>
          </w:tcPr>
          <w:p>
            <w:pPr>
              <w:jc w:val="center"/>
            </w:pPr>
            <w:r>
              <w:rPr>
                <w:color w:val="000000"/>
                <w:sz w:val="24"/>
              </w:rPr>
              <w:t>-1.23%</w:t>
            </w:r>
          </w:p>
        </w:tc>
        <w:tc>
          <w:tcPr>
            <w:vAlign w:val="center"/>
          </w:tcPr>
          <w:p>
            <w:pPr>
              <w:jc w:val="center"/>
            </w:pPr>
            <w:r>
              <w:rPr>
                <w:color w:val="000000"/>
                <w:sz w:val="24"/>
              </w:rPr>
              <w:t>1.74%</w:t>
            </w:r>
          </w:p>
        </w:tc>
        <w:tc>
          <w:tcPr>
            <w:vAlign w:val="center"/>
          </w:tcPr>
          <w:p>
            <w:pPr>
              <w:jc w:val="center"/>
            </w:pPr>
            <w:r>
              <w:rPr>
                <w:color w:val="000000"/>
                <w:sz w:val="24"/>
              </w:rPr>
              <w:t>1.11%</w:t>
            </w:r>
          </w:p>
        </w:tc>
        <w:tc>
          <w:tcPr>
            <w:vAlign w:val="center"/>
          </w:tcPr>
          <w:p>
            <w:pPr>
              <w:jc w:val="center"/>
            </w:pPr>
            <w:r>
              <w:rPr>
                <w:color w:val="000000"/>
                <w:sz w:val="24"/>
              </w:rPr>
              <w:t>-0.06%</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交银施罗德深证300价值交易型开放式指数证券投资基金联接基金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2011年9月28日</w:t>
      </w:r>
      <w:r w:rsidRPr="00324C76">
        <w:rPr>
          <w:color w:val="000000"/>
          <w:kern w:val="0"/>
          <w:sz w:val="24"/>
        </w:rPr>
        <w:t>至</w:t>
      </w:r>
      <w:r w:rsidRPr="00324C76">
        <w:rPr>
          <w:color w:val="000000"/>
          <w:kern w:val="0"/>
          <w:sz w:val="24"/>
        </w:rPr>
        <w:t>2019年6月30日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r w:rsidR="00C26024" w:rsidRPr="00324C76">
        <w:rPr>
          <w:color w:val="000000"/>
          <w:sz w:val="24"/>
        </w:rPr>
        <w:t/>
      </w:r>
      <w:r w:rsidRPr="00324C76">
        <w:rPr>
          <w:color w:val="000000"/>
          <w:sz w:val="24"/>
        </w:rPr>
        <w:t>注：本基金建仓期为自基金合同生效日起的6个月。截至建仓期结束，本基金各项资产配置比例符合基金合同及招募说明书有关投资比例的约定。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Lines="100"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二季度国内宏观环境基本稳定，经济增速延续稳中偏弱格局，通胀和流动性保持平稳，财政政策持续发力。年初的快速上涨使得市场情绪显著修复，成交大幅回暖，但四月之后市场出现较大幅调整，投资者情绪回归冷静。直至六月中旬科创板宣布正式开板，市场信心有所提振。作为跟踪基准指数的指数基金，二季度基金总体呈现先下行后震荡走势。</w:t>
      </w:r>
    </w:p>
    <w:p w:rsidP="00B04217" w:rsidR="004D6E34" w:rsidRDefault="00E27AF2" w:rsidRPr="00324C76">
      <w:pPr>
        <w:spacing w:before="29" w:line="288" w:lineRule="auto"/>
        <w:ind w:firstLine="480" w:firstLineChars="200"/>
        <w:rPr>
          <w:color w:val="000000"/>
          <w:sz w:val="24"/>
        </w:rPr>
      </w:pPr>
      <w:r w:rsidRPr="00324C76">
        <w:rPr>
          <w:color w:val="000000"/>
          <w:sz w:val="24"/>
        </w:rPr>
        <w:t>展望2019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A股市场仍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本基金（各类）份额净值及业绩表现请见“3.1 主要财务指标” 及“3.2.1本报告期基金份额净值增长率及其与同期业绩比较基准收益率的比较”部分披露。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Lines="100"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rsidRPr="00AE0465">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tbl>
      <w:tblPr>
        <w:tblStyle w:val="af7"/>
        <w:tblW w:type="dxa" w:w="8897"/>
        <w:tblInd w:type="dxa" w:w="108"/>
        <w:tblLayout w:type="fixed"/>
        <w:tblLook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r w:rsidRPr="00AE0465">
              <w:rPr>
                <w:rFonts w:eastAsiaTheme="minorEastAsia"/>
                <w:color w:themeColor="text1" w:val="000000"/>
                <w:sz w:val="24"/>
              </w:rPr>
              <w:t>(</w:t>
            </w:r>
            <w:r w:rsidRPr="00AE0465">
              <w:rPr>
                <w:rFonts w:eastAsiaTheme="minorEastAsia"/>
                <w:color w:themeColor="text1" w:val="000000"/>
                <w:sz w:val="24"/>
              </w:rPr>
              <w:t>元</w:t>
            </w: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1,651.20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0.00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1,651.20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0.00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75,607,032.50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r w:rsidRPr="00AE0465">
              <w:rPr>
                <w:rFonts w:eastAsiaTheme="minorEastAsia"/>
                <w:color w:themeColor="text1" w:val="000000"/>
                <w:sz w:val="24"/>
              </w:rPr>
              <w:t/>
            </w:r>
            <w:r w:rsidRPr="00AE0465">
              <w:rPr>
                <w:rFonts w:eastAsiaTheme="minorEastAsia" w:hint="eastAsia"/>
                <w:color w:themeColor="text1" w:val="000000"/>
                <w:sz w:val="24"/>
              </w:rPr>
              <w:t>94.34</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4,390,966.67</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5.48</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142,052.70</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0.18</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80,141,703.07</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深证300价值交易型开放式指数证券投资基金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75,607,032.50</w:t>
            </w:r>
          </w:p>
        </w:tc>
        <w:tc>
          <w:tcPr>
            <w:vAlign w:val="center"/>
          </w:tcPr>
          <w:p>
            <w:pPr>
              <w:jc w:val="right"/>
            </w:pPr>
            <w:r>
              <w:rPr>
                <w:sz w:val="24"/>
              </w:rPr>
              <w:t>94.67</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rsidRPr="000D27BF">
      <w:pPr>
        <w:rPr>
          <w:b/>
          <w:sz w:val="24"/>
        </w:rPr>
      </w:pPr>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公允价值（元）</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1,651.20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1,651.20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30</w:t>
            </w:r>
          </w:p>
        </w:tc>
        <w:tc>
          <w:tcPr>
            <w:vAlign w:val="center"/>
          </w:tcPr>
          <w:p>
            <w:pPr>
              <w:jc w:val="right"/>
            </w:pPr>
            <w:r>
              <w:rPr>
                <w:color w:val="000000"/>
                <w:sz w:val="24"/>
              </w:rPr>
              <w:t>1,555.80</w:t>
            </w:r>
          </w:p>
        </w:tc>
        <w:tc>
          <w:tcPr>
            <w:vAlign w:val="center"/>
          </w:tcPr>
          <w:p>
            <w:pPr>
              <w:jc w:val="right"/>
            </w:pPr>
            <w:r>
              <w:rPr>
                <w:color w:val="000000"/>
                <w:sz w:val="24"/>
              </w:rPr>
              <w:t>0.00</w:t>
            </w:r>
          </w:p>
        </w:tc>
      </w:tr>
      <w:tr>
        <w:tc>
          <w:tcPr>
            <w:vAlign w:val="center"/>
          </w:tcPr>
          <w:p>
            <w:pPr>
              <w:jc w:val="center"/>
            </w:pPr>
            <w:r>
              <w:rPr>
                <w:color w:val="000000"/>
                <w:sz w:val="24"/>
              </w:rPr>
              <w:t>2</w:t>
            </w:r>
          </w:p>
        </w:tc>
        <w:tc>
          <w:tcPr>
            <w:vAlign w:val="center"/>
          </w:tcPr>
          <w:p>
            <w:pPr>
              <w:jc w:val="center"/>
            </w:pPr>
            <w:r>
              <w:rPr>
                <w:color w:val="000000"/>
                <w:sz w:val="24"/>
              </w:rPr>
              <w:t>000932</w:t>
            </w:r>
          </w:p>
        </w:tc>
        <w:tc>
          <w:tcPr>
            <w:vAlign w:val="center"/>
          </w:tcPr>
          <w:p>
            <w:pPr>
              <w:jc w:val="center"/>
            </w:pPr>
            <w:r>
              <w:rPr>
                <w:color w:val="000000"/>
                <w:sz w:val="24"/>
              </w:rPr>
              <w:t>华菱钢铁</w:t>
            </w:r>
          </w:p>
        </w:tc>
        <w:tc>
          <w:tcPr>
            <w:vAlign w:val="center"/>
          </w:tcPr>
          <w:p>
            <w:pPr>
              <w:jc w:val="right"/>
            </w:pPr>
            <w:r>
              <w:rPr>
                <w:color w:val="000000"/>
                <w:sz w:val="24"/>
              </w:rPr>
              <w:t>20</w:t>
            </w:r>
          </w:p>
        </w:tc>
        <w:tc>
          <w:tcPr>
            <w:vAlign w:val="center"/>
          </w:tcPr>
          <w:p>
            <w:pPr>
              <w:jc w:val="right"/>
            </w:pPr>
            <w:r>
              <w:rPr>
                <w:color w:val="000000"/>
                <w:sz w:val="24"/>
              </w:rPr>
              <w:t>95.40</w:t>
            </w:r>
          </w:p>
        </w:tc>
        <w:tc>
          <w:tcPr>
            <w:vAlign w:val="center"/>
          </w:tcPr>
          <w:p>
            <w:pPr>
              <w:jc w:val="right"/>
            </w:pPr>
            <w:r>
              <w:rPr>
                <w:color w:val="000000"/>
                <w:sz w:val="24"/>
              </w:rPr>
              <w:t>0.00</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本基金本报告期末未持有债券。</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lastRenderedPageBreak/>
        <w:t>本基金本报告期末未持有债券。</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5.12.1报告期内本基金投资的前十名证券的发行主体未被监管部门立案调查，在本报告编制日前一年内本基金投资的前十名证券的发行主体未受到公开谴责和处罚。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r w:rsidRPr="00120EC8">
        <w:rPr>
          <w:kern w:val="0"/>
          <w:sz w:val="24"/>
        </w:rPr>
        <w:t>5.12.2本基金投资的前十名股票中，没有超出基金合同规定的备选股票库之外的股票。</w:t>
      </w:r>
    </w:p>
    <w:p w:rsidP="00B04217" w:rsidR="00220542" w:rsidRDefault="007D10B0" w:rsidRPr="00120EC8">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type="dxa" w:w="8868"/>
        <w:jc w:val="center"/>
        <w:tblLook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7,479.23</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909.71</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133,663.76</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lastRenderedPageBreak/>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142,052.70</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163AE8" w:rsidRDefault="00163AE8" w:rsidRPr="00324C76">
      <w:pPr>
        <w:spacing w:before="29" w:line="288" w:lineRule="auto"/>
        <w:rPr>
          <w:sz w:val="24"/>
        </w:rPr>
      </w:pPr>
    </w:p>
    <w:p w:rsidP="00B04217" w:rsidR="00A40C1C" w:rsidRDefault="00B31ADE" w:rsidRPr="00324C76">
      <w:pPr>
        <w:spacing w:before="29" w:line="288" w:lineRule="auto"/>
        <w:rPr>
          <w:color w:val="000000"/>
          <w:kern w:val="0"/>
          <w:sz w:val="24"/>
        </w:rPr>
      </w:pPr>
      <w:r w:rsidRPr="00324C76">
        <w:rPr>
          <w:color w:val="000000"/>
          <w:kern w:val="0"/>
          <w:sz w:val="24"/>
        </w:rPr>
        <w:t/>
      </w:r>
      <w:r w:rsidR="007D10B0" w:rsidRPr="00324C76">
        <w:rPr>
          <w:kern w:val="0"/>
          <w:sz w:val="24"/>
        </w:rPr>
        <w:t>5.12.6</w:t>
      </w:r>
      <w:r w:rsidR="00A40C1C" w:rsidRPr="00324C76">
        <w:rPr>
          <w:color w:val="000000"/>
          <w:kern w:val="0"/>
          <w:sz w:val="24"/>
        </w:rPr>
        <w:t>投资组合报告附注的其他文字描述部分</w:t>
      </w:r>
    </w:p>
    <w:p w:rsidP="00B04217" w:rsidR="002620C9" w:rsidRDefault="00A40C1C" w:rsidRPr="00324C76">
      <w:pPr>
        <w:spacing w:before="29" w:line="288" w:lineRule="auto"/>
        <w:rPr>
          <w:color w:val="000000"/>
          <w:sz w:val="24"/>
        </w:rPr>
      </w:pPr>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Lines="100" w:beforeLines="100" w:line="288" w:lineRule="auto"/>
        <w:jc w:val="center"/>
        <w:rPr>
          <w:kern w:val="0"/>
          <w:sz w:val="24"/>
          <w:szCs w:val="24"/>
        </w:rPr>
      </w:pPr>
      <w:r w:rsidRPr="00C51B4E">
        <w:rPr>
          <w:rFonts w:eastAsiaTheme="minorEastAsia"/>
          <w:color w:themeColor="text1" w:val="000000"/>
          <w:kern w:val="0"/>
          <w:sz w:val="21"/>
          <w:szCs w:val="21"/>
        </w:rPr>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r w:rsidR="00A40C1C" w:rsidRPr="00324C76">
              <w:rPr>
                <w:color w:val="000000"/>
                <w:sz w:val="24"/>
              </w:rPr>
              <w:t>44,905,114.96</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14,194,625.56</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12,828,032.31</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46,271,708.21</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Lines="100"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xml:space="preserve">7.1 </w:t>
      </w:r>
      <w:r w:rsidRPr="00F229B7">
        <w:rPr>
          <w:b/>
          <w:sz w:val="24"/>
        </w:rPr>
        <w:t>基金管理人持有本基金份额变动情况</w:t>
      </w:r>
    </w:p>
    <w:p w:rsidP="00B04217" w:rsidR="00F229B7" w:rsidRDefault="00F229B7" w:rsidRPr="00F229B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sz w:val="24"/>
        </w:rPr>
        <w:t/>
      </w:r>
      <w:r w:rsidRPr="00F229B7">
        <w:rPr>
          <w:rFonts w:eastAsiaTheme="minorEastAsia" w:hAnsiTheme="minorEastAsia"/>
          <w:color w:val="000000"/>
          <w:kern w:val="0"/>
          <w:sz w:val="24"/>
        </w:rPr>
        <w:t>单位：份</w:t>
      </w:r>
    </w:p>
    <w:tbl>
      <w:tblPr>
        <w:tblW w:type="dxa" w:w="8868"/>
        <w:jc w:val="center"/>
        <w:tblLayout w:type="fixed"/>
        <w:tblLook w:val="04A0"/>
      </w:tblPr>
      <w:tblGrid>
        <w:gridCol w:w="5308"/>
        <w:gridCol w:w="3560"/>
      </w:tblGrid>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r w:rsidRPr="00F229B7">
              <w:rPr>
                <w:rFonts w:eastAsiaTheme="minorEastAsia"/>
                <w:szCs w:val="24"/>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28.36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w:r>
      <w:r w:rsidR="00784955">
        <w:rPr>
          <w:rFonts w:eastAsiaTheme="minorEastAsia" w:hint="eastAsia"/>
          <w:color w:val="000000"/>
          <w:sz w:val="24"/>
        </w:rPr>
        <w:t/>
      </w:r>
      <w:r w:rsidRPr="00F229B7">
        <w:rPr>
          <w:rFonts w:eastAsiaTheme="minorEastAsia"/>
          <w:color w:val="000000"/>
          <w:sz w:val="24"/>
        </w:rPr>
        <w:t>2、如果本报告期间发生转换出业务，则总赎回份额中包含该业务。</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lastRenderedPageBreak/>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96A7B" w:rsidRDefault="00696A7B">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w:t>
      </w:r>
      <w:r w:rsidR="00C66A9E">
        <w:rPr>
          <w:rFonts w:asciiTheme="minorEastAsia" w:cs="Arial" w:eastAsiaTheme="minorEastAsia" w:hAnsiTheme="minorEastAsia"/>
          <w:color w:themeColor="text1" w:val="000000"/>
          <w:kern w:val="0"/>
          <w:sz w:val="24"/>
          <w:szCs w:val="24"/>
        </w:rPr>
        <w:t xml:space="preserve">  </w:t>
      </w:r>
      <w:r>
        <w:rPr>
          <w:rFonts w:asciiTheme="minorEastAsia" w:cs="Arial" w:eastAsiaTheme="minorEastAsia" w:hAnsiTheme="minorEastAsia" w:hint="eastAsia"/>
          <w:color w:themeColor="text1" w:val="000000"/>
          <w:kern w:val="0"/>
          <w:sz w:val="24"/>
          <w:szCs w:val="24"/>
        </w:rPr>
        <w:t>影响投资者决策的其他重要信息</w:t>
      </w:r>
    </w:p>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696A7B" w:rsidTr="00696A7B">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type="dxa" w:w="993"/>
            <w:vMerge/>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left"/>
              <w:rPr>
                <w:rFonts w:ascii="宋体" w:hAnsi="宋体"/>
                <w:b/>
                <w:bCs/>
                <w:color w:val="000000"/>
                <w:kern w:val="0"/>
                <w:sz w:val="24"/>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tc>
          <w:tcPr>
            <w:vMerge w:val="restart"/>
          </w:tcPr>
          <w:p/>
          <w:p>
            <w:r>
              <w:rPr>
                <w:rFonts w:ascii="宋体" w:hAnsi="宋体" w:hint="eastAsia"/>
                <w:bCs/>
                <w:color w:val="000000"/>
                <w:kern w:val="0"/>
                <w:sz w:val="24"/>
              </w:rPr>
              <w:t>机构</w:t>
            </w:r>
          </w:p>
        </w:tc>
        <w:tc>
          <w:tcPr>
            <w:vAlign w:val="center"/>
          </w:tcPr>
          <w:p>
            <w:pPr>
              <w:jc w:val="center"/>
            </w:pPr>
            <w:r>
              <w:rPr>
                <w:rFonts w:ascii="宋体" w:hAnsi="宋体" w:hint="eastAsia"/>
                <w:color w:val="000000"/>
                <w:kern w:val="0"/>
                <w:sz w:val="24"/>
              </w:rPr>
              <w:t>1</w:t>
            </w:r>
          </w:p>
        </w:tc>
        <w:tc>
          <w:tcPr>
            <w:vAlign w:val="center"/>
          </w:tcPr>
          <w:p>
            <w:pPr>
              <w:jc w:val="center"/>
            </w:pPr>
            <w:r>
              <w:rPr>
                <w:rFonts w:ascii="宋体" w:hAnsi="宋体" w:hint="eastAsia"/>
                <w:color w:val="000000"/>
                <w:kern w:val="0"/>
                <w:sz w:val="24"/>
              </w:rPr>
              <w:t>2019/4/1-2019/6/30</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28.36%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r>
              <w:rPr>
                <w:rFonts w:ascii="宋体" w:hAnsi="宋体" w:hint="eastAsia"/>
                <w:kern w:val="0"/>
                <w:sz w:val="24"/>
              </w:rPr>
              <w:t/>
            </w:r>
          </w:p>
        </w:tc>
      </w:tr>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48293C" w:rsidR="006A0A24" w:rsidRDefault="00220542" w:rsidRPr="00495FAB">
      <w:pPr>
        <w:pStyle w:val="1"/>
        <w:spacing w:afterLines="100"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1、中国证监会核准交银施罗德深证300价值交易型开放式指数证券投资基金联接基金募集的文件；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2、《交银施罗德深证300价值交易型开放式指数证券投资基金联接基金基金合同》； </w:t>
      </w:r>
    </w:p>
    <w:p>
      <w:pPr>
        <w:spacing w:before="29" w:line="288" w:lineRule="auto"/>
        <w:ind w:firstLine="480" w:firstLineChars="200"/>
        <w:rPr>
          <w:color w:val="000000"/>
          <w:sz w:val="24"/>
        </w:rPr>
      </w:pPr>
      <w:r>
        <w:rPr>
          <w:color w:val="000000"/>
          <w:sz w:val="24"/>
        </w:rPr>
        <w:t>3、《交银施罗德深证300价值交易型开放式指数证券投资基金联接基金招募说明书》；</w:t>
      </w:r>
    </w:p>
    <w:p>
      <w:pPr>
        <w:spacing w:before="29" w:line="288" w:lineRule="auto"/>
        <w:ind w:firstLine="480" w:firstLineChars="200"/>
        <w:rPr>
          <w:color w:val="000000"/>
          <w:sz w:val="24"/>
        </w:rPr>
      </w:pPr>
      <w:r>
        <w:rPr>
          <w:color w:val="000000"/>
          <w:sz w:val="24"/>
        </w:rPr>
        <w:t>4、《交银施罗德深证300价值交易型开放式指数证券投资基金联接基金托管协议》；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5、关于申请募集交银施罗德深证300价值交易型开放式指数证券投资基金联接基金之法律意见书；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8、报告期内交银施罗德深证300价值交易型开放式指数证券投资基金联接基金在指定报刊上各项公告的原稿。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A5B" w:rsidRDefault="00542A5B">
      <w:r>
        <w:separator/>
      </w:r>
    </w:p>
  </w:endnote>
  <w:endnote w:type="continuationSeparator" w:id="0">
    <w:p w:rsidR="00542A5B" w:rsidRDefault="00542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A170A" w:rsidRDefault="00BA170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48293C">
      <w:rPr>
        <w:noProof/>
        <w:kern w:val="0"/>
        <w:szCs w:val="21"/>
      </w:rPr>
      <w:t>26</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48293C">
      <w:rPr>
        <w:noProof/>
        <w:kern w:val="0"/>
        <w:szCs w:val="21"/>
      </w:rPr>
      <w:t>28</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A170A" w:rsidRDefault="00BA170A">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542A5B" w:rsidRDefault="00542A5B">
      <w:r>
        <w:separator/>
      </w:r>
    </w:p>
  </w:footnote>
  <w:footnote w:id="0" w:type="continuationSeparator">
    <w:p w:rsidR="00542A5B" w:rsidRDefault="00542A5B">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A170A" w:rsidRDefault="00BA170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E74491" w:rsidR="00FC3631" w:rsidRDefault="00E74491" w:rsidRPr="00E74491">
    <w:pPr>
      <w:pStyle w:val="a9"/>
      <w:pBdr>
        <w:bottom w:color="auto" w:space="0" w:sz="6" w:val="single"/>
      </w:pBdr>
      <w:ind w:firstLine="480"/>
      <w:jc w:val="right"/>
      <w:rPr>
        <w:sz w:val="24"/>
        <w:szCs w:val="24"/>
      </w:rPr>
    </w:pPr>
    <w:r w:rsidRPr="003E676C">
      <w:rPr>
        <w:sz w:val="24"/>
        <w:szCs w:val="24"/>
      </w:rPr>
      <w:t>交银施罗德深证300价值交易型开放式指数证券投资基金联接基金2019年第2季度报告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A170A" w:rsidRDefault="00BA170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proofState w:spelling="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4A0F-3C2F-4250-9B2F-0EAE7A87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340</TotalTime>
  <Pages>26</Pages>
  <Words>3973</Words>
  <Characters>22652</Characters>
  <Application>Microsoft Office Word</Application>
  <DocSecurity>0</DocSecurity>
  <Lines>188</Lines>
  <Paragraphs>53</Paragraphs>
  <ScaleCrop>false</ScaleCrop>
  <Company>TRT. Ltd. Co.</Company>
  <LinksUpToDate>false</LinksUpToDate>
  <CharactersWithSpaces>26572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Administrator</cp:lastModifiedBy>
  <cp:lastPrinted>2007-07-19T00:46:00Z</cp:lastPrinted>
  <dcterms:modified xsi:type="dcterms:W3CDTF">2019-04-16T09:05:00Z</dcterms:modified>
  <cp:revision>414</cp:revision>
</cp:coreProperties>
</file>