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中国邮政储蓄银行股份有限公司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基金托管人中国邮政储蓄银行股份有限公司根据本基金合同规定，于2019年7月16日复核了本报告中的财务指标、净值表现和投资组合报告等内容，保证复核内容不存在虚假记载、误导性陈述或者重大遗漏。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671,135,249.18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582,175,252.87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88,959,996.31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(2019年4月1日-2019年6月30日)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交银裕隆纯债债券A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交银裕隆纯债债券C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6,631,245.88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973,400.70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4,941,644.56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756,796.60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664,043,123.61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101,112,227.49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1.1406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1.1366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交银裕隆纯债债券A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0.86%</w:t>
            </w:r>
          </w:p>
        </w:tc>
        <w:tc>
          <w:tcPr>
            <w:vAlign w:val="center"/>
          </w:tcPr>
          <w:p>
            <w:pPr>
              <w:jc w:val="center"/>
            </w:pPr>
            <w:r>
              <w:rPr>
                <w:color w:val="000000"/>
                <w:sz w:val="24"/>
              </w:rPr>
              <w:t>0.04%</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1.09%</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交银裕隆纯债债券C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0.76%</w:t>
            </w:r>
          </w:p>
        </w:tc>
        <w:tc>
          <w:tcPr>
            <w:vAlign w:val="center"/>
          </w:tcPr>
          <w:p>
            <w:pPr>
              <w:jc w:val="center"/>
            </w:pPr>
            <w:r>
              <w:rPr>
                <w:color w:val="000000"/>
                <w:sz w:val="24"/>
              </w:rPr>
              <w:t>0.04%</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0.99%</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交银施罗德裕隆纯债债券型证券投资基金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2016年11月28日</w:t>
      </w:r>
      <w:r w:rsidR="009A045B" w:rsidRPr="007F52FA">
        <w:rPr>
          <w:rFonts w:ascii="Times New Roman" w:hAnsi="Times New Roman"/>
          <w:sz w:val="24"/>
          <w:szCs w:val="24"/>
        </w:rPr>
        <w:t>至</w:t>
      </w:r>
      <w:r w:rsidRPr="007F52FA">
        <w:rPr>
          <w:rFonts w:ascii="Times New Roman" w:hAnsi="Times New Roman"/>
          <w:sz w:val="24"/>
          <w:szCs w:val="24"/>
        </w:rPr>
        <w:t>2019年6月30日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交银裕隆纯债债券C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前紧后松”的态势，银行间隔夜利率30天移动平均数从2.46%的高位走低至1.86%，下行幅度在60bps，七天和隔夜的利差扩大至50-60bps。银行存单市场收益率在六月出现下行，AAA评级的三个月银行存单在六月上旬成交在2.80-2.95%之间，到下旬后便快速回落到2.50%附近。报告期内，三个月上海银行间拆借利率下行9bps到2.71%。</w:t>
      </w:r>
    </w:p>
    <w:p>
      <w:pPr>
        <w:spacing w:before="29" w:line="288" w:lineRule="auto"/>
        <w:ind w:firstLine="480" w:firstLineChars="200"/>
        <w:rPr>
          <w:color w:val="000000"/>
          <w:sz w:val="24"/>
        </w:rPr>
      </w:pPr>
      <w:r>
        <w:rPr>
          <w:color w:val="000000"/>
          <w:sz w:val="24"/>
        </w:rPr>
        <w:t>基金操作方面，从绝对收益率、期限利差和杠杆成本角度看，目前中短端仍是较好的选择，本基金以配置短久期的信用债为主，辅以合理杠杆水平来提高收益。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组合操作方面，在保持组合流动性的前提下关注交易窗口，把握适度久期，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876,041,400.00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876,041,400.00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513,065.13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17,618,843.68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894,173,308.81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500,400.00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0.07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40,053,000.00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40,053,000.00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835,488,000.00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109.19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876,041,400.00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114.49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101764041</w:t>
            </w:r>
          </w:p>
        </w:tc>
        <w:tc>
          <w:tcPr>
            <w:vAlign w:val="center"/>
          </w:tcPr>
          <w:p>
            <w:pPr>
              <w:jc w:val="center"/>
            </w:pPr>
            <w:r>
              <w:rPr>
                <w:color w:val="000000"/>
                <w:sz w:val="24"/>
              </w:rPr>
              <w:t>17浦口城乡MTN001</w:t>
            </w:r>
          </w:p>
        </w:tc>
        <w:tc>
          <w:tcPr>
            <w:vAlign w:val="center"/>
          </w:tcPr>
          <w:p>
            <w:pPr>
              <w:jc w:val="right"/>
            </w:pPr>
            <w:r>
              <w:rPr>
                <w:color w:val="000000"/>
                <w:sz w:val="24"/>
              </w:rPr>
              <w:t>600,000</w:t>
            </w:r>
          </w:p>
        </w:tc>
        <w:tc>
          <w:tcPr>
            <w:vAlign w:val="center"/>
          </w:tcPr>
          <w:p>
            <w:pPr>
              <w:jc w:val="right"/>
            </w:pPr>
            <w:r>
              <w:rPr>
                <w:color w:val="000000"/>
                <w:sz w:val="24"/>
              </w:rPr>
              <w:t>61,338,000.00</w:t>
            </w:r>
          </w:p>
        </w:tc>
        <w:tc>
          <w:tcPr>
            <w:vAlign w:val="center"/>
          </w:tcPr>
          <w:p>
            <w:pPr>
              <w:jc w:val="right"/>
            </w:pPr>
            <w:r>
              <w:rPr>
                <w:color w:val="000000"/>
                <w:sz w:val="24"/>
              </w:rPr>
              <w:t>8.02</w:t>
            </w:r>
          </w:p>
        </w:tc>
      </w:tr>
      <w:tr>
        <w:tc>
          <w:tcPr>
            <w:vAlign w:val="center"/>
          </w:tcPr>
          <w:p>
            <w:pPr>
              <w:jc w:val="center"/>
            </w:pPr>
            <w:r>
              <w:rPr>
                <w:color w:val="000000"/>
                <w:sz w:val="24"/>
              </w:rPr>
              <w:t>2</w:t>
            </w:r>
          </w:p>
        </w:tc>
        <w:tc>
          <w:tcPr>
            <w:vAlign w:val="center"/>
          </w:tcPr>
          <w:p>
            <w:pPr>
              <w:jc w:val="center"/>
            </w:pPr>
            <w:r>
              <w:rPr>
                <w:color w:val="000000"/>
                <w:sz w:val="24"/>
              </w:rPr>
              <w:t>101661014</w:t>
            </w:r>
          </w:p>
        </w:tc>
        <w:tc>
          <w:tcPr>
            <w:vAlign w:val="center"/>
          </w:tcPr>
          <w:p>
            <w:pPr>
              <w:jc w:val="center"/>
            </w:pPr>
            <w:r>
              <w:rPr>
                <w:color w:val="000000"/>
                <w:sz w:val="24"/>
              </w:rPr>
              <w:t>16绵阳交通MTN001</w:t>
            </w:r>
          </w:p>
        </w:tc>
        <w:tc>
          <w:tcPr>
            <w:vAlign w:val="center"/>
          </w:tcPr>
          <w:p>
            <w:pPr>
              <w:jc w:val="right"/>
            </w:pPr>
            <w:r>
              <w:rPr>
                <w:color w:val="000000"/>
                <w:sz w:val="24"/>
              </w:rPr>
              <w:t>500,000</w:t>
            </w:r>
          </w:p>
        </w:tc>
        <w:tc>
          <w:tcPr>
            <w:vAlign w:val="center"/>
          </w:tcPr>
          <w:p>
            <w:pPr>
              <w:jc w:val="right"/>
            </w:pPr>
            <w:r>
              <w:rPr>
                <w:color w:val="000000"/>
                <w:sz w:val="24"/>
              </w:rPr>
              <w:t>49,935,000.00</w:t>
            </w:r>
          </w:p>
        </w:tc>
        <w:tc>
          <w:tcPr>
            <w:vAlign w:val="center"/>
          </w:tcPr>
          <w:p>
            <w:pPr>
              <w:jc w:val="right"/>
            </w:pPr>
            <w:r>
              <w:rPr>
                <w:color w:val="000000"/>
                <w:sz w:val="24"/>
              </w:rPr>
              <w:t>6.53</w:t>
            </w:r>
          </w:p>
        </w:tc>
      </w:tr>
      <w:tr>
        <w:tc>
          <w:tcPr>
            <w:vAlign w:val="center"/>
          </w:tcPr>
          <w:p>
            <w:pPr>
              <w:jc w:val="center"/>
            </w:pPr>
            <w:r>
              <w:rPr>
                <w:color w:val="000000"/>
                <w:sz w:val="24"/>
              </w:rPr>
              <w:t>3</w:t>
            </w:r>
          </w:p>
        </w:tc>
        <w:tc>
          <w:tcPr>
            <w:vAlign w:val="center"/>
          </w:tcPr>
          <w:p>
            <w:pPr>
              <w:jc w:val="center"/>
            </w:pPr>
            <w:r>
              <w:rPr>
                <w:color w:val="000000"/>
                <w:sz w:val="24"/>
              </w:rPr>
              <w:t>101800285</w:t>
            </w:r>
          </w:p>
        </w:tc>
        <w:tc>
          <w:tcPr>
            <w:vAlign w:val="center"/>
          </w:tcPr>
          <w:p>
            <w:pPr>
              <w:jc w:val="center"/>
            </w:pPr>
            <w:r>
              <w:rPr>
                <w:color w:val="000000"/>
                <w:sz w:val="24"/>
              </w:rPr>
              <w:t>18新余城建MTN001</w:t>
            </w:r>
          </w:p>
        </w:tc>
        <w:tc>
          <w:tcPr>
            <w:vAlign w:val="center"/>
          </w:tcPr>
          <w:p>
            <w:pPr>
              <w:jc w:val="right"/>
            </w:pPr>
            <w:r>
              <w:rPr>
                <w:color w:val="000000"/>
                <w:sz w:val="24"/>
              </w:rPr>
              <w:t>400,000</w:t>
            </w:r>
          </w:p>
        </w:tc>
        <w:tc>
          <w:tcPr>
            <w:vAlign w:val="center"/>
          </w:tcPr>
          <w:p>
            <w:pPr>
              <w:jc w:val="right"/>
            </w:pPr>
            <w:r>
              <w:rPr>
                <w:color w:val="000000"/>
                <w:sz w:val="24"/>
              </w:rPr>
              <w:t>41,572,000.00</w:t>
            </w:r>
          </w:p>
        </w:tc>
        <w:tc>
          <w:tcPr>
            <w:vAlign w:val="center"/>
          </w:tcPr>
          <w:p>
            <w:pPr>
              <w:jc w:val="right"/>
            </w:pPr>
            <w:r>
              <w:rPr>
                <w:color w:val="000000"/>
                <w:sz w:val="24"/>
              </w:rPr>
              <w:t>5.43</w:t>
            </w:r>
          </w:p>
        </w:tc>
      </w:tr>
      <w:tr>
        <w:tc>
          <w:tcPr>
            <w:vAlign w:val="center"/>
          </w:tcPr>
          <w:p>
            <w:pPr>
              <w:jc w:val="center"/>
            </w:pPr>
            <w:r>
              <w:rPr>
                <w:color w:val="000000"/>
                <w:sz w:val="24"/>
              </w:rPr>
              <w:t>4</w:t>
            </w:r>
          </w:p>
        </w:tc>
        <w:tc>
          <w:tcPr>
            <w:vAlign w:val="center"/>
          </w:tcPr>
          <w:p>
            <w:pPr>
              <w:jc w:val="center"/>
            </w:pPr>
            <w:r>
              <w:rPr>
                <w:color w:val="000000"/>
                <w:sz w:val="24"/>
              </w:rPr>
              <w:t>101760007</w:t>
            </w:r>
          </w:p>
        </w:tc>
        <w:tc>
          <w:tcPr>
            <w:vAlign w:val="center"/>
          </w:tcPr>
          <w:p>
            <w:pPr>
              <w:jc w:val="center"/>
            </w:pPr>
            <w:r>
              <w:rPr>
                <w:color w:val="000000"/>
                <w:sz w:val="24"/>
              </w:rPr>
              <w:t>17象屿MTN001</w:t>
            </w:r>
          </w:p>
        </w:tc>
        <w:tc>
          <w:tcPr>
            <w:vAlign w:val="center"/>
          </w:tcPr>
          <w:p>
            <w:pPr>
              <w:jc w:val="right"/>
            </w:pPr>
            <w:r>
              <w:rPr>
                <w:color w:val="000000"/>
                <w:sz w:val="24"/>
              </w:rPr>
              <w:t>400,000</w:t>
            </w:r>
          </w:p>
        </w:tc>
        <w:tc>
          <w:tcPr>
            <w:vAlign w:val="center"/>
          </w:tcPr>
          <w:p>
            <w:pPr>
              <w:jc w:val="right"/>
            </w:pPr>
            <w:r>
              <w:rPr>
                <w:color w:val="000000"/>
                <w:sz w:val="24"/>
              </w:rPr>
              <w:t>40,516,000.00</w:t>
            </w:r>
          </w:p>
        </w:tc>
        <w:tc>
          <w:tcPr>
            <w:vAlign w:val="center"/>
          </w:tcPr>
          <w:p>
            <w:pPr>
              <w:jc w:val="right"/>
            </w:pPr>
            <w:r>
              <w:rPr>
                <w:color w:val="000000"/>
                <w:sz w:val="24"/>
              </w:rPr>
              <w:t>5.30</w:t>
            </w:r>
          </w:p>
        </w:tc>
      </w:tr>
      <w:tr>
        <w:tc>
          <w:tcPr>
            <w:vAlign w:val="center"/>
          </w:tcPr>
          <w:p>
            <w:pPr>
              <w:jc w:val="center"/>
            </w:pPr>
            <w:r>
              <w:rPr>
                <w:color w:val="000000"/>
                <w:sz w:val="24"/>
              </w:rPr>
              <w:t>5</w:t>
            </w:r>
          </w:p>
        </w:tc>
        <w:tc>
          <w:tcPr>
            <w:vAlign w:val="center"/>
          </w:tcPr>
          <w:p>
            <w:pPr>
              <w:jc w:val="center"/>
            </w:pPr>
            <w:r>
              <w:rPr>
                <w:color w:val="000000"/>
                <w:sz w:val="24"/>
              </w:rPr>
              <w:t>101652045</w:t>
            </w:r>
          </w:p>
        </w:tc>
        <w:tc>
          <w:tcPr>
            <w:vAlign w:val="center"/>
          </w:tcPr>
          <w:p>
            <w:pPr>
              <w:jc w:val="center"/>
            </w:pPr>
            <w:r>
              <w:rPr>
                <w:color w:val="000000"/>
                <w:sz w:val="24"/>
              </w:rPr>
              <w:t>16许继MTN001</w:t>
            </w:r>
          </w:p>
        </w:tc>
        <w:tc>
          <w:tcPr>
            <w:vAlign w:val="center"/>
          </w:tcPr>
          <w:p>
            <w:pPr>
              <w:jc w:val="right"/>
            </w:pPr>
            <w:r>
              <w:rPr>
                <w:color w:val="000000"/>
                <w:sz w:val="24"/>
              </w:rPr>
              <w:t>400,000</w:t>
            </w:r>
          </w:p>
        </w:tc>
        <w:tc>
          <w:tcPr>
            <w:vAlign w:val="center"/>
          </w:tcPr>
          <w:p>
            <w:pPr>
              <w:jc w:val="right"/>
            </w:pPr>
            <w:r>
              <w:rPr>
                <w:color w:val="000000"/>
                <w:sz w:val="24"/>
              </w:rPr>
              <w:t>40,160,000.00</w:t>
            </w:r>
          </w:p>
        </w:tc>
        <w:tc>
          <w:tcPr>
            <w:vAlign w:val="center"/>
          </w:tcPr>
          <w:p>
            <w:pPr>
              <w:jc w:val="right"/>
            </w:pPr>
            <w:r>
              <w:rPr>
                <w:color w:val="000000"/>
                <w:sz w:val="24"/>
              </w:rPr>
              <w:t>5.25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3,421.05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16,486,387.48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1,129,035.15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17,618,843.68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交银裕隆纯债债券A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交银裕隆纯债债券C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553,099,848.28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89,485,339.69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566,687,779.24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1,619,682.74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537,612,374.65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2,145,026.12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582,175,252.87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88,959,996.31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	</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69.18%</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524,334,266.68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524,334,266.68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1、中国证监会准予交银施罗德裕隆纯债债券型证券投资基金募集注册的文件；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2、《交银施罗德裕隆纯债债券型证券投资基金基金合同》；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3、《交银施罗德裕隆纯债债券型证券投资基金招募说明书》；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4、《交银施罗德裕隆纯债债券型证券投资基金托管协议》；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5、关于申请募集注册交银施罗德裕隆纯债债券型证券投资基金的法律意见书；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8、报告期内交银施罗德裕隆纯债债券型证券投资基金在指定报刊上各项公告的原稿。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87122">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87122">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CE3F08" w:rsidRDefault="00CE3F08">
      <w:r>
        <w:separator/>
      </w:r>
    </w:p>
  </w:footnote>
  <w:footnote w:id="0" w:type="continuationSeparator">
    <w:p w:rsidR="00CE3F08" w:rsidRDefault="00CE3F0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交银施罗德裕隆纯债债券型证券投资基金2019年第2季度报告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756-3F40-4048-9F43-4670680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27</Pages>
  <Words>4288</Words>
  <Characters>24444</Characters>
  <Application>Microsoft Office Word</Application>
  <DocSecurity>0</DocSecurity>
  <Lines>203</Lines>
  <Paragraphs>57</Paragraphs>
  <ScaleCrop>false</ScaleCrop>
  <Company>TRT. Ltd. Co.</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2019-07-04T03:19:00Z</dcterms:modified>
  <cp:revision>389</cp:revision>
</cp:coreProperties>
</file>