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554,442,890.19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554,090,067.37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352,822.82</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(2019年4月1日-2019年6月30日)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14,428,838.43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7,532.66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7,158,657.43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2,461.09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0.0040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590,662,982.20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395,319.04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1.120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0.66%</w:t>
            </w:r>
          </w:p>
        </w:tc>
        <w:tc>
          <w:tcPr>
            <w:vAlign w:val="center"/>
          </w:tcPr>
          <w:p>
            <w:pPr>
              <w:jc w:val="center"/>
            </w:pPr>
            <w:r>
              <w:rPr>
                <w:color w:val="000000"/>
                <w:sz w:val="24"/>
              </w:rPr>
              <w:t>0.04%</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0.89%</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0.54%</w:t>
            </w:r>
          </w:p>
        </w:tc>
        <w:tc>
          <w:tcPr>
            <w:vAlign w:val="center"/>
          </w:tcPr>
          <w:p>
            <w:pPr>
              <w:jc w:val="center"/>
            </w:pPr>
            <w:r>
              <w:rPr>
                <w:color w:val="000000"/>
                <w:sz w:val="24"/>
              </w:rPr>
              <w:t>0.04%</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0.77%</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2019年6月30日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二季度，国内固定资产投资增速放缓，中美贸易谈判再遇波折，叠加海外发达经济体增速显著放缓等影响，国内宏观经济再次走弱。房地产投资增速从高位开始下降，基建投资稳增长比较乏力，二季度固定资产投资增速下行承压。受中美贸易谈判波折等因素影响，二季度制造业景气度下降，中采制造业PMI再次降至荣枯线以下。中美贸易谈判在五月再次遇阻，美方在贸易领域、科技等领域对我国进一步施压，再次影响到企业与市场投资者的信心。受猪肉与果蔬等价格大幅上涨的结构性因素影响，二季度国内CPI上行承压。在海外，美日欧等发达经济体存在下行压力。货币政策上，由于一季度国内经济有回暖迹象，四月央行货币政策边际上向中性回归，但是五月中美贸易战硝烟再起，加上个别银行信用风险暴露影响货币市场流动性，央行于五月下旬再次加大了公开市场投放力度，二季度央行在公开市场净投放7784亿。</w:t>
      </w:r>
    </w:p>
    <w:p>
      <w:pPr>
        <w:spacing w:before="29" w:line="288" w:lineRule="auto"/>
        <w:ind w:firstLine="480" w:firstLineChars="200"/>
        <w:rPr>
          <w:color w:val="000000"/>
          <w:sz w:val="24"/>
        </w:rPr>
      </w:pPr>
      <w:r>
        <w:rPr>
          <w:color w:val="000000"/>
          <w:sz w:val="24"/>
        </w:rPr>
        <w:t>资金面上，受缴税、央行公开市场操作等因素影响，二季度货币市场资金面比较波折。四月中下旬市场资金面曾一度趋紧，五月下旬个别银行信用风险暴露后，资金供给方大幅提高融资质押门槛，市场资金面大幅趋紧。但随后在央行释放流动性及其他监管机构协调维稳下，资金面整体上趋于宽松，六月下旬市场流动性非常宽松，持有高等级券的融资方轻松跨季，高等级存单收益率降至历史较低位置。受中美贸易谈判扰动，经济数据波动以及央行货币政策操作边际变化等影响，二季度债市较为波折，整体上呈震荡整理格局。</w:t>
      </w:r>
    </w:p>
    <w:p>
      <w:pPr>
        <w:spacing w:before="29" w:line="288" w:lineRule="auto"/>
        <w:ind w:firstLine="480" w:firstLineChars="200"/>
        <w:rPr>
          <w:color w:val="000000"/>
          <w:sz w:val="24"/>
        </w:rPr>
      </w:pPr>
      <w:r>
        <w:rPr>
          <w:color w:val="000000"/>
          <w:sz w:val="24"/>
        </w:rPr>
        <w:t>基金操作方面，报告期内本基金减持部分债券以期满足基金份额持有人潜在赎回需求，同时尽力把握市场走势，择机调整组合杠杆与久期，动态调整持仓债券，管控信用风险，为持有人创造稳健的回报。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三季度，考虑中美贸易战的扰动以及固定资产投资增长乏力等因素，国内经济继续放缓的概率较高。但是，大阪G20中美元首会晤后中美贸易谈判再现曙光以及国内减税降费财政政策推进与改革开放力度加大，可能增强国内经济运行的韧劲。预计短期内人行货币政策将维持中性偏松，保持逆周期调节作用，但公开市场操作边际上可能会再次收紧一些。我们将密切关注中美贸易谈判的进展以及中央经济政策动态。组合管理方面，本基金将紧密跟踪研判宏观经济走势与央行货币政策操作，同时尽力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757,519,640.00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757,519,640.00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465,442.11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14,805,528.18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772,790,610.29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50,323,640.00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8.51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353,584,000.00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59.82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353,584,000.00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59.82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12,210,000.00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2.07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312,518,000.00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52.87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28,884,000.00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4.89</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757,519,640.00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128.16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700,000</w:t>
            </w:r>
          </w:p>
        </w:tc>
        <w:tc>
          <w:tcPr>
            <w:vAlign w:val="center"/>
          </w:tcPr>
          <w:p>
            <w:pPr>
              <w:jc w:val="right"/>
            </w:pPr>
            <w:r>
              <w:rPr>
                <w:color w:val="000000"/>
                <w:sz w:val="24"/>
              </w:rPr>
              <w:t>70,784,000.00</w:t>
            </w:r>
          </w:p>
        </w:tc>
        <w:tc>
          <w:tcPr>
            <w:vAlign w:val="center"/>
          </w:tcPr>
          <w:p>
            <w:pPr>
              <w:jc w:val="right"/>
            </w:pPr>
            <w:r>
              <w:rPr>
                <w:color w:val="000000"/>
                <w:sz w:val="24"/>
              </w:rPr>
              <w:t>11.98</w:t>
            </w:r>
          </w:p>
        </w:tc>
      </w:tr>
      <w:tr>
        <w:tc>
          <w:tcPr>
            <w:vAlign w:val="center"/>
          </w:tcPr>
          <w:p>
            <w:pPr>
              <w:jc w:val="center"/>
            </w:pPr>
            <w:r>
              <w:rPr>
                <w:color w:val="000000"/>
                <w:sz w:val="24"/>
              </w:rPr>
              <w:t>2</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600,000</w:t>
            </w:r>
          </w:p>
        </w:tc>
        <w:tc>
          <w:tcPr>
            <w:vAlign w:val="center"/>
          </w:tcPr>
          <w:p>
            <w:pPr>
              <w:jc w:val="right"/>
            </w:pPr>
            <w:r>
              <w:rPr>
                <w:color w:val="000000"/>
                <w:sz w:val="24"/>
              </w:rPr>
              <w:t>60,042,000.00</w:t>
            </w:r>
          </w:p>
        </w:tc>
        <w:tc>
          <w:tcPr>
            <w:vAlign w:val="center"/>
          </w:tcPr>
          <w:p>
            <w:pPr>
              <w:jc w:val="right"/>
            </w:pPr>
            <w:r>
              <w:rPr>
                <w:color w:val="000000"/>
                <w:sz w:val="24"/>
              </w:rPr>
              <w:t>10.16</w:t>
            </w:r>
          </w:p>
        </w:tc>
      </w:tr>
      <w:tr>
        <w:tc>
          <w:tcPr>
            <w:vAlign w:val="center"/>
          </w:tcPr>
          <w:p>
            <w:pPr>
              <w:jc w:val="center"/>
            </w:pPr>
            <w:r>
              <w:rPr>
                <w:color w:val="000000"/>
                <w:sz w:val="24"/>
              </w:rPr>
              <w:t>3</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500,000</w:t>
            </w:r>
          </w:p>
        </w:tc>
        <w:tc>
          <w:tcPr>
            <w:vAlign w:val="center"/>
          </w:tcPr>
          <w:p>
            <w:pPr>
              <w:jc w:val="right"/>
            </w:pPr>
            <w:r>
              <w:rPr>
                <w:color w:val="000000"/>
                <w:sz w:val="24"/>
              </w:rPr>
              <w:t>50,600,000.00</w:t>
            </w:r>
          </w:p>
        </w:tc>
        <w:tc>
          <w:tcPr>
            <w:vAlign w:val="center"/>
          </w:tcPr>
          <w:p>
            <w:pPr>
              <w:jc w:val="right"/>
            </w:pPr>
            <w:r>
              <w:rPr>
                <w:color w:val="000000"/>
                <w:sz w:val="24"/>
              </w:rPr>
              <w:t>8.56</w:t>
            </w:r>
          </w:p>
        </w:tc>
      </w:tr>
      <w:tr>
        <w:tc>
          <w:tcPr>
            <w:vAlign w:val="center"/>
          </w:tcPr>
          <w:p>
            <w:pPr>
              <w:jc w:val="center"/>
            </w:pPr>
            <w:r>
              <w:rPr>
                <w:color w:val="000000"/>
                <w:sz w:val="24"/>
              </w:rPr>
              <w:t>4</w:t>
            </w:r>
          </w:p>
        </w:tc>
        <w:tc>
          <w:tcPr>
            <w:vAlign w:val="center"/>
          </w:tcPr>
          <w:p>
            <w:pPr>
              <w:jc w:val="center"/>
            </w:pPr>
            <w:r>
              <w:rPr>
                <w:color w:val="000000"/>
                <w:sz w:val="24"/>
              </w:rPr>
              <w:t>180026</w:t>
            </w:r>
          </w:p>
        </w:tc>
        <w:tc>
          <w:tcPr>
            <w:vAlign w:val="center"/>
          </w:tcPr>
          <w:p>
            <w:pPr>
              <w:jc w:val="center"/>
            </w:pPr>
            <w:r>
              <w:rPr>
                <w:color w:val="000000"/>
                <w:sz w:val="24"/>
              </w:rPr>
              <w:t>18附息国债26</w:t>
            </w:r>
          </w:p>
        </w:tc>
        <w:tc>
          <w:tcPr>
            <w:vAlign w:val="center"/>
          </w:tcPr>
          <w:p>
            <w:pPr>
              <w:jc w:val="right"/>
            </w:pPr>
            <w:r>
              <w:rPr>
                <w:color w:val="000000"/>
                <w:sz w:val="24"/>
              </w:rPr>
              <w:t>500,000</w:t>
            </w:r>
          </w:p>
        </w:tc>
        <w:tc>
          <w:tcPr>
            <w:vAlign w:val="center"/>
          </w:tcPr>
          <w:p>
            <w:pPr>
              <w:jc w:val="right"/>
            </w:pPr>
            <w:r>
              <w:rPr>
                <w:color w:val="000000"/>
                <w:sz w:val="24"/>
              </w:rPr>
              <w:t>50,015,000.00</w:t>
            </w:r>
          </w:p>
        </w:tc>
        <w:tc>
          <w:tcPr>
            <w:vAlign w:val="center"/>
          </w:tcPr>
          <w:p>
            <w:pPr>
              <w:jc w:val="right"/>
            </w:pPr>
            <w:r>
              <w:rPr>
                <w:color w:val="000000"/>
                <w:sz w:val="24"/>
              </w:rPr>
              <w:t>8.46</w:t>
            </w:r>
          </w:p>
        </w:tc>
      </w:tr>
      <w:tr>
        <w:tc>
          <w:tcPr>
            <w:vAlign w:val="center"/>
          </w:tcPr>
          <w:p>
            <w:pPr>
              <w:jc w:val="center"/>
            </w:pPr>
            <w:r>
              <w:rPr>
                <w:color w:val="000000"/>
                <w:sz w:val="24"/>
              </w:rPr>
              <w:t>5</w:t>
            </w:r>
          </w:p>
        </w:tc>
        <w:tc>
          <w:tcPr>
            <w:vAlign w:val="center"/>
          </w:tcPr>
          <w:p>
            <w:pPr>
              <w:jc w:val="center"/>
            </w:pPr>
            <w:r>
              <w:rPr>
                <w:color w:val="000000"/>
                <w:sz w:val="24"/>
              </w:rPr>
              <w:t>180204</w:t>
            </w:r>
          </w:p>
        </w:tc>
        <w:tc>
          <w:tcPr>
            <w:vAlign w:val="center"/>
          </w:tcPr>
          <w:p>
            <w:pPr>
              <w:jc w:val="center"/>
            </w:pPr>
            <w:r>
              <w:rPr>
                <w:color w:val="000000"/>
                <w:sz w:val="24"/>
              </w:rPr>
              <w:t>18国开04</w:t>
            </w:r>
          </w:p>
        </w:tc>
        <w:tc>
          <w:tcPr>
            <w:vAlign w:val="center"/>
          </w:tcPr>
          <w:p>
            <w:pPr>
              <w:jc w:val="right"/>
            </w:pPr>
            <w:r>
              <w:rPr>
                <w:color w:val="000000"/>
                <w:sz w:val="24"/>
              </w:rPr>
              <w:t>400,000</w:t>
            </w:r>
          </w:p>
        </w:tc>
        <w:tc>
          <w:tcPr>
            <w:vAlign w:val="center"/>
          </w:tcPr>
          <w:p>
            <w:pPr>
              <w:jc w:val="right"/>
            </w:pPr>
            <w:r>
              <w:rPr>
                <w:color w:val="000000"/>
                <w:sz w:val="24"/>
              </w:rPr>
              <w:t>41,796,000.00</w:t>
            </w:r>
          </w:p>
        </w:tc>
        <w:tc>
          <w:tcPr>
            <w:vAlign w:val="center"/>
          </w:tcPr>
          <w:p>
            <w:pPr>
              <w:jc w:val="right"/>
            </w:pPr>
            <w:r>
              <w:rPr>
                <w:color w:val="000000"/>
                <w:sz w:val="24"/>
              </w:rPr>
              <w:t>7.07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30.54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13,873,121.32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932,376.32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14,805,528.18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1,022,177,300.39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1,000,363.49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41,595,728.99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59,918.37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509,682,962.01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707,459.04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554,090,067.37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352,822.82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996,820,252.99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500,000,000.00</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89.61%</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 xml:space="preserve">根据《中华人民共和国证券投资基金法》、《公开募集证券投资基金运作管理办法》和《交银施罗德裕盈纯债债券型证券投资基金基金合同》的有关规定，本基金管理人决定自2019年5月28日起至2019年7月1日17：00止以通讯方式召开本基金的基金份额持有人大会审议本基金调整赎回费率、增加自动清盘条款、调整基金份额净值小数点后保留位数及基金合同修改事宜，本基金管理人已分别于2019年5月27日、5月28日、5月29日在《中国证券报》及本公司网站发布了《交银施罗德基金管理有限公司关于以通讯方式召开交银施罗德裕盈纯债债券型证券投资基金基金份额持有人大会的公告》及第一次、第二次提示性公告，详情请见相关公告。 </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87122">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87122">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CE3F08" w:rsidRDefault="00CE3F08">
      <w:r>
        <w:separator/>
      </w:r>
    </w:p>
  </w:footnote>
  <w:footnote w:id="0" w:type="continuationSeparator">
    <w:p w:rsidR="00CE3F08" w:rsidRDefault="00CE3F0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756-3F40-4048-9F43-4670680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27</Pages>
  <Words>4288</Words>
  <Characters>24444</Characters>
  <Application>Microsoft Office Word</Application>
  <DocSecurity>0</DocSecurity>
  <Lines>203</Lines>
  <Paragraphs>57</Paragraphs>
  <ScaleCrop>false</ScaleCrop>
  <Company>TRT. Ltd. Co.</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2019-07-04T03:19:00Z</dcterms:modified>
  <cp:revision>389</cp:revision>
</cp:coreProperties>
</file>