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23E64" w:rsidRDefault="00901A1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306,452,768.25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4155B" w:rsidRPr="00414345" w:rsidTr="0064155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4155B" w:rsidRPr="00414345" w:rsidTr="006415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-1,180,919.72</w:t>
            </w:r>
          </w:p>
        </w:tc>
      </w:tr>
      <w:tr w:rsidR="0064155B" w:rsidRPr="00414345" w:rsidTr="006415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-2,594,019.28</w:t>
            </w:r>
          </w:p>
        </w:tc>
      </w:tr>
      <w:tr w:rsidR="0064155B" w:rsidRPr="00414345" w:rsidTr="006415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-0.0177</w:t>
            </w:r>
          </w:p>
        </w:tc>
      </w:tr>
      <w:tr w:rsidR="0064155B" w:rsidRPr="00414345" w:rsidTr="006415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313,684,038.57</w:t>
            </w:r>
          </w:p>
        </w:tc>
      </w:tr>
      <w:tr w:rsidR="0064155B" w:rsidRPr="00414345" w:rsidTr="0064155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1.0236</w:t>
            </w:r>
          </w:p>
        </w:tc>
      </w:tr>
    </w:tbl>
    <w:p w:rsidR="00923E64" w:rsidRDefault="00901A1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23E64">
        <w:trPr>
          <w:jc w:val="center"/>
        </w:trPr>
        <w:tc>
          <w:tcPr>
            <w:tcW w:w="1701" w:type="dxa"/>
            <w:vAlign w:val="center"/>
          </w:tcPr>
          <w:p w:rsidR="00923E64" w:rsidRDefault="00901A1D">
            <w:pPr>
              <w:jc w:val="left"/>
            </w:pPr>
            <w:r>
              <w:rPr>
                <w:color w:val="000000"/>
                <w:sz w:val="24"/>
                <w:szCs w:val="24"/>
              </w:rPr>
              <w:t>过去三个月</w:t>
            </w:r>
          </w:p>
        </w:tc>
        <w:tc>
          <w:tcPr>
            <w:tcW w:w="1045" w:type="dxa"/>
            <w:vAlign w:val="center"/>
          </w:tcPr>
          <w:p w:rsidR="00923E64" w:rsidRDefault="00901A1D">
            <w:pPr>
              <w:jc w:val="center"/>
            </w:pPr>
            <w:r>
              <w:rPr>
                <w:color w:val="000000"/>
                <w:sz w:val="24"/>
                <w:szCs w:val="24"/>
              </w:rPr>
              <w:t>-4.24%</w:t>
            </w:r>
          </w:p>
        </w:tc>
        <w:tc>
          <w:tcPr>
            <w:tcW w:w="1344" w:type="dxa"/>
            <w:vAlign w:val="center"/>
          </w:tcPr>
          <w:p w:rsidR="00923E64" w:rsidRDefault="00901A1D">
            <w:pPr>
              <w:jc w:val="center"/>
            </w:pPr>
            <w:r>
              <w:rPr>
                <w:color w:val="000000"/>
                <w:sz w:val="24"/>
                <w:szCs w:val="24"/>
              </w:rPr>
              <w:t>0.63%</w:t>
            </w:r>
          </w:p>
        </w:tc>
        <w:tc>
          <w:tcPr>
            <w:tcW w:w="1194" w:type="dxa"/>
            <w:vAlign w:val="center"/>
          </w:tcPr>
          <w:p w:rsidR="00923E64" w:rsidRDefault="00901A1D">
            <w:pPr>
              <w:jc w:val="center"/>
            </w:pPr>
            <w:r>
              <w:rPr>
                <w:color w:val="000000"/>
                <w:sz w:val="24"/>
                <w:szCs w:val="24"/>
              </w:rPr>
              <w:t>0.07%</w:t>
            </w:r>
          </w:p>
        </w:tc>
        <w:tc>
          <w:tcPr>
            <w:tcW w:w="1492" w:type="dxa"/>
            <w:vAlign w:val="center"/>
          </w:tcPr>
          <w:p w:rsidR="00923E64" w:rsidRDefault="00901A1D">
            <w:pPr>
              <w:jc w:val="center"/>
            </w:pPr>
            <w:r>
              <w:rPr>
                <w:color w:val="000000"/>
                <w:sz w:val="24"/>
                <w:szCs w:val="24"/>
              </w:rPr>
              <w:t>0.60%</w:t>
            </w:r>
          </w:p>
        </w:tc>
        <w:tc>
          <w:tcPr>
            <w:tcW w:w="1194" w:type="dxa"/>
            <w:vAlign w:val="center"/>
          </w:tcPr>
          <w:p w:rsidR="00923E64" w:rsidRDefault="00901A1D">
            <w:pPr>
              <w:jc w:val="center"/>
            </w:pPr>
            <w:r>
              <w:rPr>
                <w:color w:val="000000"/>
                <w:sz w:val="24"/>
                <w:szCs w:val="24"/>
              </w:rPr>
              <w:t>-4.31%</w:t>
            </w:r>
          </w:p>
        </w:tc>
        <w:tc>
          <w:tcPr>
            <w:tcW w:w="898" w:type="dxa"/>
            <w:vAlign w:val="center"/>
          </w:tcPr>
          <w:p w:rsidR="00923E64" w:rsidRDefault="00901A1D">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23E64">
        <w:trPr>
          <w:jc w:val="center"/>
        </w:trPr>
        <w:tc>
          <w:tcPr>
            <w:tcW w:w="846" w:type="dxa"/>
            <w:vAlign w:val="center"/>
          </w:tcPr>
          <w:p w:rsidR="00923E64" w:rsidRDefault="00901A1D">
            <w:pPr>
              <w:jc w:val="center"/>
            </w:pPr>
            <w:r>
              <w:rPr>
                <w:color w:val="000000"/>
                <w:sz w:val="24"/>
                <w:szCs w:val="24"/>
              </w:rPr>
              <w:t>王少成</w:t>
            </w:r>
          </w:p>
        </w:tc>
        <w:tc>
          <w:tcPr>
            <w:tcW w:w="845" w:type="dxa"/>
            <w:vAlign w:val="center"/>
          </w:tcPr>
          <w:p w:rsidR="00923E64" w:rsidRDefault="00901A1D">
            <w:pPr>
              <w:jc w:val="center"/>
            </w:pPr>
            <w:r>
              <w:rPr>
                <w:color w:val="000000"/>
                <w:sz w:val="24"/>
                <w:szCs w:val="24"/>
              </w:rPr>
              <w:t>交银成长混合、交银蓝筹混合、交银恒益灵活配置混合的基金经理，公</w:t>
            </w:r>
            <w:r>
              <w:rPr>
                <w:color w:val="000000"/>
                <w:sz w:val="24"/>
                <w:szCs w:val="24"/>
              </w:rPr>
              <w:lastRenderedPageBreak/>
              <w:t>司权益投资总监</w:t>
            </w:r>
          </w:p>
        </w:tc>
        <w:tc>
          <w:tcPr>
            <w:tcW w:w="1549" w:type="dxa"/>
            <w:vAlign w:val="center"/>
          </w:tcPr>
          <w:p w:rsidR="00923E64" w:rsidRDefault="00901A1D">
            <w:pPr>
              <w:jc w:val="center"/>
            </w:pPr>
            <w:r>
              <w:rPr>
                <w:color w:val="000000"/>
                <w:sz w:val="24"/>
                <w:szCs w:val="24"/>
              </w:rPr>
              <w:lastRenderedPageBreak/>
              <w:t>2018-08-24</w:t>
            </w:r>
          </w:p>
        </w:tc>
        <w:tc>
          <w:tcPr>
            <w:tcW w:w="1548" w:type="dxa"/>
            <w:vAlign w:val="center"/>
          </w:tcPr>
          <w:p w:rsidR="00923E64" w:rsidRDefault="00901A1D">
            <w:pPr>
              <w:jc w:val="center"/>
            </w:pPr>
            <w:r>
              <w:rPr>
                <w:color w:val="000000"/>
                <w:sz w:val="24"/>
                <w:szCs w:val="24"/>
              </w:rPr>
              <w:t>-</w:t>
            </w:r>
          </w:p>
        </w:tc>
        <w:tc>
          <w:tcPr>
            <w:tcW w:w="1407" w:type="dxa"/>
            <w:vAlign w:val="center"/>
          </w:tcPr>
          <w:p w:rsidR="00923E64" w:rsidRDefault="00901A1D">
            <w:pPr>
              <w:jc w:val="center"/>
            </w:pPr>
            <w:r>
              <w:rPr>
                <w:color w:val="000000"/>
                <w:sz w:val="24"/>
                <w:szCs w:val="24"/>
              </w:rPr>
              <w:t>15</w:t>
            </w:r>
            <w:r>
              <w:rPr>
                <w:color w:val="000000"/>
                <w:sz w:val="24"/>
                <w:szCs w:val="24"/>
              </w:rPr>
              <w:t>年</w:t>
            </w:r>
          </w:p>
        </w:tc>
        <w:tc>
          <w:tcPr>
            <w:tcW w:w="2673" w:type="dxa"/>
            <w:vAlign w:val="center"/>
          </w:tcPr>
          <w:p w:rsidR="00923E64" w:rsidRDefault="00901A1D">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w:t>
            </w:r>
            <w:r>
              <w:rPr>
                <w:color w:val="000000"/>
                <w:sz w:val="24"/>
                <w:szCs w:val="24"/>
              </w:rPr>
              <w:lastRenderedPageBreak/>
              <w:t>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6</w:t>
            </w:r>
            <w:r>
              <w:rPr>
                <w:color w:val="000000"/>
                <w:sz w:val="24"/>
                <w:szCs w:val="24"/>
              </w:rPr>
              <w:t>月</w:t>
            </w:r>
            <w:r>
              <w:rPr>
                <w:color w:val="000000"/>
                <w:sz w:val="24"/>
                <w:szCs w:val="24"/>
              </w:rPr>
              <w:t>17</w:t>
            </w:r>
            <w:r>
              <w:rPr>
                <w:color w:val="000000"/>
                <w:sz w:val="24"/>
                <w:szCs w:val="24"/>
              </w:rPr>
              <w:t>日担任交银施罗德成长</w:t>
            </w:r>
            <w:r>
              <w:rPr>
                <w:color w:val="000000"/>
                <w:sz w:val="24"/>
                <w:szCs w:val="24"/>
              </w:rPr>
              <w:t>30</w:t>
            </w:r>
            <w:r>
              <w:rPr>
                <w:color w:val="000000"/>
                <w:sz w:val="24"/>
                <w:szCs w:val="24"/>
              </w:rPr>
              <w:t>混合型证券投资基金的基金经理。</w:t>
            </w:r>
          </w:p>
        </w:tc>
      </w:tr>
      <w:tr w:rsidR="00923E64">
        <w:trPr>
          <w:jc w:val="center"/>
        </w:trPr>
        <w:tc>
          <w:tcPr>
            <w:tcW w:w="846" w:type="dxa"/>
            <w:vAlign w:val="center"/>
          </w:tcPr>
          <w:p w:rsidR="00923E64" w:rsidRDefault="00901A1D">
            <w:pPr>
              <w:jc w:val="center"/>
            </w:pPr>
            <w:r>
              <w:rPr>
                <w:color w:val="000000"/>
                <w:sz w:val="24"/>
                <w:szCs w:val="24"/>
              </w:rPr>
              <w:lastRenderedPageBreak/>
              <w:t>李娜</w:t>
            </w:r>
          </w:p>
        </w:tc>
        <w:tc>
          <w:tcPr>
            <w:tcW w:w="845" w:type="dxa"/>
            <w:vAlign w:val="center"/>
          </w:tcPr>
          <w:p w:rsidR="00923E64" w:rsidRDefault="00901A1D">
            <w:pPr>
              <w:jc w:val="center"/>
            </w:pPr>
            <w:r>
              <w:rPr>
                <w:color w:val="000000"/>
                <w:sz w:val="24"/>
                <w:szCs w:val="24"/>
              </w:rPr>
              <w:t>交银周期回报灵活配置混合、交银新回报灵活配</w:t>
            </w:r>
            <w:r>
              <w:rPr>
                <w:color w:val="000000"/>
                <w:sz w:val="24"/>
                <w:szCs w:val="24"/>
              </w:rPr>
              <w:lastRenderedPageBreak/>
              <w:t>置混合、交银多策略回报灵活配置混合、交银优选回报灵活配置混合、交银优择回报灵活配置混合、交银瑞鑫定期开放灵活配置混合、交银裕祥纯债债券、交银恒益灵活配置混合的基金经理</w:t>
            </w:r>
          </w:p>
        </w:tc>
        <w:tc>
          <w:tcPr>
            <w:tcW w:w="1549" w:type="dxa"/>
            <w:vAlign w:val="center"/>
          </w:tcPr>
          <w:p w:rsidR="00923E64" w:rsidRDefault="00901A1D" w:rsidP="0064155B">
            <w:pPr>
              <w:jc w:val="center"/>
            </w:pPr>
            <w:r>
              <w:rPr>
                <w:color w:val="000000"/>
                <w:sz w:val="24"/>
                <w:szCs w:val="24"/>
              </w:rPr>
              <w:lastRenderedPageBreak/>
              <w:t>2019-06-</w:t>
            </w:r>
            <w:r w:rsidR="0064155B">
              <w:rPr>
                <w:color w:val="000000"/>
                <w:sz w:val="24"/>
                <w:szCs w:val="24"/>
              </w:rPr>
              <w:t>18</w:t>
            </w:r>
            <w:bookmarkStart w:id="0" w:name="_GoBack"/>
            <w:bookmarkEnd w:id="0"/>
          </w:p>
        </w:tc>
        <w:tc>
          <w:tcPr>
            <w:tcW w:w="1548" w:type="dxa"/>
            <w:vAlign w:val="center"/>
          </w:tcPr>
          <w:p w:rsidR="00923E64" w:rsidRDefault="00901A1D">
            <w:pPr>
              <w:jc w:val="center"/>
            </w:pPr>
            <w:r>
              <w:rPr>
                <w:color w:val="000000"/>
                <w:sz w:val="24"/>
                <w:szCs w:val="24"/>
              </w:rPr>
              <w:t>-</w:t>
            </w:r>
          </w:p>
        </w:tc>
        <w:tc>
          <w:tcPr>
            <w:tcW w:w="1407" w:type="dxa"/>
            <w:vAlign w:val="center"/>
          </w:tcPr>
          <w:p w:rsidR="00923E64" w:rsidRDefault="00901A1D">
            <w:pPr>
              <w:jc w:val="center"/>
            </w:pPr>
            <w:r>
              <w:rPr>
                <w:color w:val="000000"/>
                <w:sz w:val="24"/>
                <w:szCs w:val="24"/>
              </w:rPr>
              <w:t>9</w:t>
            </w:r>
            <w:r>
              <w:rPr>
                <w:color w:val="000000"/>
                <w:sz w:val="24"/>
                <w:szCs w:val="24"/>
              </w:rPr>
              <w:t>年</w:t>
            </w:r>
          </w:p>
        </w:tc>
        <w:tc>
          <w:tcPr>
            <w:tcW w:w="2673" w:type="dxa"/>
            <w:vAlign w:val="center"/>
          </w:tcPr>
          <w:p w:rsidR="00923E64" w:rsidRDefault="00901A1D">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w:t>
            </w:r>
            <w:r>
              <w:rPr>
                <w:color w:val="000000"/>
                <w:sz w:val="24"/>
                <w:szCs w:val="24"/>
              </w:rPr>
              <w:lastRenderedPageBreak/>
              <w:t>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23E64" w:rsidRDefault="00901A1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23E64" w:rsidRDefault="00901A1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923E64" w:rsidRDefault="00901A1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23E64" w:rsidRDefault="00901A1D">
      <w:pPr>
        <w:spacing w:before="29" w:line="288" w:lineRule="auto"/>
        <w:ind w:firstLineChars="200" w:firstLine="480"/>
        <w:rPr>
          <w:color w:val="000000"/>
          <w:sz w:val="24"/>
          <w:szCs w:val="24"/>
        </w:rPr>
      </w:pPr>
      <w:r>
        <w:rPr>
          <w:color w:val="000000"/>
          <w:sz w:val="24"/>
          <w:szCs w:val="24"/>
        </w:rPr>
        <w:t>本报告期内，在经济增长、海外风险以及资金面三个因素共同影响下，债市短端收益率基本回到三月底低位，长端呈现上行后震荡走平的格局。具体地，受地产销量向好、基建发力、春节错位等多方面</w:t>
      </w:r>
      <w:r>
        <w:rPr>
          <w:color w:val="000000"/>
          <w:sz w:val="24"/>
          <w:szCs w:val="24"/>
        </w:rPr>
        <w:t>影响，四月公布的三月经济数据和金融数据环比明显提速，令市场对增长预期过热，十年活跃国开收益率一度接近</w:t>
      </w:r>
      <w:r>
        <w:rPr>
          <w:color w:val="000000"/>
          <w:sz w:val="24"/>
          <w:szCs w:val="24"/>
        </w:rPr>
        <w:t>3.90%</w:t>
      </w:r>
      <w:r>
        <w:rPr>
          <w:color w:val="000000"/>
          <w:sz w:val="24"/>
          <w:szCs w:val="24"/>
        </w:rPr>
        <w:t>。随后，海外风险事件再度发酵，中观部分行业订单季节性下降，地产销量逐步走低，经济预期回落，十年活跃国开下行至</w:t>
      </w:r>
      <w:r>
        <w:rPr>
          <w:color w:val="000000"/>
          <w:sz w:val="24"/>
          <w:szCs w:val="24"/>
        </w:rPr>
        <w:t>3.75%</w:t>
      </w:r>
      <w:r>
        <w:rPr>
          <w:color w:val="000000"/>
          <w:sz w:val="24"/>
          <w:szCs w:val="24"/>
        </w:rPr>
        <w:t>位置，并在该中枢上下震荡。五月随着季末来临，银行间流动性中性分化，短久期资产收益率上行，信用利差明显走廓。随着跨季资金流动性走宽，短端收</w:t>
      </w:r>
      <w:r>
        <w:rPr>
          <w:color w:val="000000"/>
          <w:sz w:val="24"/>
          <w:szCs w:val="24"/>
        </w:rPr>
        <w:lastRenderedPageBreak/>
        <w:t>益率下行，中高等级信用债收益率也出现回落，但中低等级信用债成交依然不多。</w:t>
      </w:r>
    </w:p>
    <w:p w:rsidR="00923E64" w:rsidRDefault="00901A1D">
      <w:pPr>
        <w:spacing w:before="29" w:line="288" w:lineRule="auto"/>
        <w:ind w:firstLineChars="200" w:firstLine="480"/>
        <w:rPr>
          <w:color w:val="000000"/>
          <w:sz w:val="24"/>
          <w:szCs w:val="24"/>
        </w:rPr>
      </w:pPr>
      <w:r>
        <w:rPr>
          <w:color w:val="000000"/>
          <w:sz w:val="24"/>
          <w:szCs w:val="24"/>
        </w:rPr>
        <w:t>权益市场经历了一季度的上行后，多数板块估值相对偏高。在经济增速环比回落，中</w:t>
      </w:r>
      <w:r>
        <w:rPr>
          <w:color w:val="000000"/>
          <w:sz w:val="24"/>
          <w:szCs w:val="24"/>
        </w:rPr>
        <w:t>美贸易争端再度演绎等事件影响下，大盘自四月中下旬震荡下行。行业层面看，部分消费及金融有一定绝对收益，</w:t>
      </w:r>
      <w:r>
        <w:rPr>
          <w:color w:val="000000"/>
          <w:sz w:val="24"/>
          <w:szCs w:val="24"/>
        </w:rPr>
        <w:t>TMT</w:t>
      </w:r>
      <w:r>
        <w:rPr>
          <w:color w:val="000000"/>
          <w:sz w:val="24"/>
          <w:szCs w:val="24"/>
        </w:rPr>
        <w:t>及强周期等板块均有</w:t>
      </w:r>
      <w:r>
        <w:rPr>
          <w:color w:val="000000"/>
          <w:sz w:val="24"/>
          <w:szCs w:val="24"/>
        </w:rPr>
        <w:t>10%</w:t>
      </w:r>
      <w:r>
        <w:rPr>
          <w:color w:val="000000"/>
          <w:sz w:val="24"/>
          <w:szCs w:val="24"/>
        </w:rPr>
        <w:t>以上跌幅。</w:t>
      </w:r>
    </w:p>
    <w:p w:rsidR="00923E64" w:rsidRDefault="00901A1D">
      <w:pPr>
        <w:spacing w:before="29" w:line="288" w:lineRule="auto"/>
        <w:ind w:firstLineChars="200" w:firstLine="480"/>
        <w:rPr>
          <w:color w:val="000000"/>
          <w:sz w:val="24"/>
          <w:szCs w:val="24"/>
        </w:rPr>
      </w:pPr>
      <w:r>
        <w:rPr>
          <w:color w:val="000000"/>
          <w:sz w:val="24"/>
          <w:szCs w:val="24"/>
        </w:rPr>
        <w:t>组合操作策略方面，权益方面主要配置盈利确定性相对较高、赛道较好的个股，五月后增配盈利较为稳定、估值接近历史底部的权益持仓，以期增厚组合收益。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106,659,898.80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30.96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106,659,898.80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30.96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40,208,000.00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40,208,000.00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117,059,673.07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621,865.93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344,549,437.80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175,284.80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21,520,000.46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8,511,450.00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1,544,381.00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54,873,096.94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10,424,920.00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9,587,659.00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106,659,898.80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23E64">
        <w:trPr>
          <w:jc w:val="center"/>
        </w:trPr>
        <w:tc>
          <w:tcPr>
            <w:tcW w:w="855" w:type="dxa"/>
            <w:vAlign w:val="center"/>
          </w:tcPr>
          <w:p w:rsidR="00923E64" w:rsidRDefault="00901A1D">
            <w:pPr>
              <w:jc w:val="center"/>
            </w:pPr>
            <w:r>
              <w:rPr>
                <w:color w:val="000000"/>
                <w:sz w:val="24"/>
                <w:szCs w:val="24"/>
              </w:rPr>
              <w:t>1</w:t>
            </w:r>
          </w:p>
        </w:tc>
        <w:tc>
          <w:tcPr>
            <w:tcW w:w="1334" w:type="dxa"/>
            <w:vAlign w:val="center"/>
          </w:tcPr>
          <w:p w:rsidR="00923E64" w:rsidRDefault="00901A1D">
            <w:pPr>
              <w:jc w:val="center"/>
            </w:pPr>
            <w:r>
              <w:rPr>
                <w:color w:val="000000"/>
                <w:sz w:val="24"/>
                <w:szCs w:val="24"/>
              </w:rPr>
              <w:t>601398</w:t>
            </w:r>
          </w:p>
        </w:tc>
        <w:tc>
          <w:tcPr>
            <w:tcW w:w="1777" w:type="dxa"/>
            <w:vAlign w:val="center"/>
          </w:tcPr>
          <w:p w:rsidR="00923E64" w:rsidRDefault="00901A1D">
            <w:pPr>
              <w:jc w:val="center"/>
            </w:pPr>
            <w:r>
              <w:rPr>
                <w:color w:val="000000"/>
                <w:sz w:val="24"/>
                <w:szCs w:val="24"/>
              </w:rPr>
              <w:t>工商银行</w:t>
            </w:r>
          </w:p>
        </w:tc>
        <w:tc>
          <w:tcPr>
            <w:tcW w:w="1334" w:type="dxa"/>
            <w:vAlign w:val="center"/>
          </w:tcPr>
          <w:p w:rsidR="00923E64" w:rsidRDefault="00901A1D">
            <w:pPr>
              <w:jc w:val="right"/>
            </w:pPr>
            <w:r>
              <w:rPr>
                <w:color w:val="000000"/>
                <w:sz w:val="24"/>
                <w:szCs w:val="24"/>
              </w:rPr>
              <w:t>3,476,200</w:t>
            </w:r>
          </w:p>
        </w:tc>
        <w:tc>
          <w:tcPr>
            <w:tcW w:w="1924" w:type="dxa"/>
            <w:vAlign w:val="center"/>
          </w:tcPr>
          <w:p w:rsidR="00923E64" w:rsidRDefault="00901A1D">
            <w:pPr>
              <w:jc w:val="right"/>
            </w:pPr>
            <w:r>
              <w:rPr>
                <w:color w:val="000000"/>
                <w:sz w:val="24"/>
                <w:szCs w:val="24"/>
              </w:rPr>
              <w:t>20,474,818.00</w:t>
            </w:r>
          </w:p>
        </w:tc>
        <w:tc>
          <w:tcPr>
            <w:tcW w:w="1644" w:type="dxa"/>
            <w:vAlign w:val="center"/>
          </w:tcPr>
          <w:p w:rsidR="00923E64" w:rsidRDefault="00901A1D">
            <w:pPr>
              <w:jc w:val="right"/>
            </w:pPr>
            <w:r>
              <w:rPr>
                <w:color w:val="000000"/>
                <w:sz w:val="24"/>
                <w:szCs w:val="24"/>
              </w:rPr>
              <w:t>6.53</w:t>
            </w:r>
          </w:p>
        </w:tc>
      </w:tr>
      <w:tr w:rsidR="00923E64">
        <w:trPr>
          <w:jc w:val="center"/>
        </w:trPr>
        <w:tc>
          <w:tcPr>
            <w:tcW w:w="855" w:type="dxa"/>
            <w:vAlign w:val="center"/>
          </w:tcPr>
          <w:p w:rsidR="00923E64" w:rsidRDefault="00901A1D">
            <w:pPr>
              <w:jc w:val="center"/>
            </w:pPr>
            <w:r>
              <w:rPr>
                <w:color w:val="000000"/>
                <w:sz w:val="24"/>
                <w:szCs w:val="24"/>
              </w:rPr>
              <w:t>2</w:t>
            </w:r>
          </w:p>
        </w:tc>
        <w:tc>
          <w:tcPr>
            <w:tcW w:w="1334" w:type="dxa"/>
            <w:vAlign w:val="center"/>
          </w:tcPr>
          <w:p w:rsidR="00923E64" w:rsidRDefault="00901A1D">
            <w:pPr>
              <w:jc w:val="center"/>
            </w:pPr>
            <w:r>
              <w:rPr>
                <w:color w:val="000000"/>
                <w:sz w:val="24"/>
                <w:szCs w:val="24"/>
              </w:rPr>
              <w:t>601939</w:t>
            </w:r>
          </w:p>
        </w:tc>
        <w:tc>
          <w:tcPr>
            <w:tcW w:w="1777" w:type="dxa"/>
            <w:vAlign w:val="center"/>
          </w:tcPr>
          <w:p w:rsidR="00923E64" w:rsidRDefault="00901A1D">
            <w:pPr>
              <w:jc w:val="center"/>
            </w:pPr>
            <w:r>
              <w:rPr>
                <w:color w:val="000000"/>
                <w:sz w:val="24"/>
                <w:szCs w:val="24"/>
              </w:rPr>
              <w:t>建设银行</w:t>
            </w:r>
          </w:p>
        </w:tc>
        <w:tc>
          <w:tcPr>
            <w:tcW w:w="1334" w:type="dxa"/>
            <w:vAlign w:val="center"/>
          </w:tcPr>
          <w:p w:rsidR="00923E64" w:rsidRDefault="00901A1D">
            <w:pPr>
              <w:jc w:val="right"/>
            </w:pPr>
            <w:r>
              <w:rPr>
                <w:color w:val="000000"/>
                <w:sz w:val="24"/>
                <w:szCs w:val="24"/>
              </w:rPr>
              <w:t>1,955,600</w:t>
            </w:r>
          </w:p>
        </w:tc>
        <w:tc>
          <w:tcPr>
            <w:tcW w:w="1924" w:type="dxa"/>
            <w:vAlign w:val="center"/>
          </w:tcPr>
          <w:p w:rsidR="00923E64" w:rsidRDefault="00901A1D">
            <w:pPr>
              <w:jc w:val="right"/>
            </w:pPr>
            <w:r>
              <w:rPr>
                <w:color w:val="000000"/>
                <w:sz w:val="24"/>
                <w:szCs w:val="24"/>
              </w:rPr>
              <w:t>14,549,664.00</w:t>
            </w:r>
          </w:p>
        </w:tc>
        <w:tc>
          <w:tcPr>
            <w:tcW w:w="1644" w:type="dxa"/>
            <w:vAlign w:val="center"/>
          </w:tcPr>
          <w:p w:rsidR="00923E64" w:rsidRDefault="00901A1D">
            <w:pPr>
              <w:jc w:val="right"/>
            </w:pPr>
            <w:r>
              <w:rPr>
                <w:color w:val="000000"/>
                <w:sz w:val="24"/>
                <w:szCs w:val="24"/>
              </w:rPr>
              <w:t>4.64</w:t>
            </w:r>
          </w:p>
        </w:tc>
      </w:tr>
      <w:tr w:rsidR="00923E64">
        <w:trPr>
          <w:jc w:val="center"/>
        </w:trPr>
        <w:tc>
          <w:tcPr>
            <w:tcW w:w="855" w:type="dxa"/>
            <w:vAlign w:val="center"/>
          </w:tcPr>
          <w:p w:rsidR="00923E64" w:rsidRDefault="00901A1D">
            <w:pPr>
              <w:jc w:val="center"/>
            </w:pPr>
            <w:r>
              <w:rPr>
                <w:color w:val="000000"/>
                <w:sz w:val="24"/>
                <w:szCs w:val="24"/>
              </w:rPr>
              <w:t>3</w:t>
            </w:r>
          </w:p>
        </w:tc>
        <w:tc>
          <w:tcPr>
            <w:tcW w:w="1334" w:type="dxa"/>
            <w:vAlign w:val="center"/>
          </w:tcPr>
          <w:p w:rsidR="00923E64" w:rsidRDefault="00901A1D">
            <w:pPr>
              <w:jc w:val="center"/>
            </w:pPr>
            <w:r>
              <w:rPr>
                <w:color w:val="000000"/>
                <w:sz w:val="24"/>
                <w:szCs w:val="24"/>
              </w:rPr>
              <w:t>601988</w:t>
            </w:r>
          </w:p>
        </w:tc>
        <w:tc>
          <w:tcPr>
            <w:tcW w:w="1777" w:type="dxa"/>
            <w:vAlign w:val="center"/>
          </w:tcPr>
          <w:p w:rsidR="00923E64" w:rsidRDefault="00901A1D">
            <w:pPr>
              <w:jc w:val="center"/>
            </w:pPr>
            <w:r>
              <w:rPr>
                <w:color w:val="000000"/>
                <w:sz w:val="24"/>
                <w:szCs w:val="24"/>
              </w:rPr>
              <w:t>中国银行</w:t>
            </w:r>
          </w:p>
        </w:tc>
        <w:tc>
          <w:tcPr>
            <w:tcW w:w="1334" w:type="dxa"/>
            <w:vAlign w:val="center"/>
          </w:tcPr>
          <w:p w:rsidR="00923E64" w:rsidRDefault="00901A1D">
            <w:pPr>
              <w:jc w:val="right"/>
            </w:pPr>
            <w:r>
              <w:rPr>
                <w:color w:val="000000"/>
                <w:sz w:val="24"/>
                <w:szCs w:val="24"/>
              </w:rPr>
              <w:t>3,763,400</w:t>
            </w:r>
          </w:p>
        </w:tc>
        <w:tc>
          <w:tcPr>
            <w:tcW w:w="1924" w:type="dxa"/>
            <w:vAlign w:val="center"/>
          </w:tcPr>
          <w:p w:rsidR="00923E64" w:rsidRDefault="00901A1D">
            <w:pPr>
              <w:jc w:val="right"/>
            </w:pPr>
            <w:r>
              <w:rPr>
                <w:color w:val="000000"/>
                <w:sz w:val="24"/>
                <w:szCs w:val="24"/>
              </w:rPr>
              <w:t>14,075,116.00</w:t>
            </w:r>
          </w:p>
        </w:tc>
        <w:tc>
          <w:tcPr>
            <w:tcW w:w="1644" w:type="dxa"/>
            <w:vAlign w:val="center"/>
          </w:tcPr>
          <w:p w:rsidR="00923E64" w:rsidRDefault="00901A1D">
            <w:pPr>
              <w:jc w:val="right"/>
            </w:pPr>
            <w:r>
              <w:rPr>
                <w:color w:val="000000"/>
                <w:sz w:val="24"/>
                <w:szCs w:val="24"/>
              </w:rPr>
              <w:t>4.49</w:t>
            </w:r>
          </w:p>
        </w:tc>
      </w:tr>
      <w:tr w:rsidR="00923E64">
        <w:trPr>
          <w:jc w:val="center"/>
        </w:trPr>
        <w:tc>
          <w:tcPr>
            <w:tcW w:w="855" w:type="dxa"/>
            <w:vAlign w:val="center"/>
          </w:tcPr>
          <w:p w:rsidR="00923E64" w:rsidRDefault="00901A1D">
            <w:pPr>
              <w:jc w:val="center"/>
            </w:pPr>
            <w:r>
              <w:rPr>
                <w:color w:val="000000"/>
                <w:sz w:val="24"/>
                <w:szCs w:val="24"/>
              </w:rPr>
              <w:t>4</w:t>
            </w:r>
          </w:p>
        </w:tc>
        <w:tc>
          <w:tcPr>
            <w:tcW w:w="1334" w:type="dxa"/>
            <w:vAlign w:val="center"/>
          </w:tcPr>
          <w:p w:rsidR="00923E64" w:rsidRDefault="00901A1D">
            <w:pPr>
              <w:jc w:val="center"/>
            </w:pPr>
            <w:r>
              <w:rPr>
                <w:color w:val="000000"/>
                <w:sz w:val="24"/>
                <w:szCs w:val="24"/>
              </w:rPr>
              <w:t>600048</w:t>
            </w:r>
          </w:p>
        </w:tc>
        <w:tc>
          <w:tcPr>
            <w:tcW w:w="1777" w:type="dxa"/>
            <w:vAlign w:val="center"/>
          </w:tcPr>
          <w:p w:rsidR="00923E64" w:rsidRDefault="00901A1D">
            <w:pPr>
              <w:jc w:val="center"/>
            </w:pPr>
            <w:r>
              <w:rPr>
                <w:color w:val="000000"/>
                <w:sz w:val="24"/>
                <w:szCs w:val="24"/>
              </w:rPr>
              <w:t>保利地产</w:t>
            </w:r>
          </w:p>
        </w:tc>
        <w:tc>
          <w:tcPr>
            <w:tcW w:w="1334" w:type="dxa"/>
            <w:vAlign w:val="center"/>
          </w:tcPr>
          <w:p w:rsidR="00923E64" w:rsidRDefault="00901A1D">
            <w:pPr>
              <w:jc w:val="right"/>
            </w:pPr>
            <w:r>
              <w:rPr>
                <w:color w:val="000000"/>
                <w:sz w:val="24"/>
                <w:szCs w:val="24"/>
              </w:rPr>
              <w:t>817,000</w:t>
            </w:r>
          </w:p>
        </w:tc>
        <w:tc>
          <w:tcPr>
            <w:tcW w:w="1924" w:type="dxa"/>
            <w:vAlign w:val="center"/>
          </w:tcPr>
          <w:p w:rsidR="00923E64" w:rsidRDefault="00901A1D">
            <w:pPr>
              <w:jc w:val="right"/>
            </w:pPr>
            <w:r>
              <w:rPr>
                <w:color w:val="000000"/>
                <w:sz w:val="24"/>
                <w:szCs w:val="24"/>
              </w:rPr>
              <w:t>10,424,920.00</w:t>
            </w:r>
          </w:p>
        </w:tc>
        <w:tc>
          <w:tcPr>
            <w:tcW w:w="1644" w:type="dxa"/>
            <w:vAlign w:val="center"/>
          </w:tcPr>
          <w:p w:rsidR="00923E64" w:rsidRDefault="00901A1D">
            <w:pPr>
              <w:jc w:val="right"/>
            </w:pPr>
            <w:r>
              <w:rPr>
                <w:color w:val="000000"/>
                <w:sz w:val="24"/>
                <w:szCs w:val="24"/>
              </w:rPr>
              <w:t>3.32</w:t>
            </w:r>
          </w:p>
        </w:tc>
      </w:tr>
      <w:tr w:rsidR="00923E64">
        <w:trPr>
          <w:jc w:val="center"/>
        </w:trPr>
        <w:tc>
          <w:tcPr>
            <w:tcW w:w="855" w:type="dxa"/>
            <w:vAlign w:val="center"/>
          </w:tcPr>
          <w:p w:rsidR="00923E64" w:rsidRDefault="00901A1D">
            <w:pPr>
              <w:jc w:val="center"/>
            </w:pPr>
            <w:r>
              <w:rPr>
                <w:color w:val="000000"/>
                <w:sz w:val="24"/>
                <w:szCs w:val="24"/>
              </w:rPr>
              <w:t>5</w:t>
            </w:r>
          </w:p>
        </w:tc>
        <w:tc>
          <w:tcPr>
            <w:tcW w:w="1334" w:type="dxa"/>
            <w:vAlign w:val="center"/>
          </w:tcPr>
          <w:p w:rsidR="00923E64" w:rsidRDefault="00901A1D">
            <w:pPr>
              <w:jc w:val="center"/>
            </w:pPr>
            <w:r>
              <w:rPr>
                <w:color w:val="000000"/>
                <w:sz w:val="24"/>
                <w:szCs w:val="24"/>
              </w:rPr>
              <w:t>002607</w:t>
            </w:r>
          </w:p>
        </w:tc>
        <w:tc>
          <w:tcPr>
            <w:tcW w:w="1777" w:type="dxa"/>
            <w:vAlign w:val="center"/>
          </w:tcPr>
          <w:p w:rsidR="00923E64" w:rsidRDefault="00901A1D">
            <w:pPr>
              <w:jc w:val="center"/>
            </w:pPr>
            <w:r>
              <w:rPr>
                <w:color w:val="000000"/>
                <w:sz w:val="24"/>
                <w:szCs w:val="24"/>
              </w:rPr>
              <w:t>中公教育</w:t>
            </w:r>
          </w:p>
        </w:tc>
        <w:tc>
          <w:tcPr>
            <w:tcW w:w="1334" w:type="dxa"/>
            <w:vAlign w:val="center"/>
          </w:tcPr>
          <w:p w:rsidR="00923E64" w:rsidRDefault="00901A1D">
            <w:pPr>
              <w:jc w:val="right"/>
            </w:pPr>
            <w:r>
              <w:rPr>
                <w:color w:val="000000"/>
                <w:sz w:val="24"/>
                <w:szCs w:val="24"/>
              </w:rPr>
              <w:t>698,300</w:t>
            </w:r>
          </w:p>
        </w:tc>
        <w:tc>
          <w:tcPr>
            <w:tcW w:w="1924" w:type="dxa"/>
            <w:vAlign w:val="center"/>
          </w:tcPr>
          <w:p w:rsidR="00923E64" w:rsidRDefault="00901A1D">
            <w:pPr>
              <w:jc w:val="right"/>
            </w:pPr>
            <w:r>
              <w:rPr>
                <w:color w:val="000000"/>
                <w:sz w:val="24"/>
                <w:szCs w:val="24"/>
              </w:rPr>
              <w:t>9,587,659.00</w:t>
            </w:r>
          </w:p>
        </w:tc>
        <w:tc>
          <w:tcPr>
            <w:tcW w:w="1644" w:type="dxa"/>
            <w:vAlign w:val="center"/>
          </w:tcPr>
          <w:p w:rsidR="00923E64" w:rsidRDefault="00901A1D">
            <w:pPr>
              <w:jc w:val="right"/>
            </w:pPr>
            <w:r>
              <w:rPr>
                <w:color w:val="000000"/>
                <w:sz w:val="24"/>
                <w:szCs w:val="24"/>
              </w:rPr>
              <w:t>3.06</w:t>
            </w:r>
          </w:p>
        </w:tc>
      </w:tr>
      <w:tr w:rsidR="00923E64">
        <w:trPr>
          <w:jc w:val="center"/>
        </w:trPr>
        <w:tc>
          <w:tcPr>
            <w:tcW w:w="855" w:type="dxa"/>
            <w:vAlign w:val="center"/>
          </w:tcPr>
          <w:p w:rsidR="00923E64" w:rsidRDefault="00901A1D">
            <w:pPr>
              <w:jc w:val="center"/>
            </w:pPr>
            <w:r>
              <w:rPr>
                <w:color w:val="000000"/>
                <w:sz w:val="24"/>
                <w:szCs w:val="24"/>
              </w:rPr>
              <w:t>6</w:t>
            </w:r>
          </w:p>
        </w:tc>
        <w:tc>
          <w:tcPr>
            <w:tcW w:w="1334" w:type="dxa"/>
            <w:vAlign w:val="center"/>
          </w:tcPr>
          <w:p w:rsidR="00923E64" w:rsidRDefault="00901A1D">
            <w:pPr>
              <w:jc w:val="center"/>
            </w:pPr>
            <w:r>
              <w:rPr>
                <w:color w:val="000000"/>
                <w:sz w:val="24"/>
                <w:szCs w:val="24"/>
              </w:rPr>
              <w:t>002216</w:t>
            </w:r>
          </w:p>
        </w:tc>
        <w:tc>
          <w:tcPr>
            <w:tcW w:w="1777" w:type="dxa"/>
            <w:vAlign w:val="center"/>
          </w:tcPr>
          <w:p w:rsidR="00923E64" w:rsidRDefault="00901A1D">
            <w:pPr>
              <w:jc w:val="center"/>
            </w:pPr>
            <w:r>
              <w:rPr>
                <w:color w:val="000000"/>
                <w:sz w:val="24"/>
                <w:szCs w:val="24"/>
              </w:rPr>
              <w:t>三全食品</w:t>
            </w:r>
          </w:p>
        </w:tc>
        <w:tc>
          <w:tcPr>
            <w:tcW w:w="1334" w:type="dxa"/>
            <w:vAlign w:val="center"/>
          </w:tcPr>
          <w:p w:rsidR="00923E64" w:rsidRDefault="00901A1D">
            <w:pPr>
              <w:jc w:val="right"/>
            </w:pPr>
            <w:r>
              <w:rPr>
                <w:color w:val="000000"/>
                <w:sz w:val="24"/>
                <w:szCs w:val="24"/>
              </w:rPr>
              <w:t>866,080</w:t>
            </w:r>
          </w:p>
        </w:tc>
        <w:tc>
          <w:tcPr>
            <w:tcW w:w="1924" w:type="dxa"/>
            <w:vAlign w:val="center"/>
          </w:tcPr>
          <w:p w:rsidR="00923E64" w:rsidRDefault="00901A1D">
            <w:pPr>
              <w:jc w:val="right"/>
            </w:pPr>
            <w:r>
              <w:rPr>
                <w:color w:val="000000"/>
                <w:sz w:val="24"/>
                <w:szCs w:val="24"/>
              </w:rPr>
              <w:t>8,851,337.60</w:t>
            </w:r>
          </w:p>
        </w:tc>
        <w:tc>
          <w:tcPr>
            <w:tcW w:w="1644" w:type="dxa"/>
            <w:vAlign w:val="center"/>
          </w:tcPr>
          <w:p w:rsidR="00923E64" w:rsidRDefault="00901A1D">
            <w:pPr>
              <w:jc w:val="right"/>
            </w:pPr>
            <w:r>
              <w:rPr>
                <w:color w:val="000000"/>
                <w:sz w:val="24"/>
                <w:szCs w:val="24"/>
              </w:rPr>
              <w:t>2.82</w:t>
            </w:r>
          </w:p>
        </w:tc>
      </w:tr>
      <w:tr w:rsidR="00923E64">
        <w:trPr>
          <w:jc w:val="center"/>
        </w:trPr>
        <w:tc>
          <w:tcPr>
            <w:tcW w:w="855" w:type="dxa"/>
            <w:vAlign w:val="center"/>
          </w:tcPr>
          <w:p w:rsidR="00923E64" w:rsidRDefault="00901A1D">
            <w:pPr>
              <w:jc w:val="center"/>
            </w:pPr>
            <w:r>
              <w:rPr>
                <w:color w:val="000000"/>
                <w:sz w:val="24"/>
                <w:szCs w:val="24"/>
              </w:rPr>
              <w:t>7</w:t>
            </w:r>
          </w:p>
        </w:tc>
        <w:tc>
          <w:tcPr>
            <w:tcW w:w="1334" w:type="dxa"/>
            <w:vAlign w:val="center"/>
          </w:tcPr>
          <w:p w:rsidR="00923E64" w:rsidRDefault="00901A1D">
            <w:pPr>
              <w:jc w:val="center"/>
            </w:pPr>
            <w:r>
              <w:rPr>
                <w:color w:val="000000"/>
                <w:sz w:val="24"/>
                <w:szCs w:val="24"/>
              </w:rPr>
              <w:t>600900</w:t>
            </w:r>
          </w:p>
        </w:tc>
        <w:tc>
          <w:tcPr>
            <w:tcW w:w="1777" w:type="dxa"/>
            <w:vAlign w:val="center"/>
          </w:tcPr>
          <w:p w:rsidR="00923E64" w:rsidRDefault="00901A1D">
            <w:pPr>
              <w:jc w:val="center"/>
            </w:pPr>
            <w:r>
              <w:rPr>
                <w:color w:val="000000"/>
                <w:sz w:val="24"/>
                <w:szCs w:val="24"/>
              </w:rPr>
              <w:t>长江电力</w:t>
            </w:r>
          </w:p>
        </w:tc>
        <w:tc>
          <w:tcPr>
            <w:tcW w:w="1334" w:type="dxa"/>
            <w:vAlign w:val="center"/>
          </w:tcPr>
          <w:p w:rsidR="00923E64" w:rsidRDefault="00901A1D">
            <w:pPr>
              <w:jc w:val="right"/>
            </w:pPr>
            <w:r>
              <w:rPr>
                <w:color w:val="000000"/>
                <w:sz w:val="24"/>
                <w:szCs w:val="24"/>
              </w:rPr>
              <w:t>475,500</w:t>
            </w:r>
          </w:p>
        </w:tc>
        <w:tc>
          <w:tcPr>
            <w:tcW w:w="1924" w:type="dxa"/>
            <w:vAlign w:val="center"/>
          </w:tcPr>
          <w:p w:rsidR="00923E64" w:rsidRDefault="00901A1D">
            <w:pPr>
              <w:jc w:val="right"/>
            </w:pPr>
            <w:r>
              <w:rPr>
                <w:color w:val="000000"/>
                <w:sz w:val="24"/>
                <w:szCs w:val="24"/>
              </w:rPr>
              <w:t>8,511,450.00</w:t>
            </w:r>
          </w:p>
        </w:tc>
        <w:tc>
          <w:tcPr>
            <w:tcW w:w="1644" w:type="dxa"/>
            <w:vAlign w:val="center"/>
          </w:tcPr>
          <w:p w:rsidR="00923E64" w:rsidRDefault="00901A1D">
            <w:pPr>
              <w:jc w:val="right"/>
            </w:pPr>
            <w:r>
              <w:rPr>
                <w:color w:val="000000"/>
                <w:sz w:val="24"/>
                <w:szCs w:val="24"/>
              </w:rPr>
              <w:t>2.71</w:t>
            </w:r>
          </w:p>
        </w:tc>
      </w:tr>
      <w:tr w:rsidR="00923E64">
        <w:trPr>
          <w:jc w:val="center"/>
        </w:trPr>
        <w:tc>
          <w:tcPr>
            <w:tcW w:w="855" w:type="dxa"/>
            <w:vAlign w:val="center"/>
          </w:tcPr>
          <w:p w:rsidR="00923E64" w:rsidRDefault="00901A1D">
            <w:pPr>
              <w:jc w:val="center"/>
            </w:pPr>
            <w:r>
              <w:rPr>
                <w:color w:val="000000"/>
                <w:sz w:val="24"/>
                <w:szCs w:val="24"/>
              </w:rPr>
              <w:t>8</w:t>
            </w:r>
          </w:p>
        </w:tc>
        <w:tc>
          <w:tcPr>
            <w:tcW w:w="1334" w:type="dxa"/>
            <w:vAlign w:val="center"/>
          </w:tcPr>
          <w:p w:rsidR="00923E64" w:rsidRDefault="00901A1D">
            <w:pPr>
              <w:jc w:val="center"/>
            </w:pPr>
            <w:r>
              <w:rPr>
                <w:color w:val="000000"/>
                <w:sz w:val="24"/>
                <w:szCs w:val="24"/>
              </w:rPr>
              <w:t>601336</w:t>
            </w:r>
          </w:p>
        </w:tc>
        <w:tc>
          <w:tcPr>
            <w:tcW w:w="1777" w:type="dxa"/>
            <w:vAlign w:val="center"/>
          </w:tcPr>
          <w:p w:rsidR="00923E64" w:rsidRDefault="00901A1D">
            <w:pPr>
              <w:jc w:val="center"/>
            </w:pPr>
            <w:r>
              <w:rPr>
                <w:color w:val="000000"/>
                <w:sz w:val="24"/>
                <w:szCs w:val="24"/>
              </w:rPr>
              <w:t>新华保险</w:t>
            </w:r>
          </w:p>
        </w:tc>
        <w:tc>
          <w:tcPr>
            <w:tcW w:w="1334" w:type="dxa"/>
            <w:vAlign w:val="center"/>
          </w:tcPr>
          <w:p w:rsidR="00923E64" w:rsidRDefault="00901A1D">
            <w:pPr>
              <w:jc w:val="right"/>
            </w:pPr>
            <w:r>
              <w:rPr>
                <w:color w:val="000000"/>
                <w:sz w:val="24"/>
                <w:szCs w:val="24"/>
              </w:rPr>
              <w:t>104,300</w:t>
            </w:r>
          </w:p>
        </w:tc>
        <w:tc>
          <w:tcPr>
            <w:tcW w:w="1924" w:type="dxa"/>
            <w:vAlign w:val="center"/>
          </w:tcPr>
          <w:p w:rsidR="00923E64" w:rsidRDefault="00901A1D">
            <w:pPr>
              <w:jc w:val="right"/>
            </w:pPr>
            <w:r>
              <w:rPr>
                <w:color w:val="000000"/>
                <w:sz w:val="24"/>
                <w:szCs w:val="24"/>
              </w:rPr>
              <w:t>5,739,629.00</w:t>
            </w:r>
          </w:p>
        </w:tc>
        <w:tc>
          <w:tcPr>
            <w:tcW w:w="1644" w:type="dxa"/>
            <w:vAlign w:val="center"/>
          </w:tcPr>
          <w:p w:rsidR="00923E64" w:rsidRDefault="00901A1D">
            <w:pPr>
              <w:jc w:val="right"/>
            </w:pPr>
            <w:r>
              <w:rPr>
                <w:color w:val="000000"/>
                <w:sz w:val="24"/>
                <w:szCs w:val="24"/>
              </w:rPr>
              <w:t>1.83</w:t>
            </w:r>
          </w:p>
        </w:tc>
      </w:tr>
      <w:tr w:rsidR="00923E64">
        <w:trPr>
          <w:jc w:val="center"/>
        </w:trPr>
        <w:tc>
          <w:tcPr>
            <w:tcW w:w="855" w:type="dxa"/>
            <w:vAlign w:val="center"/>
          </w:tcPr>
          <w:p w:rsidR="00923E64" w:rsidRDefault="00901A1D">
            <w:pPr>
              <w:jc w:val="center"/>
            </w:pPr>
            <w:r>
              <w:rPr>
                <w:color w:val="000000"/>
                <w:sz w:val="24"/>
                <w:szCs w:val="24"/>
              </w:rPr>
              <w:t>9</w:t>
            </w:r>
          </w:p>
        </w:tc>
        <w:tc>
          <w:tcPr>
            <w:tcW w:w="1334" w:type="dxa"/>
            <w:vAlign w:val="center"/>
          </w:tcPr>
          <w:p w:rsidR="00923E64" w:rsidRDefault="00901A1D">
            <w:pPr>
              <w:jc w:val="center"/>
            </w:pPr>
            <w:r>
              <w:rPr>
                <w:color w:val="000000"/>
                <w:sz w:val="24"/>
                <w:szCs w:val="24"/>
              </w:rPr>
              <w:t>300146</w:t>
            </w:r>
          </w:p>
        </w:tc>
        <w:tc>
          <w:tcPr>
            <w:tcW w:w="1777" w:type="dxa"/>
            <w:vAlign w:val="center"/>
          </w:tcPr>
          <w:p w:rsidR="00923E64" w:rsidRDefault="00901A1D">
            <w:pPr>
              <w:jc w:val="center"/>
            </w:pPr>
            <w:r>
              <w:rPr>
                <w:color w:val="000000"/>
                <w:sz w:val="24"/>
                <w:szCs w:val="24"/>
              </w:rPr>
              <w:t>汤臣倍健</w:t>
            </w:r>
          </w:p>
        </w:tc>
        <w:tc>
          <w:tcPr>
            <w:tcW w:w="1334" w:type="dxa"/>
            <w:vAlign w:val="center"/>
          </w:tcPr>
          <w:p w:rsidR="00923E64" w:rsidRDefault="00901A1D">
            <w:pPr>
              <w:jc w:val="right"/>
            </w:pPr>
            <w:r>
              <w:rPr>
                <w:color w:val="000000"/>
                <w:sz w:val="24"/>
                <w:szCs w:val="24"/>
              </w:rPr>
              <w:t>203,319</w:t>
            </w:r>
          </w:p>
        </w:tc>
        <w:tc>
          <w:tcPr>
            <w:tcW w:w="1924" w:type="dxa"/>
            <w:vAlign w:val="center"/>
          </w:tcPr>
          <w:p w:rsidR="00923E64" w:rsidRDefault="00901A1D">
            <w:pPr>
              <w:jc w:val="right"/>
            </w:pPr>
            <w:r>
              <w:rPr>
                <w:color w:val="000000"/>
                <w:sz w:val="24"/>
                <w:szCs w:val="24"/>
              </w:rPr>
              <w:t>3,944,388.60</w:t>
            </w:r>
          </w:p>
        </w:tc>
        <w:tc>
          <w:tcPr>
            <w:tcW w:w="1644" w:type="dxa"/>
            <w:vAlign w:val="center"/>
          </w:tcPr>
          <w:p w:rsidR="00923E64" w:rsidRDefault="00901A1D">
            <w:pPr>
              <w:jc w:val="right"/>
            </w:pPr>
            <w:r>
              <w:rPr>
                <w:color w:val="000000"/>
                <w:sz w:val="24"/>
                <w:szCs w:val="24"/>
              </w:rPr>
              <w:t>1.26</w:t>
            </w:r>
          </w:p>
        </w:tc>
      </w:tr>
      <w:tr w:rsidR="00923E64">
        <w:trPr>
          <w:jc w:val="center"/>
        </w:trPr>
        <w:tc>
          <w:tcPr>
            <w:tcW w:w="855" w:type="dxa"/>
            <w:vAlign w:val="center"/>
          </w:tcPr>
          <w:p w:rsidR="00923E64" w:rsidRDefault="00901A1D">
            <w:pPr>
              <w:jc w:val="center"/>
            </w:pPr>
            <w:r>
              <w:rPr>
                <w:color w:val="000000"/>
                <w:sz w:val="24"/>
                <w:szCs w:val="24"/>
              </w:rPr>
              <w:t>10</w:t>
            </w:r>
          </w:p>
        </w:tc>
        <w:tc>
          <w:tcPr>
            <w:tcW w:w="1334" w:type="dxa"/>
            <w:vAlign w:val="center"/>
          </w:tcPr>
          <w:p w:rsidR="00923E64" w:rsidRDefault="00901A1D">
            <w:pPr>
              <w:jc w:val="center"/>
            </w:pPr>
            <w:r>
              <w:rPr>
                <w:color w:val="000000"/>
                <w:sz w:val="24"/>
                <w:szCs w:val="24"/>
              </w:rPr>
              <w:t>603707</w:t>
            </w:r>
          </w:p>
        </w:tc>
        <w:tc>
          <w:tcPr>
            <w:tcW w:w="1777" w:type="dxa"/>
            <w:vAlign w:val="center"/>
          </w:tcPr>
          <w:p w:rsidR="00923E64" w:rsidRDefault="00901A1D">
            <w:pPr>
              <w:jc w:val="center"/>
            </w:pPr>
            <w:r>
              <w:rPr>
                <w:color w:val="000000"/>
                <w:sz w:val="24"/>
                <w:szCs w:val="24"/>
              </w:rPr>
              <w:t>健友股份</w:t>
            </w:r>
          </w:p>
        </w:tc>
        <w:tc>
          <w:tcPr>
            <w:tcW w:w="1334" w:type="dxa"/>
            <w:vAlign w:val="center"/>
          </w:tcPr>
          <w:p w:rsidR="00923E64" w:rsidRDefault="00901A1D">
            <w:pPr>
              <w:jc w:val="right"/>
            </w:pPr>
            <w:r>
              <w:rPr>
                <w:color w:val="000000"/>
                <w:sz w:val="24"/>
                <w:szCs w:val="24"/>
              </w:rPr>
              <w:t>85,430</w:t>
            </w:r>
          </w:p>
        </w:tc>
        <w:tc>
          <w:tcPr>
            <w:tcW w:w="1924" w:type="dxa"/>
            <w:vAlign w:val="center"/>
          </w:tcPr>
          <w:p w:rsidR="00923E64" w:rsidRDefault="00901A1D">
            <w:pPr>
              <w:jc w:val="right"/>
            </w:pPr>
            <w:r>
              <w:rPr>
                <w:color w:val="000000"/>
                <w:sz w:val="24"/>
                <w:szCs w:val="24"/>
              </w:rPr>
              <w:t>3,019,950.50</w:t>
            </w:r>
          </w:p>
        </w:tc>
        <w:tc>
          <w:tcPr>
            <w:tcW w:w="1644" w:type="dxa"/>
            <w:vAlign w:val="center"/>
          </w:tcPr>
          <w:p w:rsidR="00923E64" w:rsidRDefault="00901A1D">
            <w:pPr>
              <w:jc w:val="right"/>
            </w:pPr>
            <w:r>
              <w:rPr>
                <w:color w:val="000000"/>
                <w:sz w:val="24"/>
                <w:szCs w:val="24"/>
              </w:rPr>
              <w:t>0.96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10,223,000.00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3.26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40,208,000.00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23E64">
        <w:trPr>
          <w:jc w:val="center"/>
        </w:trPr>
        <w:tc>
          <w:tcPr>
            <w:tcW w:w="850" w:type="dxa"/>
            <w:vAlign w:val="center"/>
          </w:tcPr>
          <w:p w:rsidR="00923E64" w:rsidRDefault="00901A1D">
            <w:pPr>
              <w:jc w:val="center"/>
            </w:pPr>
            <w:r>
              <w:rPr>
                <w:color w:val="000000"/>
                <w:sz w:val="24"/>
                <w:szCs w:val="24"/>
              </w:rPr>
              <w:t>1</w:t>
            </w:r>
          </w:p>
        </w:tc>
        <w:tc>
          <w:tcPr>
            <w:tcW w:w="1475" w:type="dxa"/>
            <w:vAlign w:val="center"/>
          </w:tcPr>
          <w:p w:rsidR="00923E64" w:rsidRDefault="00901A1D">
            <w:pPr>
              <w:jc w:val="center"/>
            </w:pPr>
            <w:r>
              <w:rPr>
                <w:color w:val="000000"/>
                <w:sz w:val="24"/>
                <w:szCs w:val="24"/>
              </w:rPr>
              <w:t>190206</w:t>
            </w:r>
          </w:p>
        </w:tc>
        <w:tc>
          <w:tcPr>
            <w:tcW w:w="1769" w:type="dxa"/>
            <w:vAlign w:val="center"/>
          </w:tcPr>
          <w:p w:rsidR="00923E64" w:rsidRDefault="00901A1D">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923E64" w:rsidRDefault="00901A1D">
            <w:pPr>
              <w:jc w:val="right"/>
            </w:pPr>
            <w:r>
              <w:rPr>
                <w:color w:val="000000"/>
                <w:sz w:val="24"/>
                <w:szCs w:val="24"/>
              </w:rPr>
              <w:t>300,000</w:t>
            </w:r>
          </w:p>
        </w:tc>
        <w:tc>
          <w:tcPr>
            <w:tcW w:w="2150" w:type="dxa"/>
            <w:vAlign w:val="center"/>
          </w:tcPr>
          <w:p w:rsidR="00923E64" w:rsidRDefault="00901A1D">
            <w:pPr>
              <w:jc w:val="right"/>
            </w:pPr>
            <w:r>
              <w:rPr>
                <w:color w:val="000000"/>
                <w:sz w:val="24"/>
                <w:szCs w:val="24"/>
              </w:rPr>
              <w:t>29,985,000.00</w:t>
            </w:r>
          </w:p>
        </w:tc>
        <w:tc>
          <w:tcPr>
            <w:tcW w:w="1237" w:type="dxa"/>
            <w:vAlign w:val="center"/>
          </w:tcPr>
          <w:p w:rsidR="00923E64" w:rsidRDefault="00901A1D">
            <w:pPr>
              <w:jc w:val="right"/>
            </w:pPr>
            <w:r>
              <w:rPr>
                <w:color w:val="000000"/>
                <w:sz w:val="24"/>
                <w:szCs w:val="24"/>
              </w:rPr>
              <w:t>9.56</w:t>
            </w:r>
          </w:p>
        </w:tc>
      </w:tr>
      <w:tr w:rsidR="00923E64">
        <w:trPr>
          <w:jc w:val="center"/>
        </w:trPr>
        <w:tc>
          <w:tcPr>
            <w:tcW w:w="850" w:type="dxa"/>
            <w:vAlign w:val="center"/>
          </w:tcPr>
          <w:p w:rsidR="00923E64" w:rsidRDefault="00901A1D">
            <w:pPr>
              <w:jc w:val="center"/>
            </w:pPr>
            <w:r>
              <w:rPr>
                <w:color w:val="000000"/>
                <w:sz w:val="24"/>
                <w:szCs w:val="24"/>
              </w:rPr>
              <w:t>2</w:t>
            </w:r>
          </w:p>
        </w:tc>
        <w:tc>
          <w:tcPr>
            <w:tcW w:w="1475" w:type="dxa"/>
            <w:vAlign w:val="center"/>
          </w:tcPr>
          <w:p w:rsidR="00923E64" w:rsidRDefault="00901A1D">
            <w:pPr>
              <w:jc w:val="center"/>
            </w:pPr>
            <w:r>
              <w:rPr>
                <w:color w:val="000000"/>
                <w:sz w:val="24"/>
                <w:szCs w:val="24"/>
              </w:rPr>
              <w:t>101754076</w:t>
            </w:r>
          </w:p>
        </w:tc>
        <w:tc>
          <w:tcPr>
            <w:tcW w:w="1769" w:type="dxa"/>
            <w:vAlign w:val="center"/>
          </w:tcPr>
          <w:p w:rsidR="00923E64" w:rsidRDefault="00901A1D">
            <w:pPr>
              <w:jc w:val="center"/>
            </w:pPr>
            <w:r>
              <w:rPr>
                <w:color w:val="000000"/>
                <w:sz w:val="24"/>
                <w:szCs w:val="24"/>
              </w:rPr>
              <w:t>17</w:t>
            </w:r>
            <w:r>
              <w:rPr>
                <w:color w:val="000000"/>
                <w:sz w:val="24"/>
                <w:szCs w:val="24"/>
              </w:rPr>
              <w:t>赣高速</w:t>
            </w:r>
            <w:r>
              <w:rPr>
                <w:color w:val="000000"/>
                <w:sz w:val="24"/>
                <w:szCs w:val="24"/>
              </w:rPr>
              <w:t>MTN001</w:t>
            </w:r>
          </w:p>
        </w:tc>
        <w:tc>
          <w:tcPr>
            <w:tcW w:w="1387" w:type="dxa"/>
            <w:vAlign w:val="center"/>
          </w:tcPr>
          <w:p w:rsidR="00923E64" w:rsidRDefault="00901A1D">
            <w:pPr>
              <w:jc w:val="right"/>
            </w:pPr>
            <w:r>
              <w:rPr>
                <w:color w:val="000000"/>
                <w:sz w:val="24"/>
                <w:szCs w:val="24"/>
              </w:rPr>
              <w:t>100,000</w:t>
            </w:r>
          </w:p>
        </w:tc>
        <w:tc>
          <w:tcPr>
            <w:tcW w:w="2150" w:type="dxa"/>
            <w:vAlign w:val="center"/>
          </w:tcPr>
          <w:p w:rsidR="00923E64" w:rsidRDefault="00901A1D">
            <w:pPr>
              <w:jc w:val="right"/>
            </w:pPr>
            <w:r>
              <w:rPr>
                <w:color w:val="000000"/>
                <w:sz w:val="24"/>
                <w:szCs w:val="24"/>
              </w:rPr>
              <w:t>10,223,000.00</w:t>
            </w:r>
          </w:p>
        </w:tc>
        <w:tc>
          <w:tcPr>
            <w:tcW w:w="1237" w:type="dxa"/>
            <w:vAlign w:val="center"/>
          </w:tcPr>
          <w:p w:rsidR="00923E64" w:rsidRDefault="00901A1D">
            <w:pPr>
              <w:jc w:val="right"/>
            </w:pPr>
            <w:r>
              <w:rPr>
                <w:color w:val="000000"/>
                <w:sz w:val="24"/>
                <w:szCs w:val="24"/>
              </w:rPr>
              <w:t>3.26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41,464.29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58,534.29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521,557.81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309.54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621,865.93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108,863,717.94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226,795,352.30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29,206,301.99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306,452,768.25</w:t>
            </w:r>
          </w:p>
        </w:tc>
      </w:tr>
    </w:tbl>
    <w:p w:rsidR="00923E64" w:rsidRDefault="00901A1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23E64">
        <w:tc>
          <w:tcPr>
            <w:tcW w:w="993" w:type="dxa"/>
            <w:vMerge w:val="restart"/>
          </w:tcPr>
          <w:p w:rsidR="00923E64" w:rsidRDefault="00923E64"/>
          <w:p w:rsidR="00923E64" w:rsidRDefault="00901A1D">
            <w:r>
              <w:rPr>
                <w:rFonts w:ascii="宋体" w:hAnsi="宋体" w:hint="eastAsia"/>
                <w:bCs/>
                <w:color w:val="000000"/>
                <w:kern w:val="0"/>
              </w:rPr>
              <w:t>机构</w:t>
            </w:r>
          </w:p>
        </w:tc>
        <w:tc>
          <w:tcPr>
            <w:tcW w:w="992" w:type="dxa"/>
            <w:vAlign w:val="center"/>
          </w:tcPr>
          <w:p w:rsidR="00923E64" w:rsidRDefault="00901A1D">
            <w:pPr>
              <w:jc w:val="center"/>
            </w:pPr>
            <w:r>
              <w:rPr>
                <w:rFonts w:ascii="宋体" w:hAnsi="宋体"/>
                <w:color w:val="000000"/>
                <w:kern w:val="0"/>
              </w:rPr>
              <w:t>1</w:t>
            </w:r>
          </w:p>
        </w:tc>
        <w:tc>
          <w:tcPr>
            <w:tcW w:w="1843" w:type="dxa"/>
            <w:vAlign w:val="center"/>
          </w:tcPr>
          <w:p w:rsidR="00923E64" w:rsidRDefault="00901A1D">
            <w:pPr>
              <w:jc w:val="center"/>
            </w:pPr>
            <w:r>
              <w:rPr>
                <w:rFonts w:ascii="宋体" w:hAnsi="宋体"/>
                <w:color w:val="000000"/>
                <w:kern w:val="0"/>
              </w:rPr>
              <w:t>2019/4/1-2019/6/30</w:t>
            </w:r>
          </w:p>
        </w:tc>
        <w:tc>
          <w:tcPr>
            <w:tcW w:w="851" w:type="dxa"/>
            <w:vAlign w:val="center"/>
          </w:tcPr>
          <w:p w:rsidR="00923E64" w:rsidRDefault="00901A1D">
            <w:pPr>
              <w:jc w:val="center"/>
            </w:pPr>
            <w:r>
              <w:rPr>
                <w:rFonts w:ascii="宋体" w:hAnsi="宋体"/>
                <w:color w:val="000000"/>
                <w:kern w:val="0"/>
              </w:rPr>
              <w:t>-</w:t>
            </w:r>
          </w:p>
        </w:tc>
        <w:tc>
          <w:tcPr>
            <w:tcW w:w="850" w:type="dxa"/>
            <w:vAlign w:val="center"/>
          </w:tcPr>
          <w:p w:rsidR="00923E64" w:rsidRDefault="00901A1D">
            <w:pPr>
              <w:jc w:val="center"/>
            </w:pPr>
            <w:r>
              <w:rPr>
                <w:rFonts w:ascii="宋体" w:hAnsi="宋体"/>
                <w:color w:val="000000"/>
                <w:kern w:val="0"/>
              </w:rPr>
              <w:t>98,589,174.80</w:t>
            </w:r>
          </w:p>
        </w:tc>
        <w:tc>
          <w:tcPr>
            <w:tcW w:w="1134" w:type="dxa"/>
            <w:vAlign w:val="center"/>
          </w:tcPr>
          <w:p w:rsidR="00923E64" w:rsidRDefault="00901A1D">
            <w:pPr>
              <w:jc w:val="center"/>
            </w:pPr>
            <w:r>
              <w:rPr>
                <w:rFonts w:ascii="宋体" w:hAnsi="宋体"/>
                <w:color w:val="000000"/>
                <w:kern w:val="0"/>
              </w:rPr>
              <w:t>-</w:t>
            </w:r>
          </w:p>
        </w:tc>
        <w:tc>
          <w:tcPr>
            <w:tcW w:w="1419" w:type="dxa"/>
            <w:vAlign w:val="center"/>
          </w:tcPr>
          <w:p w:rsidR="00923E64" w:rsidRDefault="00901A1D">
            <w:pPr>
              <w:jc w:val="center"/>
            </w:pPr>
            <w:r>
              <w:rPr>
                <w:rFonts w:ascii="宋体" w:hAnsi="宋体"/>
                <w:color w:val="000000"/>
                <w:kern w:val="0"/>
              </w:rPr>
              <w:t>98,589,174.80</w:t>
            </w:r>
          </w:p>
        </w:tc>
        <w:tc>
          <w:tcPr>
            <w:tcW w:w="1130" w:type="dxa"/>
            <w:vAlign w:val="center"/>
          </w:tcPr>
          <w:p w:rsidR="00923E64" w:rsidRDefault="00901A1D">
            <w:pPr>
              <w:jc w:val="center"/>
            </w:pPr>
            <w:r>
              <w:rPr>
                <w:rFonts w:ascii="宋体" w:hAnsi="宋体"/>
                <w:color w:val="000000"/>
                <w:kern w:val="0"/>
              </w:rPr>
              <w:t>32.17%</w:t>
            </w:r>
          </w:p>
        </w:tc>
      </w:tr>
      <w:tr w:rsidR="00923E64">
        <w:tc>
          <w:tcPr>
            <w:tcW w:w="993" w:type="dxa"/>
            <w:vMerge/>
          </w:tcPr>
          <w:p w:rsidR="00923E64" w:rsidRDefault="00923E64"/>
        </w:tc>
        <w:tc>
          <w:tcPr>
            <w:tcW w:w="992" w:type="dxa"/>
            <w:vAlign w:val="center"/>
          </w:tcPr>
          <w:p w:rsidR="00923E64" w:rsidRDefault="00901A1D">
            <w:pPr>
              <w:jc w:val="center"/>
            </w:pPr>
            <w:r>
              <w:rPr>
                <w:rFonts w:ascii="宋体" w:hAnsi="宋体"/>
                <w:color w:val="000000"/>
                <w:kern w:val="0"/>
              </w:rPr>
              <w:t>2</w:t>
            </w:r>
          </w:p>
        </w:tc>
        <w:tc>
          <w:tcPr>
            <w:tcW w:w="1843" w:type="dxa"/>
            <w:vAlign w:val="center"/>
          </w:tcPr>
          <w:p w:rsidR="00923E64" w:rsidRDefault="00901A1D">
            <w:pPr>
              <w:jc w:val="center"/>
            </w:pPr>
            <w:r>
              <w:rPr>
                <w:rFonts w:ascii="宋体" w:hAnsi="宋体"/>
                <w:color w:val="000000"/>
                <w:kern w:val="0"/>
              </w:rPr>
              <w:t>2019/4/1-2019/6/30</w:t>
            </w:r>
          </w:p>
        </w:tc>
        <w:tc>
          <w:tcPr>
            <w:tcW w:w="851" w:type="dxa"/>
            <w:vAlign w:val="center"/>
          </w:tcPr>
          <w:p w:rsidR="00923E64" w:rsidRDefault="00901A1D">
            <w:pPr>
              <w:jc w:val="center"/>
            </w:pPr>
            <w:r>
              <w:rPr>
                <w:rFonts w:ascii="宋体" w:hAnsi="宋体"/>
                <w:color w:val="000000"/>
                <w:kern w:val="0"/>
              </w:rPr>
              <w:t>-</w:t>
            </w:r>
          </w:p>
        </w:tc>
        <w:tc>
          <w:tcPr>
            <w:tcW w:w="850" w:type="dxa"/>
            <w:vAlign w:val="center"/>
          </w:tcPr>
          <w:p w:rsidR="00923E64" w:rsidRDefault="00901A1D">
            <w:pPr>
              <w:jc w:val="center"/>
            </w:pPr>
            <w:r>
              <w:rPr>
                <w:rFonts w:ascii="宋体" w:hAnsi="宋体"/>
                <w:color w:val="000000"/>
                <w:kern w:val="0"/>
              </w:rPr>
              <w:t>98,589,174.80</w:t>
            </w:r>
          </w:p>
        </w:tc>
        <w:tc>
          <w:tcPr>
            <w:tcW w:w="1134" w:type="dxa"/>
            <w:vAlign w:val="center"/>
          </w:tcPr>
          <w:p w:rsidR="00923E64" w:rsidRDefault="00901A1D">
            <w:pPr>
              <w:jc w:val="center"/>
            </w:pPr>
            <w:r>
              <w:rPr>
                <w:rFonts w:ascii="宋体" w:hAnsi="宋体"/>
                <w:color w:val="000000"/>
                <w:kern w:val="0"/>
              </w:rPr>
              <w:t>-</w:t>
            </w:r>
          </w:p>
        </w:tc>
        <w:tc>
          <w:tcPr>
            <w:tcW w:w="1419" w:type="dxa"/>
            <w:vAlign w:val="center"/>
          </w:tcPr>
          <w:p w:rsidR="00923E64" w:rsidRDefault="00901A1D">
            <w:pPr>
              <w:jc w:val="center"/>
            </w:pPr>
            <w:r>
              <w:rPr>
                <w:rFonts w:ascii="宋体" w:hAnsi="宋体"/>
                <w:color w:val="000000"/>
                <w:kern w:val="0"/>
              </w:rPr>
              <w:t>98,589,174.80</w:t>
            </w:r>
          </w:p>
        </w:tc>
        <w:tc>
          <w:tcPr>
            <w:tcW w:w="1130" w:type="dxa"/>
            <w:vAlign w:val="center"/>
          </w:tcPr>
          <w:p w:rsidR="00923E64" w:rsidRDefault="00901A1D">
            <w:pPr>
              <w:jc w:val="center"/>
            </w:pPr>
            <w:r>
              <w:rPr>
                <w:rFonts w:ascii="宋体" w:hAnsi="宋体"/>
                <w:color w:val="000000"/>
                <w:kern w:val="0"/>
              </w:rPr>
              <w:t>32.17%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23E64" w:rsidRDefault="00901A1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23E64" w:rsidRDefault="00901A1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23E64" w:rsidRDefault="00901A1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1D" w:rsidRDefault="00901A1D" w:rsidP="00876D65">
      <w:r>
        <w:separator/>
      </w:r>
    </w:p>
  </w:endnote>
  <w:endnote w:type="continuationSeparator" w:id="0">
    <w:p w:rsidR="00901A1D" w:rsidRDefault="00901A1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4155B">
      <w:rPr>
        <w:noProof/>
        <w:kern w:val="0"/>
        <w:szCs w:val="21"/>
      </w:rPr>
      <w:t>14</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64155B">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1D" w:rsidRDefault="00901A1D" w:rsidP="00876D65">
      <w:r>
        <w:separator/>
      </w:r>
    </w:p>
  </w:footnote>
  <w:footnote w:type="continuationSeparator" w:id="0">
    <w:p w:rsidR="00901A1D" w:rsidRDefault="00901A1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155B"/>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1A1D"/>
    <w:rsid w:val="0090217D"/>
    <w:rsid w:val="00905C5E"/>
    <w:rsid w:val="009078DC"/>
    <w:rsid w:val="009200F6"/>
    <w:rsid w:val="00921735"/>
    <w:rsid w:val="00921AC7"/>
    <w:rsid w:val="00923E64"/>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E220-B068-40EC-8F06-0EC95400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14</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591</cp:revision>
  <dcterms:created xsi:type="dcterms:W3CDTF">2012-10-16T06:07:00Z</dcterms:created>
  <dcterms:modified xsi:type="dcterms:W3CDTF">2019-07-11T09:32:00Z</dcterms:modified>
</cp:coreProperties>
</file>