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331,589,908.23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220D75" w:rsidRDefault="005A0523">
            <w:pPr>
              <w:adjustRightInd w:val="0"/>
              <w:spacing w:before="29" w:line="288" w:lineRule="auto"/>
              <w:ind w:left="17"/>
              <w:jc w:val="left"/>
              <w:rPr>
                <w:color w:val="000000"/>
                <w:sz w:val="24"/>
              </w:rPr>
            </w:pPr>
            <w:r>
              <w:rPr>
                <w:color w:val="000000"/>
                <w:kern w:val="0"/>
                <w:sz w:val="24"/>
              </w:rPr>
              <w:t>封闭期内的投资策略：</w:t>
            </w:r>
          </w:p>
          <w:p w:rsidR="00220D75" w:rsidRDefault="005A0523">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220D75" w:rsidRDefault="005A0523">
            <w:pPr>
              <w:adjustRightInd w:val="0"/>
              <w:spacing w:before="29" w:line="288" w:lineRule="auto"/>
              <w:ind w:left="17"/>
              <w:jc w:val="left"/>
              <w:rPr>
                <w:color w:val="000000"/>
                <w:sz w:val="24"/>
              </w:rPr>
            </w:pPr>
            <w:r>
              <w:rPr>
                <w:color w:val="000000"/>
                <w:kern w:val="0"/>
                <w:sz w:val="24"/>
              </w:rPr>
              <w:t>转为开放式运作后的投资策略：</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005577</w:t>
            </w:r>
          </w:p>
        </w:tc>
        <w:tc>
          <w:tcPr>
            <w:tcW w:w="3048" w:type="dxa"/>
            <w:vAlign w:val="center"/>
          </w:tcPr>
          <w:p w:rsidR="00C23B30" w:rsidRPr="000E4C40" w:rsidRDefault="00C23B30" w:rsidP="00A52A9E">
            <w:pPr>
              <w:spacing w:before="29" w:line="288" w:lineRule="auto"/>
              <w:jc w:val="left"/>
              <w:rPr>
                <w:sz w:val="24"/>
              </w:rPr>
            </w:pPr>
            <w:r w:rsidRPr="000E4C40">
              <w:rPr>
                <w:sz w:val="24"/>
              </w:rPr>
              <w:t>005578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330,813,244.80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776,663.43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交银丰晟收益债券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交银丰晟收益债券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5,967,409.87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12,749.30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3,536,206.57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7,052.60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353,194,372.94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826,784.25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1.0645</w:t>
            </w:r>
          </w:p>
        </w:tc>
      </w:tr>
    </w:tbl>
    <w:p w:rsidR="00220D75" w:rsidRDefault="005A052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交银丰晟收益债券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0D75">
        <w:trPr>
          <w:jc w:val="center"/>
        </w:trPr>
        <w:tc>
          <w:tcPr>
            <w:tcW w:w="1266" w:type="dxa"/>
            <w:vAlign w:val="center"/>
          </w:tcPr>
          <w:p w:rsidR="00220D75" w:rsidRDefault="005A0523">
            <w:pPr>
              <w:jc w:val="left"/>
            </w:pPr>
            <w:r>
              <w:rPr>
                <w:color w:val="000000"/>
                <w:sz w:val="24"/>
              </w:rPr>
              <w:t>过去三个月</w:t>
            </w:r>
          </w:p>
        </w:tc>
        <w:tc>
          <w:tcPr>
            <w:tcW w:w="1267" w:type="dxa"/>
            <w:vAlign w:val="center"/>
          </w:tcPr>
          <w:p w:rsidR="00220D75" w:rsidRDefault="005A0523">
            <w:pPr>
              <w:jc w:val="center"/>
            </w:pPr>
            <w:r>
              <w:rPr>
                <w:color w:val="000000"/>
                <w:sz w:val="24"/>
              </w:rPr>
              <w:t>1.01%</w:t>
            </w:r>
          </w:p>
        </w:tc>
        <w:tc>
          <w:tcPr>
            <w:tcW w:w="1267" w:type="dxa"/>
            <w:vAlign w:val="center"/>
          </w:tcPr>
          <w:p w:rsidR="00220D75" w:rsidRDefault="005A0523">
            <w:pPr>
              <w:jc w:val="center"/>
            </w:pPr>
            <w:r>
              <w:rPr>
                <w:color w:val="000000"/>
                <w:sz w:val="24"/>
              </w:rPr>
              <w:t>0.07%</w:t>
            </w:r>
          </w:p>
        </w:tc>
        <w:tc>
          <w:tcPr>
            <w:tcW w:w="1267" w:type="dxa"/>
            <w:vAlign w:val="center"/>
          </w:tcPr>
          <w:p w:rsidR="00220D75" w:rsidRDefault="005A0523">
            <w:pPr>
              <w:jc w:val="center"/>
            </w:pPr>
            <w:r>
              <w:rPr>
                <w:color w:val="000000"/>
                <w:sz w:val="24"/>
              </w:rPr>
              <w:t>-0.23%</w:t>
            </w:r>
          </w:p>
        </w:tc>
        <w:tc>
          <w:tcPr>
            <w:tcW w:w="1267" w:type="dxa"/>
            <w:vAlign w:val="center"/>
          </w:tcPr>
          <w:p w:rsidR="00220D75" w:rsidRDefault="005A0523">
            <w:pPr>
              <w:jc w:val="center"/>
            </w:pPr>
            <w:r>
              <w:rPr>
                <w:color w:val="000000"/>
                <w:sz w:val="24"/>
              </w:rPr>
              <w:t>0.06%</w:t>
            </w:r>
          </w:p>
        </w:tc>
        <w:tc>
          <w:tcPr>
            <w:tcW w:w="1267" w:type="dxa"/>
            <w:vAlign w:val="center"/>
          </w:tcPr>
          <w:p w:rsidR="00220D75" w:rsidRDefault="005A0523">
            <w:pPr>
              <w:jc w:val="center"/>
            </w:pPr>
            <w:r>
              <w:rPr>
                <w:color w:val="000000"/>
                <w:sz w:val="24"/>
              </w:rPr>
              <w:t>1.24%</w:t>
            </w:r>
          </w:p>
        </w:tc>
        <w:tc>
          <w:tcPr>
            <w:tcW w:w="1267" w:type="dxa"/>
            <w:vAlign w:val="center"/>
          </w:tcPr>
          <w:p w:rsidR="00220D75" w:rsidRDefault="005A0523">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交银丰晟收益债券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0D75">
        <w:trPr>
          <w:jc w:val="center"/>
        </w:trPr>
        <w:tc>
          <w:tcPr>
            <w:tcW w:w="1266" w:type="dxa"/>
            <w:vAlign w:val="center"/>
          </w:tcPr>
          <w:p w:rsidR="00220D75" w:rsidRDefault="005A0523">
            <w:pPr>
              <w:jc w:val="left"/>
            </w:pPr>
            <w:r>
              <w:rPr>
                <w:color w:val="000000"/>
                <w:sz w:val="24"/>
              </w:rPr>
              <w:t>过去三个月</w:t>
            </w:r>
          </w:p>
        </w:tc>
        <w:tc>
          <w:tcPr>
            <w:tcW w:w="1267" w:type="dxa"/>
            <w:vAlign w:val="center"/>
          </w:tcPr>
          <w:p w:rsidR="00220D75" w:rsidRDefault="005A0523">
            <w:pPr>
              <w:jc w:val="center"/>
            </w:pPr>
            <w:r>
              <w:rPr>
                <w:color w:val="000000"/>
                <w:sz w:val="24"/>
              </w:rPr>
              <w:t>0.85%</w:t>
            </w:r>
          </w:p>
        </w:tc>
        <w:tc>
          <w:tcPr>
            <w:tcW w:w="1267" w:type="dxa"/>
            <w:vAlign w:val="center"/>
          </w:tcPr>
          <w:p w:rsidR="00220D75" w:rsidRDefault="005A0523">
            <w:pPr>
              <w:jc w:val="center"/>
            </w:pPr>
            <w:r>
              <w:rPr>
                <w:color w:val="000000"/>
                <w:sz w:val="24"/>
              </w:rPr>
              <w:t>0.07%</w:t>
            </w:r>
          </w:p>
        </w:tc>
        <w:tc>
          <w:tcPr>
            <w:tcW w:w="1267" w:type="dxa"/>
            <w:vAlign w:val="center"/>
          </w:tcPr>
          <w:p w:rsidR="00220D75" w:rsidRDefault="005A0523">
            <w:pPr>
              <w:jc w:val="center"/>
            </w:pPr>
            <w:r>
              <w:rPr>
                <w:color w:val="000000"/>
                <w:sz w:val="24"/>
              </w:rPr>
              <w:t>-0.23%</w:t>
            </w:r>
          </w:p>
        </w:tc>
        <w:tc>
          <w:tcPr>
            <w:tcW w:w="1267" w:type="dxa"/>
            <w:vAlign w:val="center"/>
          </w:tcPr>
          <w:p w:rsidR="00220D75" w:rsidRDefault="005A0523">
            <w:pPr>
              <w:jc w:val="center"/>
            </w:pPr>
            <w:r>
              <w:rPr>
                <w:color w:val="000000"/>
                <w:sz w:val="24"/>
              </w:rPr>
              <w:t>0.06%</w:t>
            </w:r>
          </w:p>
        </w:tc>
        <w:tc>
          <w:tcPr>
            <w:tcW w:w="1267" w:type="dxa"/>
            <w:vAlign w:val="center"/>
          </w:tcPr>
          <w:p w:rsidR="00220D75" w:rsidRDefault="005A0523">
            <w:pPr>
              <w:jc w:val="center"/>
            </w:pPr>
            <w:r>
              <w:rPr>
                <w:color w:val="000000"/>
                <w:sz w:val="24"/>
              </w:rPr>
              <w:t>1.08%</w:t>
            </w:r>
          </w:p>
        </w:tc>
        <w:tc>
          <w:tcPr>
            <w:tcW w:w="1267" w:type="dxa"/>
            <w:vAlign w:val="center"/>
          </w:tcPr>
          <w:p w:rsidR="00220D75" w:rsidRDefault="005A0523">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交银施罗德丰晟收益债券型证券投资基金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305129" w:rsidP="007C14DF">
      <w:pPr>
        <w:spacing w:before="29" w:line="288" w:lineRule="auto"/>
        <w:ind w:firstLineChars="200" w:firstLine="480"/>
        <w:rPr>
          <w:color w:val="000000"/>
          <w:sz w:val="24"/>
        </w:rPr>
      </w:pPr>
      <w:r w:rsidRPr="00305129">
        <w:rPr>
          <w:rFonts w:hint="eastAsia"/>
          <w:color w:val="000000"/>
          <w:sz w:val="24"/>
        </w:rPr>
        <w:t>注：本基金基金合同生效日为</w:t>
      </w:r>
      <w:r w:rsidRPr="00305129">
        <w:rPr>
          <w:rFonts w:hint="eastAsia"/>
          <w:color w:val="000000"/>
          <w:sz w:val="24"/>
        </w:rPr>
        <w:t>2018</w:t>
      </w:r>
      <w:r w:rsidRPr="00305129">
        <w:rPr>
          <w:rFonts w:hint="eastAsia"/>
          <w:color w:val="000000"/>
          <w:sz w:val="24"/>
        </w:rPr>
        <w:t>年</w:t>
      </w:r>
      <w:r w:rsidRPr="00305129">
        <w:rPr>
          <w:rFonts w:hint="eastAsia"/>
          <w:color w:val="000000"/>
          <w:sz w:val="24"/>
        </w:rPr>
        <w:t>5</w:t>
      </w:r>
      <w:r w:rsidRPr="00305129">
        <w:rPr>
          <w:rFonts w:hint="eastAsia"/>
          <w:color w:val="000000"/>
          <w:sz w:val="24"/>
        </w:rPr>
        <w:t>月</w:t>
      </w:r>
      <w:r w:rsidRPr="00305129">
        <w:rPr>
          <w:rFonts w:hint="eastAsia"/>
          <w:color w:val="000000"/>
          <w:sz w:val="24"/>
        </w:rPr>
        <w:t>23</w:t>
      </w:r>
      <w:r w:rsidRPr="00305129">
        <w:rPr>
          <w:rFonts w:hint="eastAsia"/>
          <w:color w:val="000000"/>
          <w:sz w:val="24"/>
        </w:rPr>
        <w:t>日，截至报告期期末，本基金已完成建仓但报告期期末距建仓结束未满一年。本基金建仓期为自基金合同生效日起的</w:t>
      </w:r>
      <w:r w:rsidRPr="00305129">
        <w:rPr>
          <w:rFonts w:hint="eastAsia"/>
          <w:color w:val="000000"/>
          <w:sz w:val="24"/>
        </w:rPr>
        <w:t>6</w:t>
      </w:r>
      <w:r w:rsidRPr="00305129">
        <w:rPr>
          <w:rFonts w:hint="eastAsia"/>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交银丰晟收益债券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305129" w:rsidP="007C14DF">
      <w:pPr>
        <w:spacing w:before="29" w:line="288" w:lineRule="auto"/>
        <w:ind w:firstLineChars="200" w:firstLine="480"/>
        <w:rPr>
          <w:color w:val="000000"/>
          <w:sz w:val="24"/>
        </w:rPr>
      </w:pPr>
      <w:r w:rsidRPr="00305129">
        <w:rPr>
          <w:rFonts w:hint="eastAsia"/>
          <w:color w:val="000000"/>
          <w:sz w:val="24"/>
        </w:rPr>
        <w:t>注：本基金基金合同生效日为</w:t>
      </w:r>
      <w:r w:rsidRPr="00305129">
        <w:rPr>
          <w:rFonts w:hint="eastAsia"/>
          <w:color w:val="000000"/>
          <w:sz w:val="24"/>
        </w:rPr>
        <w:t>2018</w:t>
      </w:r>
      <w:r w:rsidRPr="00305129">
        <w:rPr>
          <w:rFonts w:hint="eastAsia"/>
          <w:color w:val="000000"/>
          <w:sz w:val="24"/>
        </w:rPr>
        <w:t>年</w:t>
      </w:r>
      <w:r w:rsidRPr="00305129">
        <w:rPr>
          <w:rFonts w:hint="eastAsia"/>
          <w:color w:val="000000"/>
          <w:sz w:val="24"/>
        </w:rPr>
        <w:t>5</w:t>
      </w:r>
      <w:r w:rsidRPr="00305129">
        <w:rPr>
          <w:rFonts w:hint="eastAsia"/>
          <w:color w:val="000000"/>
          <w:sz w:val="24"/>
        </w:rPr>
        <w:t>月</w:t>
      </w:r>
      <w:r w:rsidRPr="00305129">
        <w:rPr>
          <w:rFonts w:hint="eastAsia"/>
          <w:color w:val="000000"/>
          <w:sz w:val="24"/>
        </w:rPr>
        <w:t>23</w:t>
      </w:r>
      <w:r w:rsidRPr="00305129">
        <w:rPr>
          <w:rFonts w:hint="eastAsia"/>
          <w:color w:val="000000"/>
          <w:sz w:val="24"/>
        </w:rPr>
        <w:t>日，截至报告期期末，本基金已完成建仓但报告期期末距建仓结束未满一年。本基金建仓期为自基金合同生效日起的</w:t>
      </w:r>
      <w:r w:rsidRPr="00305129">
        <w:rPr>
          <w:rFonts w:hint="eastAsia"/>
          <w:color w:val="000000"/>
          <w:sz w:val="24"/>
        </w:rPr>
        <w:t>6</w:t>
      </w:r>
      <w:r w:rsidRPr="00305129">
        <w:rPr>
          <w:rFonts w:hint="eastAsia"/>
          <w:color w:val="000000"/>
          <w:sz w:val="24"/>
        </w:rPr>
        <w:t>个月。</w:t>
      </w:r>
      <w:r w:rsidRPr="00305129">
        <w:rPr>
          <w:rFonts w:hint="eastAsia"/>
          <w:color w:val="000000"/>
          <w:sz w:val="24"/>
        </w:rPr>
        <w:lastRenderedPageBreak/>
        <w:t>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6C5BC9" w:rsidRPr="007F52FA" w:rsidRDefault="006C5BC9" w:rsidP="007C14DF">
      <w:pPr>
        <w:tabs>
          <w:tab w:val="left" w:pos="1800"/>
        </w:tabs>
        <w:spacing w:before="29" w:line="288" w:lineRule="auto"/>
        <w:rPr>
          <w:rFonts w:eastAsiaTheme="minorEastAsia" w:hint="eastAsia"/>
          <w:color w:val="000000"/>
          <w:sz w:val="24"/>
        </w:rPr>
      </w:pPr>
      <w:bookmarkStart w:id="0" w:name="_GoBack"/>
      <w:bookmarkEnd w:id="0"/>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20D75">
        <w:trPr>
          <w:jc w:val="center"/>
        </w:trPr>
        <w:tc>
          <w:tcPr>
            <w:tcW w:w="946" w:type="dxa"/>
            <w:vAlign w:val="center"/>
          </w:tcPr>
          <w:p w:rsidR="00220D75" w:rsidRDefault="005A0523">
            <w:pPr>
              <w:jc w:val="center"/>
            </w:pPr>
            <w:r>
              <w:rPr>
                <w:color w:val="000000"/>
                <w:sz w:val="24"/>
              </w:rPr>
              <w:t>于海颖</w:t>
            </w:r>
          </w:p>
        </w:tc>
        <w:tc>
          <w:tcPr>
            <w:tcW w:w="924" w:type="dxa"/>
            <w:vAlign w:val="center"/>
          </w:tcPr>
          <w:p w:rsidR="00220D75" w:rsidRDefault="005A0523">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220D75" w:rsidRDefault="005A0523">
            <w:pPr>
              <w:jc w:val="center"/>
            </w:pPr>
            <w:r>
              <w:rPr>
                <w:color w:val="000000"/>
                <w:sz w:val="24"/>
              </w:rPr>
              <w:t>2018-05-23</w:t>
            </w:r>
          </w:p>
        </w:tc>
        <w:tc>
          <w:tcPr>
            <w:tcW w:w="1300" w:type="dxa"/>
            <w:vAlign w:val="center"/>
          </w:tcPr>
          <w:p w:rsidR="00220D75" w:rsidRDefault="005A0523">
            <w:pPr>
              <w:jc w:val="center"/>
            </w:pPr>
            <w:r>
              <w:rPr>
                <w:color w:val="000000"/>
                <w:sz w:val="24"/>
              </w:rPr>
              <w:t>-</w:t>
            </w:r>
          </w:p>
        </w:tc>
        <w:tc>
          <w:tcPr>
            <w:tcW w:w="1245" w:type="dxa"/>
            <w:vAlign w:val="center"/>
          </w:tcPr>
          <w:p w:rsidR="00220D75" w:rsidRDefault="005A0523">
            <w:pPr>
              <w:jc w:val="center"/>
            </w:pPr>
            <w:r>
              <w:rPr>
                <w:color w:val="000000"/>
                <w:sz w:val="24"/>
              </w:rPr>
              <w:t>13</w:t>
            </w:r>
            <w:r>
              <w:rPr>
                <w:color w:val="000000"/>
                <w:sz w:val="24"/>
              </w:rPr>
              <w:t>年</w:t>
            </w:r>
          </w:p>
        </w:tc>
        <w:tc>
          <w:tcPr>
            <w:tcW w:w="3251" w:type="dxa"/>
            <w:vAlign w:val="center"/>
          </w:tcPr>
          <w:p w:rsidR="00220D75" w:rsidRDefault="005A052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lastRenderedPageBreak/>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220D75">
        <w:trPr>
          <w:jc w:val="center"/>
        </w:trPr>
        <w:tc>
          <w:tcPr>
            <w:tcW w:w="946" w:type="dxa"/>
            <w:vAlign w:val="center"/>
          </w:tcPr>
          <w:p w:rsidR="00220D75" w:rsidRDefault="005A0523">
            <w:pPr>
              <w:jc w:val="center"/>
            </w:pPr>
            <w:r>
              <w:rPr>
                <w:color w:val="000000"/>
                <w:sz w:val="24"/>
              </w:rPr>
              <w:lastRenderedPageBreak/>
              <w:t>魏玉敏</w:t>
            </w:r>
          </w:p>
        </w:tc>
        <w:tc>
          <w:tcPr>
            <w:tcW w:w="924" w:type="dxa"/>
            <w:vAlign w:val="center"/>
          </w:tcPr>
          <w:p w:rsidR="00220D75" w:rsidRDefault="005A0523">
            <w:pPr>
              <w:jc w:val="center"/>
            </w:pPr>
            <w:r>
              <w:rPr>
                <w:color w:val="000000"/>
                <w:sz w:val="24"/>
              </w:rPr>
              <w:t>交银增利债券、交银纯债债券发起、交银丰润收益债券、</w:t>
            </w:r>
            <w:r>
              <w:rPr>
                <w:color w:val="000000"/>
                <w:sz w:val="24"/>
              </w:rPr>
              <w:lastRenderedPageBreak/>
              <w:t>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220D75" w:rsidRDefault="005A0523">
            <w:pPr>
              <w:jc w:val="center"/>
            </w:pPr>
            <w:r>
              <w:rPr>
                <w:color w:val="000000"/>
                <w:sz w:val="24"/>
              </w:rPr>
              <w:lastRenderedPageBreak/>
              <w:t>2018-08-29</w:t>
            </w:r>
          </w:p>
        </w:tc>
        <w:tc>
          <w:tcPr>
            <w:tcW w:w="1300" w:type="dxa"/>
            <w:vAlign w:val="center"/>
          </w:tcPr>
          <w:p w:rsidR="00220D75" w:rsidRDefault="005A0523">
            <w:pPr>
              <w:jc w:val="center"/>
            </w:pPr>
            <w:r>
              <w:rPr>
                <w:color w:val="000000"/>
                <w:sz w:val="24"/>
              </w:rPr>
              <w:t>-</w:t>
            </w:r>
          </w:p>
        </w:tc>
        <w:tc>
          <w:tcPr>
            <w:tcW w:w="1245" w:type="dxa"/>
            <w:vAlign w:val="center"/>
          </w:tcPr>
          <w:p w:rsidR="00220D75" w:rsidRDefault="005A0523">
            <w:pPr>
              <w:jc w:val="center"/>
            </w:pPr>
            <w:r>
              <w:rPr>
                <w:color w:val="000000"/>
                <w:sz w:val="24"/>
              </w:rPr>
              <w:t>7</w:t>
            </w:r>
            <w:r>
              <w:rPr>
                <w:color w:val="000000"/>
                <w:sz w:val="24"/>
              </w:rPr>
              <w:t>年</w:t>
            </w:r>
          </w:p>
        </w:tc>
        <w:tc>
          <w:tcPr>
            <w:tcW w:w="3251" w:type="dxa"/>
            <w:vAlign w:val="center"/>
          </w:tcPr>
          <w:p w:rsidR="00220D75" w:rsidRDefault="005A052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20D75" w:rsidRDefault="005A052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20D75" w:rsidRDefault="005A052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20D75" w:rsidRDefault="005A0523">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20D75" w:rsidRDefault="005A0523">
      <w:pPr>
        <w:spacing w:before="29" w:line="288" w:lineRule="auto"/>
        <w:ind w:firstLineChars="200" w:firstLine="480"/>
        <w:rPr>
          <w:color w:val="000000"/>
          <w:sz w:val="24"/>
        </w:rPr>
      </w:pPr>
      <w:r>
        <w:rPr>
          <w:color w:val="000000"/>
          <w:sz w:val="24"/>
        </w:rPr>
        <w:t>2019</w:t>
      </w:r>
      <w:r>
        <w:rPr>
          <w:color w:val="000000"/>
          <w:sz w:val="24"/>
        </w:rPr>
        <w:t>年二季度债券收益率呈现出四月上行，五月下行，六月震荡的格局。二季度伊始，公布的三月</w:t>
      </w:r>
      <w:r>
        <w:rPr>
          <w:color w:val="000000"/>
          <w:sz w:val="24"/>
        </w:rPr>
        <w:t>PMI</w:t>
      </w:r>
      <w:r>
        <w:rPr>
          <w:color w:val="000000"/>
          <w:sz w:val="24"/>
        </w:rPr>
        <w:t>数据大幅超预期，在央行辟谣降准后，货币政策宽松的预期出现动摇。在基本面预期好转、资金面边际收敛、再加上股市上涨的多重利空之下，现券收益率一路上行。随后公布的三月经济数据均超出市场预期，四月政治局会议重新调整稳增长与调结构的关系，重提地产调控和结构性去杠杆，市场对经济增长的预期也一度上修。进入五月之后，中美贸易摩擦再度升级，风险偏好大幅回落，央行随即定向降准。随后四月经济数据陆续出台，较三月明显走弱，尤其是信贷社融大幅低于预期，带动债券走牛。此后，虽然贸易摩擦继续发酵，但是在通胀预期走高、季末流动性波动的情况下，收益率没有进一步下行，呈现震荡态势。</w:t>
      </w:r>
    </w:p>
    <w:p w:rsidR="00220D75" w:rsidRDefault="005A0523">
      <w:pPr>
        <w:spacing w:before="29" w:line="288" w:lineRule="auto"/>
        <w:ind w:firstLineChars="200" w:firstLine="480"/>
        <w:rPr>
          <w:color w:val="000000"/>
          <w:sz w:val="24"/>
        </w:rPr>
      </w:pPr>
      <w:r>
        <w:rPr>
          <w:color w:val="000000"/>
          <w:sz w:val="24"/>
        </w:rPr>
        <w:t>报告期内，本基金采用久期匹配策略配置信用债，并根据市场情况适时优化组合持仓。本基金以信用债为主要配置，充分利用杠杆，获得稳定的票息和杠杆收益。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债券市场或将在预期经济下行和出台逆周期政策之间来回波动。一方面经济内生企稳的动能略显不足，全球经济增速回落和贸易摩擦带来出口不确定性，地产融资受限后续建安投资持续性不高。另一方面，逆周期调控政策不断出台，无论是货币还是财政政策均有一定的对冲空间，但在供给侧结构性改革的思路下，政策或更多发挥托而不举的效果。预计随着名义增速回落，三季度债市的交易空间或将进一步打开，但由于收益率绝对水平已经较低、社融底逐步夯实，且四季度后通胀预期回升，债市收益率突破前低需要更多因素催化。操作策略方面，组合将维持久期匹配的套息策略，通过对资金面的预判，控制组合资金成本，以期获得较好的票息和杠杆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w:t>
      </w:r>
      <w:r w:rsidRPr="007F52FA">
        <w:rPr>
          <w:color w:val="000000"/>
          <w:sz w:val="24"/>
        </w:rPr>
        <w:lastRenderedPageBreak/>
        <w:t>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656,943,100.00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656,943,100.00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20,383,078.30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12,425,337.21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689,751,515.51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325,274,100.00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91.88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331,669,000.00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93.69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656,943,100.00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185.57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20D75">
        <w:trPr>
          <w:jc w:val="center"/>
        </w:trPr>
        <w:tc>
          <w:tcPr>
            <w:tcW w:w="1075" w:type="dxa"/>
            <w:vAlign w:val="center"/>
          </w:tcPr>
          <w:p w:rsidR="00220D75" w:rsidRDefault="005A0523">
            <w:pPr>
              <w:jc w:val="center"/>
            </w:pPr>
            <w:r>
              <w:rPr>
                <w:color w:val="000000"/>
                <w:sz w:val="24"/>
              </w:rPr>
              <w:t>1</w:t>
            </w:r>
          </w:p>
        </w:tc>
        <w:tc>
          <w:tcPr>
            <w:tcW w:w="1533" w:type="dxa"/>
            <w:vAlign w:val="center"/>
          </w:tcPr>
          <w:p w:rsidR="00220D75" w:rsidRDefault="005A0523">
            <w:pPr>
              <w:jc w:val="center"/>
            </w:pPr>
            <w:r>
              <w:rPr>
                <w:color w:val="000000"/>
                <w:sz w:val="24"/>
              </w:rPr>
              <w:t>101800692</w:t>
            </w:r>
          </w:p>
        </w:tc>
        <w:tc>
          <w:tcPr>
            <w:tcW w:w="1533" w:type="dxa"/>
            <w:vAlign w:val="center"/>
          </w:tcPr>
          <w:p w:rsidR="00220D75" w:rsidRDefault="005A0523">
            <w:pPr>
              <w:jc w:val="center"/>
            </w:pPr>
            <w:r>
              <w:rPr>
                <w:color w:val="000000"/>
                <w:sz w:val="24"/>
              </w:rPr>
              <w:t>18</w:t>
            </w:r>
            <w:r>
              <w:rPr>
                <w:color w:val="000000"/>
                <w:sz w:val="24"/>
              </w:rPr>
              <w:t>拉萨城投</w:t>
            </w:r>
            <w:r>
              <w:rPr>
                <w:color w:val="000000"/>
                <w:sz w:val="24"/>
              </w:rPr>
              <w:t>MTN001</w:t>
            </w:r>
          </w:p>
        </w:tc>
        <w:tc>
          <w:tcPr>
            <w:tcW w:w="1394" w:type="dxa"/>
            <w:vAlign w:val="center"/>
          </w:tcPr>
          <w:p w:rsidR="00220D75" w:rsidRDefault="005A0523">
            <w:pPr>
              <w:jc w:val="right"/>
            </w:pPr>
            <w:r>
              <w:rPr>
                <w:color w:val="000000"/>
                <w:sz w:val="24"/>
              </w:rPr>
              <w:t>300,000</w:t>
            </w:r>
          </w:p>
        </w:tc>
        <w:tc>
          <w:tcPr>
            <w:tcW w:w="1944" w:type="dxa"/>
            <w:vAlign w:val="center"/>
          </w:tcPr>
          <w:p w:rsidR="00220D75" w:rsidRDefault="005A0523">
            <w:pPr>
              <w:jc w:val="right"/>
            </w:pPr>
            <w:r>
              <w:rPr>
                <w:color w:val="000000"/>
                <w:sz w:val="24"/>
              </w:rPr>
              <w:t>30,963,000.00</w:t>
            </w:r>
          </w:p>
        </w:tc>
        <w:tc>
          <w:tcPr>
            <w:tcW w:w="1389" w:type="dxa"/>
            <w:vAlign w:val="center"/>
          </w:tcPr>
          <w:p w:rsidR="00220D75" w:rsidRDefault="005A0523">
            <w:pPr>
              <w:jc w:val="right"/>
            </w:pPr>
            <w:r>
              <w:rPr>
                <w:color w:val="000000"/>
                <w:sz w:val="24"/>
              </w:rPr>
              <w:t>8.75</w:t>
            </w:r>
          </w:p>
        </w:tc>
      </w:tr>
      <w:tr w:rsidR="00220D75">
        <w:trPr>
          <w:jc w:val="center"/>
        </w:trPr>
        <w:tc>
          <w:tcPr>
            <w:tcW w:w="1075" w:type="dxa"/>
            <w:vAlign w:val="center"/>
          </w:tcPr>
          <w:p w:rsidR="00220D75" w:rsidRDefault="005A0523">
            <w:pPr>
              <w:jc w:val="center"/>
            </w:pPr>
            <w:r>
              <w:rPr>
                <w:color w:val="000000"/>
                <w:sz w:val="24"/>
              </w:rPr>
              <w:t>2</w:t>
            </w:r>
          </w:p>
        </w:tc>
        <w:tc>
          <w:tcPr>
            <w:tcW w:w="1533" w:type="dxa"/>
            <w:vAlign w:val="center"/>
          </w:tcPr>
          <w:p w:rsidR="00220D75" w:rsidRDefault="005A0523">
            <w:pPr>
              <w:jc w:val="center"/>
            </w:pPr>
            <w:r>
              <w:rPr>
                <w:color w:val="000000"/>
                <w:sz w:val="24"/>
              </w:rPr>
              <w:t>143222</w:t>
            </w:r>
          </w:p>
        </w:tc>
        <w:tc>
          <w:tcPr>
            <w:tcW w:w="1533" w:type="dxa"/>
            <w:vAlign w:val="center"/>
          </w:tcPr>
          <w:p w:rsidR="00220D75" w:rsidRDefault="005A0523">
            <w:pPr>
              <w:jc w:val="center"/>
            </w:pPr>
            <w:r>
              <w:rPr>
                <w:color w:val="000000"/>
                <w:sz w:val="24"/>
              </w:rPr>
              <w:t>17</w:t>
            </w:r>
            <w:r>
              <w:rPr>
                <w:color w:val="000000"/>
                <w:sz w:val="24"/>
              </w:rPr>
              <w:t>圆融</w:t>
            </w:r>
            <w:r>
              <w:rPr>
                <w:color w:val="000000"/>
                <w:sz w:val="24"/>
              </w:rPr>
              <w:t>02</w:t>
            </w:r>
          </w:p>
        </w:tc>
        <w:tc>
          <w:tcPr>
            <w:tcW w:w="1394" w:type="dxa"/>
            <w:vAlign w:val="center"/>
          </w:tcPr>
          <w:p w:rsidR="00220D75" w:rsidRDefault="005A0523">
            <w:pPr>
              <w:jc w:val="right"/>
            </w:pPr>
            <w:r>
              <w:rPr>
                <w:color w:val="000000"/>
                <w:sz w:val="24"/>
              </w:rPr>
              <w:t>300,000</w:t>
            </w:r>
          </w:p>
        </w:tc>
        <w:tc>
          <w:tcPr>
            <w:tcW w:w="1944" w:type="dxa"/>
            <w:vAlign w:val="center"/>
          </w:tcPr>
          <w:p w:rsidR="00220D75" w:rsidRDefault="005A0523">
            <w:pPr>
              <w:jc w:val="right"/>
            </w:pPr>
            <w:r>
              <w:rPr>
                <w:color w:val="000000"/>
                <w:sz w:val="24"/>
              </w:rPr>
              <w:t>30,555,000.00</w:t>
            </w:r>
          </w:p>
        </w:tc>
        <w:tc>
          <w:tcPr>
            <w:tcW w:w="1389" w:type="dxa"/>
            <w:vAlign w:val="center"/>
          </w:tcPr>
          <w:p w:rsidR="00220D75" w:rsidRDefault="005A0523">
            <w:pPr>
              <w:jc w:val="right"/>
            </w:pPr>
            <w:r>
              <w:rPr>
                <w:color w:val="000000"/>
                <w:sz w:val="24"/>
              </w:rPr>
              <w:t>8.63</w:t>
            </w:r>
          </w:p>
        </w:tc>
      </w:tr>
      <w:tr w:rsidR="00220D75">
        <w:trPr>
          <w:jc w:val="center"/>
        </w:trPr>
        <w:tc>
          <w:tcPr>
            <w:tcW w:w="1075" w:type="dxa"/>
            <w:vAlign w:val="center"/>
          </w:tcPr>
          <w:p w:rsidR="00220D75" w:rsidRDefault="005A0523">
            <w:pPr>
              <w:jc w:val="center"/>
            </w:pPr>
            <w:r>
              <w:rPr>
                <w:color w:val="000000"/>
                <w:sz w:val="24"/>
              </w:rPr>
              <w:t>3</w:t>
            </w:r>
          </w:p>
        </w:tc>
        <w:tc>
          <w:tcPr>
            <w:tcW w:w="1533" w:type="dxa"/>
            <w:vAlign w:val="center"/>
          </w:tcPr>
          <w:p w:rsidR="00220D75" w:rsidRDefault="005A0523">
            <w:pPr>
              <w:jc w:val="center"/>
            </w:pPr>
            <w:r>
              <w:rPr>
                <w:color w:val="000000"/>
                <w:sz w:val="24"/>
              </w:rPr>
              <w:t>101560059</w:t>
            </w:r>
          </w:p>
        </w:tc>
        <w:tc>
          <w:tcPr>
            <w:tcW w:w="1533" w:type="dxa"/>
            <w:vAlign w:val="center"/>
          </w:tcPr>
          <w:p w:rsidR="00220D75" w:rsidRDefault="005A0523">
            <w:pPr>
              <w:jc w:val="center"/>
            </w:pPr>
            <w:r>
              <w:rPr>
                <w:color w:val="000000"/>
                <w:sz w:val="24"/>
              </w:rPr>
              <w:t>15</w:t>
            </w:r>
            <w:r>
              <w:rPr>
                <w:color w:val="000000"/>
                <w:sz w:val="24"/>
              </w:rPr>
              <w:t>盐城城南</w:t>
            </w:r>
            <w:r>
              <w:rPr>
                <w:color w:val="000000"/>
                <w:sz w:val="24"/>
              </w:rPr>
              <w:t>MTN001</w:t>
            </w:r>
          </w:p>
        </w:tc>
        <w:tc>
          <w:tcPr>
            <w:tcW w:w="1394" w:type="dxa"/>
            <w:vAlign w:val="center"/>
          </w:tcPr>
          <w:p w:rsidR="00220D75" w:rsidRDefault="005A0523">
            <w:pPr>
              <w:jc w:val="right"/>
            </w:pPr>
            <w:r>
              <w:rPr>
                <w:color w:val="000000"/>
                <w:sz w:val="24"/>
              </w:rPr>
              <w:t>300,000</w:t>
            </w:r>
          </w:p>
        </w:tc>
        <w:tc>
          <w:tcPr>
            <w:tcW w:w="1944" w:type="dxa"/>
            <w:vAlign w:val="center"/>
          </w:tcPr>
          <w:p w:rsidR="00220D75" w:rsidRDefault="005A0523">
            <w:pPr>
              <w:jc w:val="right"/>
            </w:pPr>
            <w:r>
              <w:rPr>
                <w:color w:val="000000"/>
                <w:sz w:val="24"/>
              </w:rPr>
              <w:t>30,477,000.00</w:t>
            </w:r>
          </w:p>
        </w:tc>
        <w:tc>
          <w:tcPr>
            <w:tcW w:w="1389" w:type="dxa"/>
            <w:vAlign w:val="center"/>
          </w:tcPr>
          <w:p w:rsidR="00220D75" w:rsidRDefault="005A0523">
            <w:pPr>
              <w:jc w:val="right"/>
            </w:pPr>
            <w:r>
              <w:rPr>
                <w:color w:val="000000"/>
                <w:sz w:val="24"/>
              </w:rPr>
              <w:t>8.61</w:t>
            </w:r>
          </w:p>
        </w:tc>
      </w:tr>
      <w:tr w:rsidR="00220D75">
        <w:trPr>
          <w:jc w:val="center"/>
        </w:trPr>
        <w:tc>
          <w:tcPr>
            <w:tcW w:w="1075" w:type="dxa"/>
            <w:vAlign w:val="center"/>
          </w:tcPr>
          <w:p w:rsidR="00220D75" w:rsidRDefault="005A0523">
            <w:pPr>
              <w:jc w:val="center"/>
            </w:pPr>
            <w:r>
              <w:rPr>
                <w:color w:val="000000"/>
                <w:sz w:val="24"/>
              </w:rPr>
              <w:t>4</w:t>
            </w:r>
          </w:p>
        </w:tc>
        <w:tc>
          <w:tcPr>
            <w:tcW w:w="1533" w:type="dxa"/>
            <w:vAlign w:val="center"/>
          </w:tcPr>
          <w:p w:rsidR="00220D75" w:rsidRDefault="005A0523">
            <w:pPr>
              <w:jc w:val="center"/>
            </w:pPr>
            <w:r>
              <w:rPr>
                <w:color w:val="000000"/>
                <w:sz w:val="24"/>
              </w:rPr>
              <w:t>122358</w:t>
            </w:r>
          </w:p>
        </w:tc>
        <w:tc>
          <w:tcPr>
            <w:tcW w:w="1533" w:type="dxa"/>
            <w:vAlign w:val="center"/>
          </w:tcPr>
          <w:p w:rsidR="00220D75" w:rsidRDefault="005A0523">
            <w:pPr>
              <w:jc w:val="center"/>
            </w:pPr>
            <w:r>
              <w:rPr>
                <w:color w:val="000000"/>
                <w:sz w:val="24"/>
              </w:rPr>
              <w:t>15</w:t>
            </w:r>
            <w:r>
              <w:rPr>
                <w:color w:val="000000"/>
                <w:sz w:val="24"/>
              </w:rPr>
              <w:t>际华</w:t>
            </w:r>
            <w:r>
              <w:rPr>
                <w:color w:val="000000"/>
                <w:sz w:val="24"/>
              </w:rPr>
              <w:t>03</w:t>
            </w:r>
          </w:p>
        </w:tc>
        <w:tc>
          <w:tcPr>
            <w:tcW w:w="1394" w:type="dxa"/>
            <w:vAlign w:val="center"/>
          </w:tcPr>
          <w:p w:rsidR="00220D75" w:rsidRDefault="005A0523">
            <w:pPr>
              <w:jc w:val="right"/>
            </w:pPr>
            <w:r>
              <w:rPr>
                <w:color w:val="000000"/>
                <w:sz w:val="24"/>
              </w:rPr>
              <w:t>300,000</w:t>
            </w:r>
          </w:p>
        </w:tc>
        <w:tc>
          <w:tcPr>
            <w:tcW w:w="1944" w:type="dxa"/>
            <w:vAlign w:val="center"/>
          </w:tcPr>
          <w:p w:rsidR="00220D75" w:rsidRDefault="005A0523">
            <w:pPr>
              <w:jc w:val="right"/>
            </w:pPr>
            <w:r>
              <w:rPr>
                <w:color w:val="000000"/>
                <w:sz w:val="24"/>
              </w:rPr>
              <w:t>30,453,000.00</w:t>
            </w:r>
          </w:p>
        </w:tc>
        <w:tc>
          <w:tcPr>
            <w:tcW w:w="1389" w:type="dxa"/>
            <w:vAlign w:val="center"/>
          </w:tcPr>
          <w:p w:rsidR="00220D75" w:rsidRDefault="005A0523">
            <w:pPr>
              <w:jc w:val="right"/>
            </w:pPr>
            <w:r>
              <w:rPr>
                <w:color w:val="000000"/>
                <w:sz w:val="24"/>
              </w:rPr>
              <w:t>8.60</w:t>
            </w:r>
          </w:p>
        </w:tc>
      </w:tr>
      <w:tr w:rsidR="00220D75">
        <w:trPr>
          <w:jc w:val="center"/>
        </w:trPr>
        <w:tc>
          <w:tcPr>
            <w:tcW w:w="1075" w:type="dxa"/>
            <w:vAlign w:val="center"/>
          </w:tcPr>
          <w:p w:rsidR="00220D75" w:rsidRDefault="005A0523">
            <w:pPr>
              <w:jc w:val="center"/>
            </w:pPr>
            <w:r>
              <w:rPr>
                <w:color w:val="000000"/>
                <w:sz w:val="24"/>
              </w:rPr>
              <w:t>5</w:t>
            </w:r>
          </w:p>
        </w:tc>
        <w:tc>
          <w:tcPr>
            <w:tcW w:w="1533" w:type="dxa"/>
            <w:vAlign w:val="center"/>
          </w:tcPr>
          <w:p w:rsidR="00220D75" w:rsidRDefault="005A0523">
            <w:pPr>
              <w:jc w:val="center"/>
            </w:pPr>
            <w:r>
              <w:rPr>
                <w:color w:val="000000"/>
                <w:sz w:val="24"/>
              </w:rPr>
              <w:t>143287</w:t>
            </w:r>
          </w:p>
        </w:tc>
        <w:tc>
          <w:tcPr>
            <w:tcW w:w="1533" w:type="dxa"/>
            <w:vAlign w:val="center"/>
          </w:tcPr>
          <w:p w:rsidR="00220D75" w:rsidRDefault="005A0523">
            <w:pPr>
              <w:jc w:val="center"/>
            </w:pPr>
            <w:r>
              <w:rPr>
                <w:color w:val="000000"/>
                <w:sz w:val="24"/>
              </w:rPr>
              <w:t>17</w:t>
            </w:r>
            <w:r>
              <w:rPr>
                <w:color w:val="000000"/>
                <w:sz w:val="24"/>
              </w:rPr>
              <w:t>联投</w:t>
            </w:r>
            <w:r>
              <w:rPr>
                <w:color w:val="000000"/>
                <w:sz w:val="24"/>
              </w:rPr>
              <w:t>01</w:t>
            </w:r>
          </w:p>
        </w:tc>
        <w:tc>
          <w:tcPr>
            <w:tcW w:w="1394" w:type="dxa"/>
            <w:vAlign w:val="center"/>
          </w:tcPr>
          <w:p w:rsidR="00220D75" w:rsidRDefault="005A0523">
            <w:pPr>
              <w:jc w:val="right"/>
            </w:pPr>
            <w:r>
              <w:rPr>
                <w:color w:val="000000"/>
                <w:sz w:val="24"/>
              </w:rPr>
              <w:t>300,000</w:t>
            </w:r>
          </w:p>
        </w:tc>
        <w:tc>
          <w:tcPr>
            <w:tcW w:w="1944" w:type="dxa"/>
            <w:vAlign w:val="center"/>
          </w:tcPr>
          <w:p w:rsidR="00220D75" w:rsidRDefault="005A0523">
            <w:pPr>
              <w:jc w:val="right"/>
            </w:pPr>
            <w:r>
              <w:rPr>
                <w:color w:val="000000"/>
                <w:sz w:val="24"/>
              </w:rPr>
              <w:t>30,426,000.00</w:t>
            </w:r>
          </w:p>
        </w:tc>
        <w:tc>
          <w:tcPr>
            <w:tcW w:w="1389" w:type="dxa"/>
            <w:vAlign w:val="center"/>
          </w:tcPr>
          <w:p w:rsidR="00220D75" w:rsidRDefault="005A0523">
            <w:pPr>
              <w:jc w:val="right"/>
            </w:pPr>
            <w:r>
              <w:rPr>
                <w:color w:val="000000"/>
                <w:sz w:val="24"/>
              </w:rPr>
              <w:t>8.59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C23EAD" w:rsidRPr="00C23EAD" w:rsidRDefault="00C23EAD"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374B26">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556.17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12,424,781.04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12,425,337.21</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5A0523">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330,813,244.80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776,663.43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330,813,244.80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776,663.43</w:t>
            </w:r>
          </w:p>
        </w:tc>
      </w:tr>
    </w:tbl>
    <w:p w:rsidR="00220D75" w:rsidRDefault="005A052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、中国证监会准予交银施罗德丰晟收益债券型证券投资基金募集注册的文件；</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、《交银施罗德丰晟收益债券型证券投资基金基金合同》；</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、《交银施罗德丰晟收益债券型证券投资基金招募说明书》；</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、《交银施罗德丰晟收益债券型证券投资基金托管协议》；</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、关于申请募集注册交银施罗德丰晟收益债券型证券投资基金的法律意见书；</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、报告期内交银施罗德丰晟收益债券型证券投资基金在指定报刊上各项公告的原稿。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220D75" w:rsidRDefault="005A052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1FE" w:rsidRDefault="00D641FE">
      <w:r>
        <w:separator/>
      </w:r>
    </w:p>
  </w:endnote>
  <w:endnote w:type="continuationSeparator" w:id="0">
    <w:p w:rsidR="00D641FE" w:rsidRDefault="00D6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05129">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05129">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1FE" w:rsidRDefault="00D641FE">
      <w:r>
        <w:separator/>
      </w:r>
    </w:p>
  </w:footnote>
  <w:footnote w:type="continuationSeparator" w:id="0">
    <w:p w:rsidR="00D641FE" w:rsidRDefault="00D64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0D75"/>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5129"/>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4B26"/>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0523"/>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3EAD"/>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1FE"/>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25424-1069-4E95-A760-A688D515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216</TotalTime>
  <Pages>14</Pages>
  <Words>1167</Words>
  <Characters>6653</Characters>
  <Application>Microsoft Office Word</Application>
  <DocSecurity>0</DocSecurity>
  <Lines>55</Lines>
  <Paragraphs>15</Paragraphs>
  <ScaleCrop>false</ScaleCrop>
  <Company>TRT. Ltd. Co.</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393</cp:revision>
  <cp:lastPrinted>2007-07-19T00:46:00Z</cp:lastPrinted>
  <dcterms:created xsi:type="dcterms:W3CDTF">2014-01-17T06:19:00Z</dcterms:created>
  <dcterms:modified xsi:type="dcterms:W3CDTF">2019-07-12T10:20:00Z</dcterms:modified>
</cp:coreProperties>
</file>