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F1093" w:rsidRDefault="00C5587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F1093" w:rsidRDefault="00C5587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F1093" w:rsidRDefault="00C5587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F1093" w:rsidRDefault="00C5587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F1093" w:rsidRDefault="00C5587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550,237,313.44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5587C" w:rsidRPr="00414345" w:rsidTr="00C5587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5587C" w:rsidRPr="00414345" w:rsidTr="00C558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12,905,426.90</w:t>
            </w:r>
          </w:p>
        </w:tc>
      </w:tr>
      <w:tr w:rsidR="00C5587C" w:rsidRPr="00414345" w:rsidTr="00C558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-21,721,538.89</w:t>
            </w:r>
          </w:p>
        </w:tc>
      </w:tr>
      <w:tr w:rsidR="00C5587C" w:rsidRPr="00414345" w:rsidTr="00C558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-0.0389</w:t>
            </w:r>
          </w:p>
        </w:tc>
      </w:tr>
      <w:tr w:rsidR="00C5587C" w:rsidRPr="00414345" w:rsidTr="00C5587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534,123,743.92</w:t>
            </w:r>
          </w:p>
        </w:tc>
      </w:tr>
      <w:tr w:rsidR="00C5587C" w:rsidRPr="00414345" w:rsidTr="00C5587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0.971</w:t>
            </w:r>
          </w:p>
        </w:tc>
      </w:tr>
    </w:tbl>
    <w:p w:rsidR="00EF1093" w:rsidRDefault="00C558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F1093">
        <w:trPr>
          <w:jc w:val="center"/>
        </w:trPr>
        <w:tc>
          <w:tcPr>
            <w:tcW w:w="1701" w:type="dxa"/>
            <w:vAlign w:val="center"/>
          </w:tcPr>
          <w:p w:rsidR="00EF1093" w:rsidRDefault="00C5587C">
            <w:pPr>
              <w:jc w:val="left"/>
            </w:pPr>
            <w:r>
              <w:rPr>
                <w:color w:val="000000"/>
                <w:sz w:val="24"/>
                <w:szCs w:val="24"/>
              </w:rPr>
              <w:t>过去三个月</w:t>
            </w:r>
          </w:p>
        </w:tc>
        <w:tc>
          <w:tcPr>
            <w:tcW w:w="1045" w:type="dxa"/>
            <w:vAlign w:val="center"/>
          </w:tcPr>
          <w:p w:rsidR="00EF1093" w:rsidRDefault="00C5587C">
            <w:pPr>
              <w:jc w:val="center"/>
            </w:pPr>
            <w:r>
              <w:rPr>
                <w:color w:val="000000"/>
                <w:sz w:val="24"/>
                <w:szCs w:val="24"/>
              </w:rPr>
              <w:t>-3.96%</w:t>
            </w:r>
          </w:p>
        </w:tc>
        <w:tc>
          <w:tcPr>
            <w:tcW w:w="1344" w:type="dxa"/>
            <w:vAlign w:val="center"/>
          </w:tcPr>
          <w:p w:rsidR="00EF1093" w:rsidRDefault="00C5587C">
            <w:pPr>
              <w:jc w:val="center"/>
            </w:pPr>
            <w:r>
              <w:rPr>
                <w:color w:val="000000"/>
                <w:sz w:val="24"/>
                <w:szCs w:val="24"/>
              </w:rPr>
              <w:t>1.17%</w:t>
            </w:r>
          </w:p>
        </w:tc>
        <w:tc>
          <w:tcPr>
            <w:tcW w:w="1194" w:type="dxa"/>
            <w:vAlign w:val="center"/>
          </w:tcPr>
          <w:p w:rsidR="00EF1093" w:rsidRDefault="00C5587C">
            <w:pPr>
              <w:jc w:val="center"/>
            </w:pPr>
            <w:r>
              <w:rPr>
                <w:color w:val="000000"/>
                <w:sz w:val="24"/>
                <w:szCs w:val="24"/>
              </w:rPr>
              <w:t>-0.30%</w:t>
            </w:r>
          </w:p>
        </w:tc>
        <w:tc>
          <w:tcPr>
            <w:tcW w:w="1492" w:type="dxa"/>
            <w:vAlign w:val="center"/>
          </w:tcPr>
          <w:p w:rsidR="00EF1093" w:rsidRDefault="00C5587C">
            <w:pPr>
              <w:jc w:val="center"/>
            </w:pPr>
            <w:r>
              <w:rPr>
                <w:color w:val="000000"/>
                <w:sz w:val="24"/>
                <w:szCs w:val="24"/>
              </w:rPr>
              <w:t>0.91%</w:t>
            </w:r>
          </w:p>
        </w:tc>
        <w:tc>
          <w:tcPr>
            <w:tcW w:w="1194" w:type="dxa"/>
            <w:vAlign w:val="center"/>
          </w:tcPr>
          <w:p w:rsidR="00EF1093" w:rsidRDefault="00C5587C">
            <w:pPr>
              <w:jc w:val="center"/>
            </w:pPr>
            <w:r>
              <w:rPr>
                <w:color w:val="000000"/>
                <w:sz w:val="24"/>
                <w:szCs w:val="24"/>
              </w:rPr>
              <w:t>-3.66%</w:t>
            </w:r>
          </w:p>
        </w:tc>
        <w:tc>
          <w:tcPr>
            <w:tcW w:w="898" w:type="dxa"/>
            <w:vAlign w:val="center"/>
          </w:tcPr>
          <w:p w:rsidR="00EF1093" w:rsidRDefault="00C5587C">
            <w:pPr>
              <w:jc w:val="center"/>
            </w:pPr>
            <w:r>
              <w:rPr>
                <w:color w:val="000000"/>
                <w:sz w:val="24"/>
                <w:szCs w:val="24"/>
              </w:rPr>
              <w:t>0.26%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F1093">
        <w:trPr>
          <w:jc w:val="center"/>
        </w:trPr>
        <w:tc>
          <w:tcPr>
            <w:tcW w:w="846" w:type="dxa"/>
            <w:vAlign w:val="center"/>
          </w:tcPr>
          <w:p w:rsidR="00EF1093" w:rsidRDefault="00C5587C">
            <w:pPr>
              <w:jc w:val="center"/>
            </w:pPr>
            <w:r>
              <w:rPr>
                <w:color w:val="000000"/>
                <w:sz w:val="24"/>
                <w:szCs w:val="24"/>
              </w:rPr>
              <w:t>沈楠</w:t>
            </w:r>
          </w:p>
        </w:tc>
        <w:tc>
          <w:tcPr>
            <w:tcW w:w="845" w:type="dxa"/>
            <w:vAlign w:val="center"/>
          </w:tcPr>
          <w:p w:rsidR="00EF1093" w:rsidRDefault="00C5587C">
            <w:pPr>
              <w:jc w:val="center"/>
            </w:pPr>
            <w:r>
              <w:rPr>
                <w:color w:val="000000"/>
                <w:sz w:val="24"/>
                <w:szCs w:val="24"/>
              </w:rPr>
              <w:t>交银主题优选混合、交银国企改革灵活配置</w:t>
            </w:r>
            <w:r>
              <w:rPr>
                <w:color w:val="000000"/>
                <w:sz w:val="24"/>
                <w:szCs w:val="24"/>
              </w:rPr>
              <w:lastRenderedPageBreak/>
              <w:t>混合的基金经理</w:t>
            </w:r>
          </w:p>
        </w:tc>
        <w:tc>
          <w:tcPr>
            <w:tcW w:w="1549" w:type="dxa"/>
            <w:vAlign w:val="center"/>
          </w:tcPr>
          <w:p w:rsidR="00EF1093" w:rsidRDefault="00C5587C">
            <w:pPr>
              <w:jc w:val="center"/>
            </w:pPr>
            <w:r>
              <w:rPr>
                <w:color w:val="000000"/>
                <w:sz w:val="24"/>
                <w:szCs w:val="24"/>
              </w:rPr>
              <w:lastRenderedPageBreak/>
              <w:t>2015-06-10</w:t>
            </w:r>
          </w:p>
        </w:tc>
        <w:tc>
          <w:tcPr>
            <w:tcW w:w="1548" w:type="dxa"/>
            <w:vAlign w:val="center"/>
          </w:tcPr>
          <w:p w:rsidR="00EF1093" w:rsidRDefault="00C5587C">
            <w:pPr>
              <w:jc w:val="center"/>
            </w:pPr>
            <w:r>
              <w:rPr>
                <w:color w:val="000000"/>
                <w:sz w:val="24"/>
                <w:szCs w:val="24"/>
              </w:rPr>
              <w:t>-</w:t>
            </w:r>
          </w:p>
        </w:tc>
        <w:tc>
          <w:tcPr>
            <w:tcW w:w="1407" w:type="dxa"/>
            <w:vAlign w:val="center"/>
          </w:tcPr>
          <w:p w:rsidR="00EF1093" w:rsidRDefault="00C5587C">
            <w:pPr>
              <w:jc w:val="center"/>
            </w:pPr>
            <w:r>
              <w:rPr>
                <w:color w:val="000000"/>
                <w:sz w:val="24"/>
                <w:szCs w:val="24"/>
              </w:rPr>
              <w:t>10</w:t>
            </w:r>
            <w:r>
              <w:rPr>
                <w:color w:val="000000"/>
                <w:sz w:val="24"/>
                <w:szCs w:val="24"/>
              </w:rPr>
              <w:t>年</w:t>
            </w:r>
          </w:p>
        </w:tc>
        <w:tc>
          <w:tcPr>
            <w:tcW w:w="2673" w:type="dxa"/>
            <w:vAlign w:val="center"/>
          </w:tcPr>
          <w:p w:rsidR="00EF1093" w:rsidRDefault="00C5587C">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F1093" w:rsidRDefault="00C5587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F1093" w:rsidRDefault="00C5587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F1093" w:rsidRDefault="00C5587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EF1093" w:rsidRDefault="00C5587C">
      <w:pPr>
        <w:spacing w:before="29" w:line="288" w:lineRule="auto"/>
        <w:ind w:firstLineChars="200" w:firstLine="480"/>
        <w:rPr>
          <w:color w:val="000000"/>
          <w:sz w:val="24"/>
          <w:szCs w:val="24"/>
        </w:rPr>
      </w:pPr>
      <w:r>
        <w:rPr>
          <w:color w:val="000000"/>
          <w:sz w:val="24"/>
          <w:szCs w:val="24"/>
        </w:rPr>
        <w:t>2019</w:t>
      </w:r>
      <w:r>
        <w:rPr>
          <w:color w:val="000000"/>
          <w:sz w:val="24"/>
          <w:szCs w:val="24"/>
        </w:rPr>
        <w:t>年二季度，受到中美贸易争端进一步升级的影响，国内经济冷热不均需求整体趋缓。财政政策持续在基建、新能源、汽车家电消费以及旧改等方向发力支持。此外伴随个别银行信用风险暴露短期影响同业市场表现，流动性分层现象显现但整体趋松。我们认为中期来看年初低点大概率是市场底部区域。未来国内需求改善将对冲外需下滑的不确定性。市场仍然处于可为阶段，</w:t>
      </w:r>
      <w:r>
        <w:rPr>
          <w:color w:val="000000"/>
          <w:sz w:val="24"/>
          <w:szCs w:val="24"/>
        </w:rPr>
        <w:t>2019</w:t>
      </w:r>
      <w:r>
        <w:rPr>
          <w:color w:val="000000"/>
          <w:sz w:val="24"/>
          <w:szCs w:val="24"/>
        </w:rPr>
        <w:t>年投资机会预计将多于</w:t>
      </w:r>
      <w:r>
        <w:rPr>
          <w:color w:val="000000"/>
          <w:sz w:val="24"/>
          <w:szCs w:val="24"/>
        </w:rPr>
        <w:t>2018</w:t>
      </w:r>
      <w:r>
        <w:rPr>
          <w:color w:val="000000"/>
          <w:sz w:val="24"/>
          <w:szCs w:val="24"/>
        </w:rPr>
        <w:t>年。</w:t>
      </w:r>
    </w:p>
    <w:p w:rsidR="00EF1093" w:rsidRDefault="00C5587C">
      <w:pPr>
        <w:spacing w:before="29" w:line="288" w:lineRule="auto"/>
        <w:ind w:firstLineChars="200" w:firstLine="480"/>
        <w:rPr>
          <w:color w:val="000000"/>
          <w:sz w:val="24"/>
          <w:szCs w:val="24"/>
        </w:rPr>
      </w:pPr>
      <w:r>
        <w:rPr>
          <w:color w:val="000000"/>
          <w:sz w:val="24"/>
          <w:szCs w:val="24"/>
        </w:rPr>
        <w:t>由于外部环境的不确定有所增加，国企改革的进程并非一帆风顺，部分领域例如地方混改试点进入执行效果观察期。但随着下半年贸易争端的趋于缓和，我们仍坚信中央将稳步推进包括国企改革在内的一系列改革进程，因此继续看好该领域的投资机会。</w:t>
      </w:r>
    </w:p>
    <w:p w:rsidR="00EF1093" w:rsidRDefault="00C5587C">
      <w:pPr>
        <w:spacing w:before="29" w:line="288" w:lineRule="auto"/>
        <w:ind w:firstLineChars="200" w:firstLine="480"/>
        <w:rPr>
          <w:color w:val="000000"/>
          <w:sz w:val="24"/>
          <w:szCs w:val="24"/>
        </w:rPr>
      </w:pPr>
      <w:r>
        <w:rPr>
          <w:color w:val="000000"/>
          <w:sz w:val="24"/>
          <w:szCs w:val="24"/>
        </w:rPr>
        <w:t>报告期内本基金重点配置了食品、酒店、传媒、金融以及地产等消费领域，进一步增配了军工、制造国产化等成长性行业以及公用事业等稳定性行业。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我们认为可以继续关注重点区域的改革试点。若贸易争端缓和，结构性投资机会预计将不断显现，市场估值有望回升，主题趋于活跃。本基金将结合外部环境的变化，综合判断下一步改革试点的突破口，把握最新政策动向受益的国有企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477,338,578.93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477,338,578.93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87.84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188,529.00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188,529.00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65,645,046.11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247,577.82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543,419,731.86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17,994,789.15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200,346,661.80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12,941,000.00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20,730,479.75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33,156,343.66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18,794,069.60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14,292,122.20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16,574,563.66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61,879,003.15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27,293,825.84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6,853,956.65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16,305,281.47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30,176,482.00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477,338,578.93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89.37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F1093">
        <w:trPr>
          <w:jc w:val="center"/>
        </w:trPr>
        <w:tc>
          <w:tcPr>
            <w:tcW w:w="855" w:type="dxa"/>
            <w:vAlign w:val="center"/>
          </w:tcPr>
          <w:p w:rsidR="00EF1093" w:rsidRDefault="00C5587C">
            <w:pPr>
              <w:jc w:val="center"/>
            </w:pPr>
            <w:r>
              <w:rPr>
                <w:color w:val="000000"/>
                <w:sz w:val="24"/>
                <w:szCs w:val="24"/>
              </w:rPr>
              <w:t>1</w:t>
            </w:r>
          </w:p>
        </w:tc>
        <w:tc>
          <w:tcPr>
            <w:tcW w:w="1334" w:type="dxa"/>
            <w:vAlign w:val="center"/>
          </w:tcPr>
          <w:p w:rsidR="00EF1093" w:rsidRDefault="00C5587C">
            <w:pPr>
              <w:jc w:val="center"/>
            </w:pPr>
            <w:r>
              <w:rPr>
                <w:color w:val="000000"/>
                <w:sz w:val="24"/>
                <w:szCs w:val="24"/>
              </w:rPr>
              <w:t>300413</w:t>
            </w:r>
          </w:p>
        </w:tc>
        <w:tc>
          <w:tcPr>
            <w:tcW w:w="1777" w:type="dxa"/>
            <w:vAlign w:val="center"/>
          </w:tcPr>
          <w:p w:rsidR="00EF1093" w:rsidRDefault="00C5587C">
            <w:pPr>
              <w:jc w:val="center"/>
            </w:pPr>
            <w:r>
              <w:rPr>
                <w:color w:val="000000"/>
                <w:sz w:val="24"/>
                <w:szCs w:val="24"/>
              </w:rPr>
              <w:t>芒果超媒</w:t>
            </w:r>
          </w:p>
        </w:tc>
        <w:tc>
          <w:tcPr>
            <w:tcW w:w="1334" w:type="dxa"/>
            <w:vAlign w:val="center"/>
          </w:tcPr>
          <w:p w:rsidR="00EF1093" w:rsidRDefault="00C5587C">
            <w:pPr>
              <w:jc w:val="right"/>
            </w:pPr>
            <w:r>
              <w:rPr>
                <w:color w:val="000000"/>
                <w:sz w:val="24"/>
                <w:szCs w:val="24"/>
              </w:rPr>
              <w:t>445,420</w:t>
            </w:r>
          </w:p>
        </w:tc>
        <w:tc>
          <w:tcPr>
            <w:tcW w:w="1924" w:type="dxa"/>
            <w:vAlign w:val="center"/>
          </w:tcPr>
          <w:p w:rsidR="00EF1093" w:rsidRDefault="00C5587C">
            <w:pPr>
              <w:jc w:val="right"/>
            </w:pPr>
            <w:r>
              <w:rPr>
                <w:color w:val="000000"/>
                <w:sz w:val="24"/>
                <w:szCs w:val="24"/>
              </w:rPr>
              <w:t>18,284,491.00</w:t>
            </w:r>
          </w:p>
        </w:tc>
        <w:tc>
          <w:tcPr>
            <w:tcW w:w="1644" w:type="dxa"/>
            <w:vAlign w:val="center"/>
          </w:tcPr>
          <w:p w:rsidR="00EF1093" w:rsidRDefault="00C5587C">
            <w:pPr>
              <w:jc w:val="right"/>
            </w:pPr>
            <w:r>
              <w:rPr>
                <w:color w:val="000000"/>
                <w:sz w:val="24"/>
                <w:szCs w:val="24"/>
              </w:rPr>
              <w:t>3.42</w:t>
            </w:r>
          </w:p>
        </w:tc>
      </w:tr>
      <w:tr w:rsidR="00EF1093">
        <w:trPr>
          <w:jc w:val="center"/>
        </w:trPr>
        <w:tc>
          <w:tcPr>
            <w:tcW w:w="855" w:type="dxa"/>
            <w:vAlign w:val="center"/>
          </w:tcPr>
          <w:p w:rsidR="00EF1093" w:rsidRDefault="00C5587C">
            <w:pPr>
              <w:jc w:val="center"/>
            </w:pPr>
            <w:r>
              <w:rPr>
                <w:color w:val="000000"/>
                <w:sz w:val="24"/>
                <w:szCs w:val="24"/>
              </w:rPr>
              <w:t>2</w:t>
            </w:r>
          </w:p>
        </w:tc>
        <w:tc>
          <w:tcPr>
            <w:tcW w:w="1334" w:type="dxa"/>
            <w:vAlign w:val="center"/>
          </w:tcPr>
          <w:p w:rsidR="00EF1093" w:rsidRDefault="00C5587C">
            <w:pPr>
              <w:jc w:val="center"/>
            </w:pPr>
            <w:r>
              <w:rPr>
                <w:color w:val="000000"/>
                <w:sz w:val="24"/>
                <w:szCs w:val="24"/>
              </w:rPr>
              <w:t>600030</w:t>
            </w:r>
          </w:p>
        </w:tc>
        <w:tc>
          <w:tcPr>
            <w:tcW w:w="1777" w:type="dxa"/>
            <w:vAlign w:val="center"/>
          </w:tcPr>
          <w:p w:rsidR="00EF1093" w:rsidRDefault="00C5587C">
            <w:pPr>
              <w:jc w:val="center"/>
            </w:pPr>
            <w:r>
              <w:rPr>
                <w:color w:val="000000"/>
                <w:sz w:val="24"/>
                <w:szCs w:val="24"/>
              </w:rPr>
              <w:t>中信证券</w:t>
            </w:r>
          </w:p>
        </w:tc>
        <w:tc>
          <w:tcPr>
            <w:tcW w:w="1334" w:type="dxa"/>
            <w:vAlign w:val="center"/>
          </w:tcPr>
          <w:p w:rsidR="00EF1093" w:rsidRDefault="00C5587C">
            <w:pPr>
              <w:jc w:val="right"/>
            </w:pPr>
            <w:r>
              <w:rPr>
                <w:color w:val="000000"/>
                <w:sz w:val="24"/>
                <w:szCs w:val="24"/>
              </w:rPr>
              <w:t>757,700</w:t>
            </w:r>
          </w:p>
        </w:tc>
        <w:tc>
          <w:tcPr>
            <w:tcW w:w="1924" w:type="dxa"/>
            <w:vAlign w:val="center"/>
          </w:tcPr>
          <w:p w:rsidR="00EF1093" w:rsidRDefault="00C5587C">
            <w:pPr>
              <w:jc w:val="right"/>
            </w:pPr>
            <w:r>
              <w:rPr>
                <w:color w:val="000000"/>
                <w:sz w:val="24"/>
                <w:szCs w:val="24"/>
              </w:rPr>
              <w:t>18,040,837.00</w:t>
            </w:r>
          </w:p>
        </w:tc>
        <w:tc>
          <w:tcPr>
            <w:tcW w:w="1644" w:type="dxa"/>
            <w:vAlign w:val="center"/>
          </w:tcPr>
          <w:p w:rsidR="00EF1093" w:rsidRDefault="00C5587C">
            <w:pPr>
              <w:jc w:val="right"/>
            </w:pPr>
            <w:r>
              <w:rPr>
                <w:color w:val="000000"/>
                <w:sz w:val="24"/>
                <w:szCs w:val="24"/>
              </w:rPr>
              <w:t>3.38</w:t>
            </w:r>
          </w:p>
        </w:tc>
      </w:tr>
      <w:tr w:rsidR="00EF1093">
        <w:trPr>
          <w:jc w:val="center"/>
        </w:trPr>
        <w:tc>
          <w:tcPr>
            <w:tcW w:w="855" w:type="dxa"/>
            <w:vAlign w:val="center"/>
          </w:tcPr>
          <w:p w:rsidR="00EF1093" w:rsidRDefault="00C5587C">
            <w:pPr>
              <w:jc w:val="center"/>
            </w:pPr>
            <w:r>
              <w:rPr>
                <w:color w:val="000000"/>
                <w:sz w:val="24"/>
                <w:szCs w:val="24"/>
              </w:rPr>
              <w:t>3</w:t>
            </w:r>
          </w:p>
        </w:tc>
        <w:tc>
          <w:tcPr>
            <w:tcW w:w="1334" w:type="dxa"/>
            <w:vAlign w:val="center"/>
          </w:tcPr>
          <w:p w:rsidR="00EF1093" w:rsidRDefault="00C5587C">
            <w:pPr>
              <w:jc w:val="center"/>
            </w:pPr>
            <w:r>
              <w:rPr>
                <w:color w:val="000000"/>
                <w:sz w:val="24"/>
                <w:szCs w:val="24"/>
              </w:rPr>
              <w:t>601398</w:t>
            </w:r>
          </w:p>
        </w:tc>
        <w:tc>
          <w:tcPr>
            <w:tcW w:w="1777" w:type="dxa"/>
            <w:vAlign w:val="center"/>
          </w:tcPr>
          <w:p w:rsidR="00EF1093" w:rsidRDefault="00C5587C">
            <w:pPr>
              <w:jc w:val="center"/>
            </w:pPr>
            <w:r>
              <w:rPr>
                <w:color w:val="000000"/>
                <w:sz w:val="24"/>
                <w:szCs w:val="24"/>
              </w:rPr>
              <w:t>工商银行</w:t>
            </w:r>
          </w:p>
        </w:tc>
        <w:tc>
          <w:tcPr>
            <w:tcW w:w="1334" w:type="dxa"/>
            <w:vAlign w:val="center"/>
          </w:tcPr>
          <w:p w:rsidR="00EF1093" w:rsidRDefault="00C5587C">
            <w:pPr>
              <w:jc w:val="right"/>
            </w:pPr>
            <w:r>
              <w:rPr>
                <w:color w:val="000000"/>
                <w:sz w:val="24"/>
                <w:szCs w:val="24"/>
              </w:rPr>
              <w:t>2,799,900</w:t>
            </w:r>
          </w:p>
        </w:tc>
        <w:tc>
          <w:tcPr>
            <w:tcW w:w="1924" w:type="dxa"/>
            <w:vAlign w:val="center"/>
          </w:tcPr>
          <w:p w:rsidR="00EF1093" w:rsidRDefault="00C5587C">
            <w:pPr>
              <w:jc w:val="right"/>
            </w:pPr>
            <w:r>
              <w:rPr>
                <w:color w:val="000000"/>
                <w:sz w:val="24"/>
                <w:szCs w:val="24"/>
              </w:rPr>
              <w:t>16,491,411.00</w:t>
            </w:r>
          </w:p>
        </w:tc>
        <w:tc>
          <w:tcPr>
            <w:tcW w:w="1644" w:type="dxa"/>
            <w:vAlign w:val="center"/>
          </w:tcPr>
          <w:p w:rsidR="00EF1093" w:rsidRDefault="00C5587C">
            <w:pPr>
              <w:jc w:val="right"/>
            </w:pPr>
            <w:r>
              <w:rPr>
                <w:color w:val="000000"/>
                <w:sz w:val="24"/>
                <w:szCs w:val="24"/>
              </w:rPr>
              <w:t>3.09</w:t>
            </w:r>
          </w:p>
        </w:tc>
      </w:tr>
      <w:tr w:rsidR="00EF1093">
        <w:trPr>
          <w:jc w:val="center"/>
        </w:trPr>
        <w:tc>
          <w:tcPr>
            <w:tcW w:w="855" w:type="dxa"/>
            <w:vAlign w:val="center"/>
          </w:tcPr>
          <w:p w:rsidR="00EF1093" w:rsidRDefault="00C5587C">
            <w:pPr>
              <w:jc w:val="center"/>
            </w:pPr>
            <w:r>
              <w:rPr>
                <w:color w:val="000000"/>
                <w:sz w:val="24"/>
                <w:szCs w:val="24"/>
              </w:rPr>
              <w:t>4</w:t>
            </w:r>
          </w:p>
        </w:tc>
        <w:tc>
          <w:tcPr>
            <w:tcW w:w="1334" w:type="dxa"/>
            <w:vAlign w:val="center"/>
          </w:tcPr>
          <w:p w:rsidR="00EF1093" w:rsidRDefault="00C5587C">
            <w:pPr>
              <w:jc w:val="center"/>
            </w:pPr>
            <w:r>
              <w:rPr>
                <w:color w:val="000000"/>
                <w:sz w:val="24"/>
                <w:szCs w:val="24"/>
              </w:rPr>
              <w:t>600038</w:t>
            </w:r>
          </w:p>
        </w:tc>
        <w:tc>
          <w:tcPr>
            <w:tcW w:w="1777" w:type="dxa"/>
            <w:vAlign w:val="center"/>
          </w:tcPr>
          <w:p w:rsidR="00EF1093" w:rsidRDefault="00C5587C">
            <w:pPr>
              <w:jc w:val="center"/>
            </w:pPr>
            <w:r>
              <w:rPr>
                <w:color w:val="000000"/>
                <w:sz w:val="24"/>
                <w:szCs w:val="24"/>
              </w:rPr>
              <w:t>中直股份</w:t>
            </w:r>
          </w:p>
        </w:tc>
        <w:tc>
          <w:tcPr>
            <w:tcW w:w="1334" w:type="dxa"/>
            <w:vAlign w:val="center"/>
          </w:tcPr>
          <w:p w:rsidR="00EF1093" w:rsidRDefault="00C5587C">
            <w:pPr>
              <w:jc w:val="right"/>
            </w:pPr>
            <w:r>
              <w:rPr>
                <w:color w:val="000000"/>
                <w:sz w:val="24"/>
                <w:szCs w:val="24"/>
              </w:rPr>
              <w:t>400,000</w:t>
            </w:r>
          </w:p>
        </w:tc>
        <w:tc>
          <w:tcPr>
            <w:tcW w:w="1924" w:type="dxa"/>
            <w:vAlign w:val="center"/>
          </w:tcPr>
          <w:p w:rsidR="00EF1093" w:rsidRDefault="00C5587C">
            <w:pPr>
              <w:jc w:val="right"/>
            </w:pPr>
            <w:r>
              <w:rPr>
                <w:color w:val="000000"/>
                <w:sz w:val="24"/>
                <w:szCs w:val="24"/>
              </w:rPr>
              <w:t>16,408,000.00</w:t>
            </w:r>
          </w:p>
        </w:tc>
        <w:tc>
          <w:tcPr>
            <w:tcW w:w="1644" w:type="dxa"/>
            <w:vAlign w:val="center"/>
          </w:tcPr>
          <w:p w:rsidR="00EF1093" w:rsidRDefault="00C5587C">
            <w:pPr>
              <w:jc w:val="right"/>
            </w:pPr>
            <w:r>
              <w:rPr>
                <w:color w:val="000000"/>
                <w:sz w:val="24"/>
                <w:szCs w:val="24"/>
              </w:rPr>
              <w:t>3.07</w:t>
            </w:r>
          </w:p>
        </w:tc>
      </w:tr>
      <w:tr w:rsidR="00EF1093">
        <w:trPr>
          <w:jc w:val="center"/>
        </w:trPr>
        <w:tc>
          <w:tcPr>
            <w:tcW w:w="855" w:type="dxa"/>
            <w:vAlign w:val="center"/>
          </w:tcPr>
          <w:p w:rsidR="00EF1093" w:rsidRDefault="00C5587C">
            <w:pPr>
              <w:jc w:val="center"/>
            </w:pPr>
            <w:r>
              <w:rPr>
                <w:color w:val="000000"/>
                <w:sz w:val="24"/>
                <w:szCs w:val="24"/>
              </w:rPr>
              <w:t>5</w:t>
            </w:r>
          </w:p>
        </w:tc>
        <w:tc>
          <w:tcPr>
            <w:tcW w:w="1334" w:type="dxa"/>
            <w:vAlign w:val="center"/>
          </w:tcPr>
          <w:p w:rsidR="00EF1093" w:rsidRDefault="00C5587C">
            <w:pPr>
              <w:jc w:val="center"/>
            </w:pPr>
            <w:r>
              <w:rPr>
                <w:color w:val="000000"/>
                <w:sz w:val="24"/>
                <w:szCs w:val="24"/>
              </w:rPr>
              <w:t>600258</w:t>
            </w:r>
          </w:p>
        </w:tc>
        <w:tc>
          <w:tcPr>
            <w:tcW w:w="1777" w:type="dxa"/>
            <w:vAlign w:val="center"/>
          </w:tcPr>
          <w:p w:rsidR="00EF1093" w:rsidRDefault="00C5587C">
            <w:pPr>
              <w:jc w:val="center"/>
            </w:pPr>
            <w:r>
              <w:rPr>
                <w:color w:val="000000"/>
                <w:sz w:val="24"/>
                <w:szCs w:val="24"/>
              </w:rPr>
              <w:t>首旅酒店</w:t>
            </w:r>
          </w:p>
        </w:tc>
        <w:tc>
          <w:tcPr>
            <w:tcW w:w="1334" w:type="dxa"/>
            <w:vAlign w:val="center"/>
          </w:tcPr>
          <w:p w:rsidR="00EF1093" w:rsidRDefault="00C5587C">
            <w:pPr>
              <w:jc w:val="right"/>
            </w:pPr>
            <w:r>
              <w:rPr>
                <w:color w:val="000000"/>
                <w:sz w:val="24"/>
                <w:szCs w:val="24"/>
              </w:rPr>
              <w:t>794,890</w:t>
            </w:r>
          </w:p>
        </w:tc>
        <w:tc>
          <w:tcPr>
            <w:tcW w:w="1924" w:type="dxa"/>
            <w:vAlign w:val="center"/>
          </w:tcPr>
          <w:p w:rsidR="00EF1093" w:rsidRDefault="00C5587C">
            <w:pPr>
              <w:jc w:val="right"/>
            </w:pPr>
            <w:r>
              <w:rPr>
                <w:color w:val="000000"/>
                <w:sz w:val="24"/>
                <w:szCs w:val="24"/>
              </w:rPr>
              <w:t>14,292,122.20</w:t>
            </w:r>
          </w:p>
        </w:tc>
        <w:tc>
          <w:tcPr>
            <w:tcW w:w="1644" w:type="dxa"/>
            <w:vAlign w:val="center"/>
          </w:tcPr>
          <w:p w:rsidR="00EF1093" w:rsidRDefault="00C5587C">
            <w:pPr>
              <w:jc w:val="right"/>
            </w:pPr>
            <w:r>
              <w:rPr>
                <w:color w:val="000000"/>
                <w:sz w:val="24"/>
                <w:szCs w:val="24"/>
              </w:rPr>
              <w:t>2.68</w:t>
            </w:r>
          </w:p>
        </w:tc>
      </w:tr>
      <w:tr w:rsidR="00EF1093">
        <w:trPr>
          <w:jc w:val="center"/>
        </w:trPr>
        <w:tc>
          <w:tcPr>
            <w:tcW w:w="855" w:type="dxa"/>
            <w:vAlign w:val="center"/>
          </w:tcPr>
          <w:p w:rsidR="00EF1093" w:rsidRDefault="00C5587C">
            <w:pPr>
              <w:jc w:val="center"/>
            </w:pPr>
            <w:r>
              <w:rPr>
                <w:color w:val="000000"/>
                <w:sz w:val="24"/>
                <w:szCs w:val="24"/>
              </w:rPr>
              <w:t>6</w:t>
            </w:r>
          </w:p>
        </w:tc>
        <w:tc>
          <w:tcPr>
            <w:tcW w:w="1334" w:type="dxa"/>
            <w:vAlign w:val="center"/>
          </w:tcPr>
          <w:p w:rsidR="00EF1093" w:rsidRDefault="00C5587C">
            <w:pPr>
              <w:jc w:val="center"/>
            </w:pPr>
            <w:r>
              <w:rPr>
                <w:color w:val="000000"/>
                <w:sz w:val="24"/>
                <w:szCs w:val="24"/>
              </w:rPr>
              <w:t>600195</w:t>
            </w:r>
          </w:p>
        </w:tc>
        <w:tc>
          <w:tcPr>
            <w:tcW w:w="1777" w:type="dxa"/>
            <w:vAlign w:val="center"/>
          </w:tcPr>
          <w:p w:rsidR="00EF1093" w:rsidRDefault="00C5587C">
            <w:pPr>
              <w:jc w:val="center"/>
            </w:pPr>
            <w:r>
              <w:rPr>
                <w:color w:val="000000"/>
                <w:sz w:val="24"/>
                <w:szCs w:val="24"/>
              </w:rPr>
              <w:t>中牧股份</w:t>
            </w:r>
          </w:p>
        </w:tc>
        <w:tc>
          <w:tcPr>
            <w:tcW w:w="1334" w:type="dxa"/>
            <w:vAlign w:val="center"/>
          </w:tcPr>
          <w:p w:rsidR="00EF1093" w:rsidRDefault="00C5587C">
            <w:pPr>
              <w:jc w:val="right"/>
            </w:pPr>
            <w:r>
              <w:rPr>
                <w:color w:val="000000"/>
                <w:sz w:val="24"/>
                <w:szCs w:val="24"/>
              </w:rPr>
              <w:t>962,760</w:t>
            </w:r>
          </w:p>
        </w:tc>
        <w:tc>
          <w:tcPr>
            <w:tcW w:w="1924" w:type="dxa"/>
            <w:vAlign w:val="center"/>
          </w:tcPr>
          <w:p w:rsidR="00EF1093" w:rsidRDefault="00C5587C">
            <w:pPr>
              <w:jc w:val="right"/>
            </w:pPr>
            <w:r>
              <w:rPr>
                <w:color w:val="000000"/>
                <w:sz w:val="24"/>
                <w:szCs w:val="24"/>
              </w:rPr>
              <w:t>13,334,226.00</w:t>
            </w:r>
          </w:p>
        </w:tc>
        <w:tc>
          <w:tcPr>
            <w:tcW w:w="1644" w:type="dxa"/>
            <w:vAlign w:val="center"/>
          </w:tcPr>
          <w:p w:rsidR="00EF1093" w:rsidRDefault="00C5587C">
            <w:pPr>
              <w:jc w:val="right"/>
            </w:pPr>
            <w:r>
              <w:rPr>
                <w:color w:val="000000"/>
                <w:sz w:val="24"/>
                <w:szCs w:val="24"/>
              </w:rPr>
              <w:t>2.50</w:t>
            </w:r>
          </w:p>
        </w:tc>
      </w:tr>
      <w:tr w:rsidR="00EF1093">
        <w:trPr>
          <w:jc w:val="center"/>
        </w:trPr>
        <w:tc>
          <w:tcPr>
            <w:tcW w:w="855" w:type="dxa"/>
            <w:vAlign w:val="center"/>
          </w:tcPr>
          <w:p w:rsidR="00EF1093" w:rsidRDefault="00C5587C">
            <w:pPr>
              <w:jc w:val="center"/>
            </w:pPr>
            <w:r>
              <w:rPr>
                <w:color w:val="000000"/>
                <w:sz w:val="24"/>
                <w:szCs w:val="24"/>
              </w:rPr>
              <w:t>7</w:t>
            </w:r>
          </w:p>
        </w:tc>
        <w:tc>
          <w:tcPr>
            <w:tcW w:w="1334" w:type="dxa"/>
            <w:vAlign w:val="center"/>
          </w:tcPr>
          <w:p w:rsidR="00EF1093" w:rsidRDefault="00C5587C">
            <w:pPr>
              <w:jc w:val="center"/>
            </w:pPr>
            <w:r>
              <w:rPr>
                <w:color w:val="000000"/>
                <w:sz w:val="24"/>
                <w:szCs w:val="24"/>
              </w:rPr>
              <w:t>600048</w:t>
            </w:r>
          </w:p>
        </w:tc>
        <w:tc>
          <w:tcPr>
            <w:tcW w:w="1777" w:type="dxa"/>
            <w:vAlign w:val="center"/>
          </w:tcPr>
          <w:p w:rsidR="00EF1093" w:rsidRDefault="00C5587C">
            <w:pPr>
              <w:jc w:val="center"/>
            </w:pPr>
            <w:r>
              <w:rPr>
                <w:color w:val="000000"/>
                <w:sz w:val="24"/>
                <w:szCs w:val="24"/>
              </w:rPr>
              <w:t>保利地产</w:t>
            </w:r>
          </w:p>
        </w:tc>
        <w:tc>
          <w:tcPr>
            <w:tcW w:w="1334" w:type="dxa"/>
            <w:vAlign w:val="center"/>
          </w:tcPr>
          <w:p w:rsidR="00EF1093" w:rsidRDefault="00C5587C">
            <w:pPr>
              <w:jc w:val="right"/>
            </w:pPr>
            <w:r>
              <w:rPr>
                <w:color w:val="000000"/>
                <w:sz w:val="24"/>
                <w:szCs w:val="24"/>
              </w:rPr>
              <w:t>1,034,234</w:t>
            </w:r>
          </w:p>
        </w:tc>
        <w:tc>
          <w:tcPr>
            <w:tcW w:w="1924" w:type="dxa"/>
            <w:vAlign w:val="center"/>
          </w:tcPr>
          <w:p w:rsidR="00EF1093" w:rsidRDefault="00C5587C">
            <w:pPr>
              <w:jc w:val="right"/>
            </w:pPr>
            <w:r>
              <w:rPr>
                <w:color w:val="000000"/>
                <w:sz w:val="24"/>
                <w:szCs w:val="24"/>
              </w:rPr>
              <w:t>13,196,825.84</w:t>
            </w:r>
          </w:p>
        </w:tc>
        <w:tc>
          <w:tcPr>
            <w:tcW w:w="1644" w:type="dxa"/>
            <w:vAlign w:val="center"/>
          </w:tcPr>
          <w:p w:rsidR="00EF1093" w:rsidRDefault="00C5587C">
            <w:pPr>
              <w:jc w:val="right"/>
            </w:pPr>
            <w:r>
              <w:rPr>
                <w:color w:val="000000"/>
                <w:sz w:val="24"/>
                <w:szCs w:val="24"/>
              </w:rPr>
              <w:t>2.47</w:t>
            </w:r>
          </w:p>
        </w:tc>
      </w:tr>
      <w:tr w:rsidR="00EF1093">
        <w:trPr>
          <w:jc w:val="center"/>
        </w:trPr>
        <w:tc>
          <w:tcPr>
            <w:tcW w:w="855" w:type="dxa"/>
            <w:vAlign w:val="center"/>
          </w:tcPr>
          <w:p w:rsidR="00EF1093" w:rsidRDefault="00C5587C">
            <w:pPr>
              <w:jc w:val="center"/>
            </w:pPr>
            <w:r>
              <w:rPr>
                <w:color w:val="000000"/>
                <w:sz w:val="24"/>
                <w:szCs w:val="24"/>
              </w:rPr>
              <w:t>8</w:t>
            </w:r>
          </w:p>
        </w:tc>
        <w:tc>
          <w:tcPr>
            <w:tcW w:w="1334" w:type="dxa"/>
            <w:vAlign w:val="center"/>
          </w:tcPr>
          <w:p w:rsidR="00EF1093" w:rsidRDefault="00C5587C">
            <w:pPr>
              <w:jc w:val="center"/>
            </w:pPr>
            <w:r>
              <w:rPr>
                <w:color w:val="000000"/>
                <w:sz w:val="24"/>
                <w:szCs w:val="24"/>
              </w:rPr>
              <w:t>300034</w:t>
            </w:r>
          </w:p>
        </w:tc>
        <w:tc>
          <w:tcPr>
            <w:tcW w:w="1777" w:type="dxa"/>
            <w:vAlign w:val="center"/>
          </w:tcPr>
          <w:p w:rsidR="00EF1093" w:rsidRDefault="00C5587C">
            <w:pPr>
              <w:jc w:val="center"/>
            </w:pPr>
            <w:r>
              <w:rPr>
                <w:color w:val="000000"/>
                <w:sz w:val="24"/>
                <w:szCs w:val="24"/>
              </w:rPr>
              <w:t>钢研高纳</w:t>
            </w:r>
          </w:p>
        </w:tc>
        <w:tc>
          <w:tcPr>
            <w:tcW w:w="1334" w:type="dxa"/>
            <w:vAlign w:val="center"/>
          </w:tcPr>
          <w:p w:rsidR="00EF1093" w:rsidRDefault="00C5587C">
            <w:pPr>
              <w:jc w:val="right"/>
            </w:pPr>
            <w:r>
              <w:rPr>
                <w:color w:val="000000"/>
                <w:sz w:val="24"/>
                <w:szCs w:val="24"/>
              </w:rPr>
              <w:t>888,400</w:t>
            </w:r>
          </w:p>
        </w:tc>
        <w:tc>
          <w:tcPr>
            <w:tcW w:w="1924" w:type="dxa"/>
            <w:vAlign w:val="center"/>
          </w:tcPr>
          <w:p w:rsidR="00EF1093" w:rsidRDefault="00C5587C">
            <w:pPr>
              <w:jc w:val="right"/>
            </w:pPr>
            <w:r>
              <w:rPr>
                <w:color w:val="000000"/>
                <w:sz w:val="24"/>
                <w:szCs w:val="24"/>
              </w:rPr>
              <w:t>13,183,856.00</w:t>
            </w:r>
          </w:p>
        </w:tc>
        <w:tc>
          <w:tcPr>
            <w:tcW w:w="1644" w:type="dxa"/>
            <w:vAlign w:val="center"/>
          </w:tcPr>
          <w:p w:rsidR="00EF1093" w:rsidRDefault="00C5587C">
            <w:pPr>
              <w:jc w:val="right"/>
            </w:pPr>
            <w:r>
              <w:rPr>
                <w:color w:val="000000"/>
                <w:sz w:val="24"/>
                <w:szCs w:val="24"/>
              </w:rPr>
              <w:t>2.47</w:t>
            </w:r>
          </w:p>
        </w:tc>
      </w:tr>
      <w:tr w:rsidR="00EF1093">
        <w:trPr>
          <w:jc w:val="center"/>
        </w:trPr>
        <w:tc>
          <w:tcPr>
            <w:tcW w:w="855" w:type="dxa"/>
            <w:vAlign w:val="center"/>
          </w:tcPr>
          <w:p w:rsidR="00EF1093" w:rsidRDefault="00C5587C">
            <w:pPr>
              <w:jc w:val="center"/>
            </w:pPr>
            <w:r>
              <w:rPr>
                <w:color w:val="000000"/>
                <w:sz w:val="24"/>
                <w:szCs w:val="24"/>
              </w:rPr>
              <w:t>9</w:t>
            </w:r>
          </w:p>
        </w:tc>
        <w:tc>
          <w:tcPr>
            <w:tcW w:w="1334" w:type="dxa"/>
            <w:vAlign w:val="center"/>
          </w:tcPr>
          <w:p w:rsidR="00EF1093" w:rsidRDefault="00C5587C">
            <w:pPr>
              <w:jc w:val="center"/>
            </w:pPr>
            <w:r>
              <w:rPr>
                <w:color w:val="000000"/>
                <w:sz w:val="24"/>
                <w:szCs w:val="24"/>
              </w:rPr>
              <w:t>600887</w:t>
            </w:r>
          </w:p>
        </w:tc>
        <w:tc>
          <w:tcPr>
            <w:tcW w:w="1777" w:type="dxa"/>
            <w:vAlign w:val="center"/>
          </w:tcPr>
          <w:p w:rsidR="00EF1093" w:rsidRDefault="00C5587C">
            <w:pPr>
              <w:jc w:val="center"/>
            </w:pPr>
            <w:r>
              <w:rPr>
                <w:color w:val="000000"/>
                <w:sz w:val="24"/>
                <w:szCs w:val="24"/>
              </w:rPr>
              <w:t>伊利股份</w:t>
            </w:r>
          </w:p>
        </w:tc>
        <w:tc>
          <w:tcPr>
            <w:tcW w:w="1334" w:type="dxa"/>
            <w:vAlign w:val="center"/>
          </w:tcPr>
          <w:p w:rsidR="00EF1093" w:rsidRDefault="00C5587C">
            <w:pPr>
              <w:jc w:val="right"/>
            </w:pPr>
            <w:r>
              <w:rPr>
                <w:color w:val="000000"/>
                <w:sz w:val="24"/>
                <w:szCs w:val="24"/>
              </w:rPr>
              <w:t>393,700</w:t>
            </w:r>
          </w:p>
        </w:tc>
        <w:tc>
          <w:tcPr>
            <w:tcW w:w="1924" w:type="dxa"/>
            <w:vAlign w:val="center"/>
          </w:tcPr>
          <w:p w:rsidR="00EF1093" w:rsidRDefault="00C5587C">
            <w:pPr>
              <w:jc w:val="right"/>
            </w:pPr>
            <w:r>
              <w:rPr>
                <w:color w:val="000000"/>
                <w:sz w:val="24"/>
                <w:szCs w:val="24"/>
              </w:rPr>
              <w:t>13,153,517.00</w:t>
            </w:r>
          </w:p>
        </w:tc>
        <w:tc>
          <w:tcPr>
            <w:tcW w:w="1644" w:type="dxa"/>
            <w:vAlign w:val="center"/>
          </w:tcPr>
          <w:p w:rsidR="00EF1093" w:rsidRDefault="00C5587C">
            <w:pPr>
              <w:jc w:val="right"/>
            </w:pPr>
            <w:r>
              <w:rPr>
                <w:color w:val="000000"/>
                <w:sz w:val="24"/>
                <w:szCs w:val="24"/>
              </w:rPr>
              <w:t>2.46</w:t>
            </w:r>
          </w:p>
        </w:tc>
      </w:tr>
      <w:tr w:rsidR="00EF1093">
        <w:trPr>
          <w:jc w:val="center"/>
        </w:trPr>
        <w:tc>
          <w:tcPr>
            <w:tcW w:w="855" w:type="dxa"/>
            <w:vAlign w:val="center"/>
          </w:tcPr>
          <w:p w:rsidR="00EF1093" w:rsidRDefault="00C5587C">
            <w:pPr>
              <w:jc w:val="center"/>
            </w:pPr>
            <w:r>
              <w:rPr>
                <w:color w:val="000000"/>
                <w:sz w:val="24"/>
                <w:szCs w:val="24"/>
              </w:rPr>
              <w:t>10</w:t>
            </w:r>
          </w:p>
        </w:tc>
        <w:tc>
          <w:tcPr>
            <w:tcW w:w="1334" w:type="dxa"/>
            <w:vAlign w:val="center"/>
          </w:tcPr>
          <w:p w:rsidR="00EF1093" w:rsidRDefault="00C5587C">
            <w:pPr>
              <w:jc w:val="center"/>
            </w:pPr>
            <w:r>
              <w:rPr>
                <w:color w:val="000000"/>
                <w:sz w:val="24"/>
                <w:szCs w:val="24"/>
              </w:rPr>
              <w:t>600967</w:t>
            </w:r>
          </w:p>
        </w:tc>
        <w:tc>
          <w:tcPr>
            <w:tcW w:w="1777" w:type="dxa"/>
            <w:vAlign w:val="center"/>
          </w:tcPr>
          <w:p w:rsidR="00EF1093" w:rsidRDefault="00C5587C">
            <w:pPr>
              <w:jc w:val="center"/>
            </w:pPr>
            <w:r>
              <w:rPr>
                <w:color w:val="000000"/>
                <w:sz w:val="24"/>
                <w:szCs w:val="24"/>
              </w:rPr>
              <w:t>内蒙一机</w:t>
            </w:r>
          </w:p>
        </w:tc>
        <w:tc>
          <w:tcPr>
            <w:tcW w:w="1334" w:type="dxa"/>
            <w:vAlign w:val="center"/>
          </w:tcPr>
          <w:p w:rsidR="00EF1093" w:rsidRDefault="00C5587C">
            <w:pPr>
              <w:jc w:val="right"/>
            </w:pPr>
            <w:r>
              <w:rPr>
                <w:color w:val="000000"/>
                <w:sz w:val="24"/>
                <w:szCs w:val="24"/>
              </w:rPr>
              <w:t>1,150,000</w:t>
            </w:r>
          </w:p>
        </w:tc>
        <w:tc>
          <w:tcPr>
            <w:tcW w:w="1924" w:type="dxa"/>
            <w:vAlign w:val="center"/>
          </w:tcPr>
          <w:p w:rsidR="00EF1093" w:rsidRDefault="00C5587C">
            <w:pPr>
              <w:jc w:val="right"/>
            </w:pPr>
            <w:r>
              <w:rPr>
                <w:color w:val="000000"/>
                <w:sz w:val="24"/>
                <w:szCs w:val="24"/>
              </w:rPr>
              <w:t>12,880,000.00</w:t>
            </w:r>
          </w:p>
        </w:tc>
        <w:tc>
          <w:tcPr>
            <w:tcW w:w="1644" w:type="dxa"/>
            <w:vAlign w:val="center"/>
          </w:tcPr>
          <w:p w:rsidR="00EF1093" w:rsidRDefault="00C5587C">
            <w:pPr>
              <w:jc w:val="right"/>
            </w:pPr>
            <w:r>
              <w:rPr>
                <w:color w:val="000000"/>
                <w:sz w:val="24"/>
                <w:szCs w:val="24"/>
              </w:rPr>
              <w:t>2.41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188,529.00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188,529.00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F1093">
        <w:trPr>
          <w:jc w:val="center"/>
        </w:trPr>
        <w:tc>
          <w:tcPr>
            <w:tcW w:w="850" w:type="dxa"/>
            <w:vAlign w:val="center"/>
          </w:tcPr>
          <w:p w:rsidR="00EF1093" w:rsidRDefault="00C5587C">
            <w:pPr>
              <w:jc w:val="center"/>
            </w:pPr>
            <w:r>
              <w:rPr>
                <w:color w:val="000000"/>
                <w:sz w:val="24"/>
                <w:szCs w:val="24"/>
              </w:rPr>
              <w:t>1</w:t>
            </w:r>
          </w:p>
        </w:tc>
        <w:tc>
          <w:tcPr>
            <w:tcW w:w="1475" w:type="dxa"/>
            <w:vAlign w:val="center"/>
          </w:tcPr>
          <w:p w:rsidR="00EF1093" w:rsidRDefault="00C5587C">
            <w:pPr>
              <w:jc w:val="center"/>
            </w:pPr>
            <w:r>
              <w:rPr>
                <w:color w:val="000000"/>
                <w:sz w:val="24"/>
                <w:szCs w:val="24"/>
              </w:rPr>
              <w:t>113517</w:t>
            </w:r>
          </w:p>
        </w:tc>
        <w:tc>
          <w:tcPr>
            <w:tcW w:w="1769" w:type="dxa"/>
            <w:vAlign w:val="center"/>
          </w:tcPr>
          <w:p w:rsidR="00EF1093" w:rsidRDefault="00C5587C">
            <w:pPr>
              <w:jc w:val="center"/>
            </w:pPr>
            <w:r>
              <w:rPr>
                <w:color w:val="000000"/>
                <w:sz w:val="24"/>
                <w:szCs w:val="24"/>
              </w:rPr>
              <w:t>曙光转债</w:t>
            </w:r>
          </w:p>
        </w:tc>
        <w:tc>
          <w:tcPr>
            <w:tcW w:w="1387" w:type="dxa"/>
            <w:vAlign w:val="center"/>
          </w:tcPr>
          <w:p w:rsidR="00EF1093" w:rsidRDefault="00C5587C">
            <w:pPr>
              <w:jc w:val="right"/>
            </w:pPr>
            <w:r>
              <w:rPr>
                <w:color w:val="000000"/>
                <w:sz w:val="24"/>
                <w:szCs w:val="24"/>
              </w:rPr>
              <w:t>1,740</w:t>
            </w:r>
          </w:p>
        </w:tc>
        <w:tc>
          <w:tcPr>
            <w:tcW w:w="2150" w:type="dxa"/>
            <w:vAlign w:val="center"/>
          </w:tcPr>
          <w:p w:rsidR="00EF1093" w:rsidRDefault="00C5587C">
            <w:pPr>
              <w:jc w:val="right"/>
            </w:pPr>
            <w:r>
              <w:rPr>
                <w:color w:val="000000"/>
                <w:sz w:val="24"/>
                <w:szCs w:val="24"/>
              </w:rPr>
              <w:t>188,529.00</w:t>
            </w:r>
          </w:p>
        </w:tc>
        <w:tc>
          <w:tcPr>
            <w:tcW w:w="1237" w:type="dxa"/>
            <w:vAlign w:val="center"/>
          </w:tcPr>
          <w:p w:rsidR="00EF1093" w:rsidRDefault="00C5587C">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C5587C" w:rsidRPr="00414345" w:rsidTr="00AB4DB6">
        <w:trPr>
          <w:trHeight w:val="105"/>
          <w:jc w:val="center"/>
        </w:trPr>
        <w:tc>
          <w:tcPr>
            <w:tcW w:w="1422" w:type="dxa"/>
            <w:vAlign w:val="center"/>
          </w:tcPr>
          <w:p w:rsidR="00C5587C" w:rsidRPr="00414345" w:rsidRDefault="00C5587C"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C5587C" w:rsidRPr="00414345" w:rsidRDefault="00C5587C"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C5587C" w:rsidRPr="00414345" w:rsidRDefault="00C5587C"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C5587C" w:rsidRPr="00414345" w:rsidRDefault="00C5587C"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3" w:type="dxa"/>
            <w:vAlign w:val="center"/>
          </w:tcPr>
          <w:p w:rsidR="00C5587C" w:rsidRPr="00414345" w:rsidRDefault="00C5587C"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16" w:type="dxa"/>
            <w:vAlign w:val="center"/>
          </w:tcPr>
          <w:p w:rsidR="00C5587C" w:rsidRPr="00414345" w:rsidRDefault="00C5587C" w:rsidP="00C15CAC">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2,648,109.98</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-11,600.00</w:t>
            </w:r>
          </w:p>
        </w:tc>
      </w:tr>
    </w:tbl>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注：本基金本报告期末未持有股指期货。</w:t>
      </w:r>
    </w:p>
    <w:p w:rsidR="00AA3A38" w:rsidRPr="00414345" w:rsidRDefault="00AA3A38" w:rsidP="00C15CAC">
      <w:pPr>
        <w:adjustRightInd w:val="0"/>
        <w:snapToGrid w:val="0"/>
        <w:spacing w:before="29" w:line="288" w:lineRule="auto"/>
        <w:rPr>
          <w:sz w:val="24"/>
          <w:szCs w:val="24"/>
        </w:rPr>
      </w:pPr>
      <w:bookmarkStart w:id="0" w:name="_GoBack"/>
      <w:bookmarkEnd w:id="0"/>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218,822.98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15,353.66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13,401.18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247,577.82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EF1093">
        <w:trPr>
          <w:jc w:val="center"/>
        </w:trPr>
        <w:tc>
          <w:tcPr>
            <w:tcW w:w="1883" w:type="dxa"/>
            <w:vAlign w:val="center"/>
          </w:tcPr>
          <w:p w:rsidR="00EF1093" w:rsidRDefault="00C5587C">
            <w:pPr>
              <w:jc w:val="center"/>
            </w:pPr>
            <w:r>
              <w:rPr>
                <w:color w:val="000000"/>
                <w:sz w:val="24"/>
                <w:szCs w:val="24"/>
              </w:rPr>
              <w:t>1</w:t>
            </w:r>
          </w:p>
        </w:tc>
        <w:tc>
          <w:tcPr>
            <w:tcW w:w="1801" w:type="dxa"/>
            <w:vAlign w:val="center"/>
          </w:tcPr>
          <w:p w:rsidR="00EF1093" w:rsidRDefault="00C5587C">
            <w:pPr>
              <w:jc w:val="center"/>
            </w:pPr>
            <w:r>
              <w:rPr>
                <w:color w:val="000000"/>
                <w:sz w:val="24"/>
                <w:szCs w:val="24"/>
              </w:rPr>
              <w:t>113517</w:t>
            </w:r>
          </w:p>
        </w:tc>
        <w:tc>
          <w:tcPr>
            <w:tcW w:w="1727" w:type="dxa"/>
            <w:vAlign w:val="center"/>
          </w:tcPr>
          <w:p w:rsidR="00EF1093" w:rsidRDefault="00C5587C">
            <w:pPr>
              <w:jc w:val="center"/>
            </w:pPr>
            <w:r>
              <w:rPr>
                <w:color w:val="000000"/>
                <w:sz w:val="24"/>
                <w:szCs w:val="24"/>
              </w:rPr>
              <w:t>曙光转债</w:t>
            </w:r>
          </w:p>
        </w:tc>
        <w:tc>
          <w:tcPr>
            <w:tcW w:w="1768" w:type="dxa"/>
            <w:vAlign w:val="center"/>
          </w:tcPr>
          <w:p w:rsidR="00EF1093" w:rsidRDefault="00C5587C">
            <w:pPr>
              <w:jc w:val="right"/>
            </w:pPr>
            <w:r>
              <w:rPr>
                <w:color w:val="000000"/>
                <w:sz w:val="24"/>
                <w:szCs w:val="24"/>
              </w:rPr>
              <w:t>188,529.00</w:t>
            </w:r>
          </w:p>
        </w:tc>
        <w:tc>
          <w:tcPr>
            <w:tcW w:w="1689" w:type="dxa"/>
            <w:vAlign w:val="center"/>
          </w:tcPr>
          <w:p w:rsidR="00EF1093" w:rsidRDefault="00C5587C">
            <w:pPr>
              <w:jc w:val="right"/>
            </w:pPr>
            <w:r>
              <w:rPr>
                <w:color w:val="000000"/>
                <w:sz w:val="24"/>
                <w:szCs w:val="24"/>
              </w:rPr>
              <w:t>0.04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586,153,389.20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3,873,227.67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39,789,303.43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550,237,313.44</w:t>
            </w:r>
          </w:p>
        </w:tc>
      </w:tr>
    </w:tbl>
    <w:p w:rsidR="00EF1093" w:rsidRDefault="00C558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F1093" w:rsidRDefault="00C5587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EF1093" w:rsidRDefault="00C5587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EF1093" w:rsidRDefault="00C5587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EF1093" w:rsidRDefault="00C5587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EF1093" w:rsidRDefault="00C5587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EF1093" w:rsidRDefault="00C5587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EF1093" w:rsidRDefault="00C5587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F1093" w:rsidRDefault="00C5587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5587C">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5587C">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26" w:rsidRDefault="00EA1826" w:rsidP="00876D65">
      <w:r>
        <w:separator/>
      </w:r>
    </w:p>
  </w:footnote>
  <w:footnote w:type="continuationSeparator" w:id="0">
    <w:p w:rsidR="00EA1826" w:rsidRDefault="00EA182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交银施罗德国企改革灵活配置混合型证券投资基金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587C"/>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093"/>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3559-4B0B-44EF-9042-C9F54C22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12</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biz-cailiqun</cp:lastModifiedBy>
  <cp:revision>591</cp:revision>
  <dcterms:created xsi:type="dcterms:W3CDTF">2012-10-16T06:07:00Z</dcterms:created>
  <dcterms:modified xsi:type="dcterms:W3CDTF">2019-07-10T07:59:00Z</dcterms:modified>
</cp:coreProperties>
</file>