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二〇一九年七月十七日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47272F" w:rsidRDefault="00FF358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7272F" w:rsidRDefault="00FF358D">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7272F" w:rsidRDefault="00FF358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7272F" w:rsidRDefault="00FF358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7272F" w:rsidRDefault="00FF358D">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183,295,732.21</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4C46" w:rsidRPr="0036023B" w:rsidTr="00CD4C46">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CD4C46" w:rsidRPr="0036023B" w:rsidTr="00CD4C4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-8,626,475.28</w:t>
            </w:r>
          </w:p>
        </w:tc>
      </w:tr>
      <w:tr w:rsidR="00CD4C46" w:rsidRPr="0036023B" w:rsidTr="00CD4C4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-6,800,843.64</w:t>
            </w:r>
          </w:p>
        </w:tc>
      </w:tr>
      <w:tr w:rsidR="00CD4C46" w:rsidRPr="0036023B" w:rsidTr="00CD4C4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-0.0396</w:t>
            </w:r>
          </w:p>
        </w:tc>
      </w:tr>
      <w:tr w:rsidR="00CD4C46" w:rsidRPr="0036023B" w:rsidTr="00CD4C46">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103,559,824.56</w:t>
            </w:r>
          </w:p>
        </w:tc>
      </w:tr>
      <w:tr w:rsidR="00CD4C46" w:rsidRPr="0036023B" w:rsidTr="00CD4C46">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0.565</w:t>
            </w:r>
          </w:p>
        </w:tc>
      </w:tr>
    </w:tbl>
    <w:p w:rsidR="0047272F" w:rsidRDefault="00FF358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47272F">
        <w:trPr>
          <w:jc w:val="center"/>
        </w:trPr>
        <w:tc>
          <w:tcPr>
            <w:tcW w:w="1469" w:type="dxa"/>
            <w:vAlign w:val="center"/>
          </w:tcPr>
          <w:p w:rsidR="0047272F" w:rsidRDefault="00FF358D">
            <w:pPr>
              <w:jc w:val="left"/>
            </w:pPr>
            <w:r>
              <w:rPr>
                <w:color w:val="000000"/>
                <w:sz w:val="24"/>
              </w:rPr>
              <w:t>过去三个月</w:t>
            </w:r>
          </w:p>
        </w:tc>
        <w:tc>
          <w:tcPr>
            <w:tcW w:w="1150" w:type="dxa"/>
            <w:vAlign w:val="center"/>
          </w:tcPr>
          <w:p w:rsidR="0047272F" w:rsidRDefault="00FF358D">
            <w:pPr>
              <w:jc w:val="center"/>
            </w:pPr>
            <w:r>
              <w:rPr>
                <w:color w:val="000000"/>
                <w:sz w:val="24"/>
              </w:rPr>
              <w:t>-6.61%</w:t>
            </w:r>
          </w:p>
        </w:tc>
        <w:tc>
          <w:tcPr>
            <w:tcW w:w="1223" w:type="dxa"/>
            <w:vAlign w:val="center"/>
          </w:tcPr>
          <w:p w:rsidR="0047272F" w:rsidRDefault="00FF358D">
            <w:pPr>
              <w:jc w:val="center"/>
            </w:pPr>
            <w:r>
              <w:rPr>
                <w:color w:val="000000"/>
                <w:sz w:val="24"/>
              </w:rPr>
              <w:t>1.98%</w:t>
            </w:r>
          </w:p>
        </w:tc>
        <w:tc>
          <w:tcPr>
            <w:tcW w:w="1244" w:type="dxa"/>
            <w:vAlign w:val="center"/>
          </w:tcPr>
          <w:p w:rsidR="0047272F" w:rsidRDefault="00FF358D">
            <w:pPr>
              <w:jc w:val="center"/>
            </w:pPr>
            <w:r>
              <w:rPr>
                <w:color w:val="000000"/>
                <w:sz w:val="24"/>
              </w:rPr>
              <w:t>-6.79%</w:t>
            </w:r>
          </w:p>
        </w:tc>
        <w:tc>
          <w:tcPr>
            <w:tcW w:w="1251" w:type="dxa"/>
            <w:vAlign w:val="center"/>
          </w:tcPr>
          <w:p w:rsidR="0047272F" w:rsidRDefault="00FF358D">
            <w:pPr>
              <w:jc w:val="center"/>
            </w:pPr>
            <w:r>
              <w:rPr>
                <w:color w:val="000000"/>
                <w:sz w:val="24"/>
              </w:rPr>
              <w:t>2.01%</w:t>
            </w:r>
          </w:p>
        </w:tc>
        <w:tc>
          <w:tcPr>
            <w:tcW w:w="1263" w:type="dxa"/>
            <w:vAlign w:val="center"/>
          </w:tcPr>
          <w:p w:rsidR="0047272F" w:rsidRDefault="00FF358D">
            <w:pPr>
              <w:jc w:val="center"/>
            </w:pPr>
            <w:r>
              <w:rPr>
                <w:color w:val="000000"/>
                <w:sz w:val="24"/>
              </w:rPr>
              <w:t>0.18%</w:t>
            </w:r>
          </w:p>
        </w:tc>
        <w:tc>
          <w:tcPr>
            <w:tcW w:w="1268" w:type="dxa"/>
            <w:vAlign w:val="center"/>
          </w:tcPr>
          <w:p w:rsidR="0047272F" w:rsidRDefault="00FF358D">
            <w:pPr>
              <w:jc w:val="center"/>
            </w:pPr>
            <w:r>
              <w:rPr>
                <w:color w:val="000000"/>
                <w:sz w:val="24"/>
              </w:rPr>
              <w:t>-0.03%</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47272F">
        <w:trPr>
          <w:jc w:val="center"/>
        </w:trPr>
        <w:tc>
          <w:tcPr>
            <w:tcW w:w="846" w:type="dxa"/>
            <w:vAlign w:val="center"/>
          </w:tcPr>
          <w:p w:rsidR="0047272F" w:rsidRDefault="00FF358D">
            <w:pPr>
              <w:jc w:val="center"/>
            </w:pPr>
            <w:r>
              <w:rPr>
                <w:color w:val="000000"/>
                <w:sz w:val="24"/>
              </w:rPr>
              <w:t>蔡铮</w:t>
            </w:r>
          </w:p>
        </w:tc>
        <w:tc>
          <w:tcPr>
            <w:tcW w:w="845" w:type="dxa"/>
            <w:vAlign w:val="center"/>
          </w:tcPr>
          <w:p w:rsidR="0047272F" w:rsidRDefault="00FF358D">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47272F" w:rsidRDefault="00FF358D">
            <w:pPr>
              <w:jc w:val="center"/>
            </w:pPr>
            <w:r>
              <w:rPr>
                <w:color w:val="000000"/>
                <w:sz w:val="24"/>
              </w:rPr>
              <w:t>2016-07-19</w:t>
            </w:r>
          </w:p>
        </w:tc>
        <w:tc>
          <w:tcPr>
            <w:tcW w:w="1548" w:type="dxa"/>
            <w:vAlign w:val="center"/>
          </w:tcPr>
          <w:p w:rsidR="0047272F" w:rsidRDefault="00FF358D">
            <w:pPr>
              <w:jc w:val="center"/>
            </w:pPr>
            <w:r>
              <w:rPr>
                <w:color w:val="000000"/>
                <w:sz w:val="24"/>
              </w:rPr>
              <w:t>-</w:t>
            </w:r>
          </w:p>
        </w:tc>
        <w:tc>
          <w:tcPr>
            <w:tcW w:w="1407" w:type="dxa"/>
            <w:vAlign w:val="center"/>
          </w:tcPr>
          <w:p w:rsidR="0047272F" w:rsidRDefault="00FF358D">
            <w:pPr>
              <w:jc w:val="center"/>
            </w:pPr>
            <w:r>
              <w:rPr>
                <w:color w:val="000000"/>
                <w:sz w:val="24"/>
              </w:rPr>
              <w:t>10</w:t>
            </w:r>
            <w:r>
              <w:rPr>
                <w:color w:val="000000"/>
                <w:sz w:val="24"/>
              </w:rPr>
              <w:t>年</w:t>
            </w:r>
          </w:p>
        </w:tc>
        <w:tc>
          <w:tcPr>
            <w:tcW w:w="2673" w:type="dxa"/>
            <w:vAlign w:val="center"/>
          </w:tcPr>
          <w:p w:rsidR="0047272F" w:rsidRDefault="00FF358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47272F" w:rsidRDefault="00FF358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7272F" w:rsidRDefault="00FF358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7272F" w:rsidRDefault="00FF358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本基金于本报告期内未发现异常交易行为。本报告期内，本公司管理的所有投资组合参与的交易所公开竞价同日反向交易成交较少的单边交易量超过该证券当日总成交量</w:t>
      </w:r>
      <w:r w:rsidRPr="0036023B">
        <w:rPr>
          <w:color w:val="000000"/>
          <w:sz w:val="24"/>
        </w:rPr>
        <w:t>5%</w:t>
      </w:r>
      <w:r w:rsidRPr="0036023B">
        <w:rPr>
          <w:color w:val="000000"/>
          <w:sz w:val="24"/>
        </w:rPr>
        <w:t>的情况有</w:t>
      </w:r>
      <w:r w:rsidRPr="0036023B">
        <w:rPr>
          <w:color w:val="000000"/>
          <w:sz w:val="24"/>
        </w:rPr>
        <w:t>1</w:t>
      </w:r>
      <w:r w:rsidRPr="0036023B">
        <w:rPr>
          <w:color w:val="000000"/>
          <w:sz w:val="24"/>
        </w:rPr>
        <w:t>次，是投资组合因投资策略需要而发生同日反向交易，未发现不公平交易和利益输送的情况。本基金与本公司管理的其他投资组合在不同时间窗下（如日内、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日内）同向交易的交易价差未发现异常。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47272F" w:rsidRDefault="00FF358D">
      <w:pPr>
        <w:spacing w:before="29" w:line="288" w:lineRule="auto"/>
        <w:ind w:firstLineChars="200" w:firstLine="480"/>
        <w:rPr>
          <w:color w:val="000000"/>
          <w:sz w:val="24"/>
        </w:rPr>
      </w:pPr>
      <w:r>
        <w:rPr>
          <w:color w:val="000000"/>
          <w:sz w:val="24"/>
        </w:rPr>
        <w:t>2019</w:t>
      </w:r>
      <w:r>
        <w:rPr>
          <w:color w:val="000000"/>
          <w:sz w:val="24"/>
        </w:rPr>
        <w:t>年二季度国内宏观环境基本稳定，经济增速延续稳中偏弱格局，通胀和流动性保持平稳，财政政策持续发力。年初的快速上涨使得市场情绪显著修复，成交大幅回暖，但四月之后市场出现较大幅调整，投资者情绪回归冷静。直至六月中旬科创板宣布正式开板，市场信心有所提振。作为跟踪基准指数的指数基金，二季度基金总体呈现先下行后震荡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三季度，我们认为经济增速压力犹存，开放创新将释放经济增长的内在潜力。减税降费将仍是下半年经济工作的重心，推动居民收入与企业盈利进一步改善，但对于消费端和投资端的拉动作用可能还有待验证。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97,389,407.63</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93.09</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97,389,407.63</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93.09</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6,043,300.67</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5.78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1,189,687.59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1.14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104,622,395.89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33,357,333.53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32.21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16,944,075.96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16.36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5,555,697.69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5.36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5,437,743.00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5.25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36,094,557.45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34.85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97,389,407.63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94.04</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47272F">
        <w:trPr>
          <w:jc w:val="center"/>
        </w:trPr>
        <w:tc>
          <w:tcPr>
            <w:tcW w:w="850" w:type="dxa"/>
            <w:vAlign w:val="center"/>
          </w:tcPr>
          <w:p w:rsidR="0047272F" w:rsidRDefault="00FF358D">
            <w:pPr>
              <w:jc w:val="center"/>
            </w:pPr>
            <w:r>
              <w:rPr>
                <w:color w:val="000000"/>
                <w:sz w:val="24"/>
              </w:rPr>
              <w:t>1</w:t>
            </w:r>
          </w:p>
        </w:tc>
        <w:tc>
          <w:tcPr>
            <w:tcW w:w="1327" w:type="dxa"/>
            <w:vAlign w:val="center"/>
          </w:tcPr>
          <w:p w:rsidR="0047272F" w:rsidRDefault="00FF358D">
            <w:pPr>
              <w:jc w:val="center"/>
            </w:pPr>
            <w:r>
              <w:rPr>
                <w:color w:val="000000"/>
                <w:sz w:val="24"/>
              </w:rPr>
              <w:t>601330</w:t>
            </w:r>
          </w:p>
        </w:tc>
        <w:tc>
          <w:tcPr>
            <w:tcW w:w="1769" w:type="dxa"/>
            <w:vAlign w:val="center"/>
          </w:tcPr>
          <w:p w:rsidR="0047272F" w:rsidRDefault="00FF358D">
            <w:pPr>
              <w:jc w:val="center"/>
            </w:pPr>
            <w:r>
              <w:rPr>
                <w:color w:val="000000"/>
                <w:sz w:val="24"/>
              </w:rPr>
              <w:t>绿色动力</w:t>
            </w:r>
          </w:p>
        </w:tc>
        <w:tc>
          <w:tcPr>
            <w:tcW w:w="1327" w:type="dxa"/>
            <w:vAlign w:val="center"/>
          </w:tcPr>
          <w:p w:rsidR="0047272F" w:rsidRDefault="00FF358D">
            <w:pPr>
              <w:jc w:val="right"/>
            </w:pPr>
            <w:r>
              <w:rPr>
                <w:color w:val="000000"/>
                <w:sz w:val="24"/>
              </w:rPr>
              <w:t>167,000</w:t>
            </w:r>
          </w:p>
        </w:tc>
        <w:tc>
          <w:tcPr>
            <w:tcW w:w="1915" w:type="dxa"/>
            <w:vAlign w:val="center"/>
          </w:tcPr>
          <w:p w:rsidR="0047272F" w:rsidRDefault="00FF358D">
            <w:pPr>
              <w:jc w:val="right"/>
            </w:pPr>
            <w:r>
              <w:rPr>
                <w:color w:val="000000"/>
                <w:sz w:val="24"/>
              </w:rPr>
              <w:t>2,590,170.00</w:t>
            </w:r>
          </w:p>
        </w:tc>
        <w:tc>
          <w:tcPr>
            <w:tcW w:w="1680" w:type="dxa"/>
            <w:vAlign w:val="center"/>
          </w:tcPr>
          <w:p w:rsidR="0047272F" w:rsidRDefault="00FF358D">
            <w:pPr>
              <w:jc w:val="right"/>
            </w:pPr>
            <w:r>
              <w:rPr>
                <w:color w:val="000000"/>
                <w:sz w:val="24"/>
              </w:rPr>
              <w:t>2.50</w:t>
            </w:r>
          </w:p>
        </w:tc>
      </w:tr>
      <w:tr w:rsidR="0047272F">
        <w:trPr>
          <w:jc w:val="center"/>
        </w:trPr>
        <w:tc>
          <w:tcPr>
            <w:tcW w:w="850" w:type="dxa"/>
            <w:vAlign w:val="center"/>
          </w:tcPr>
          <w:p w:rsidR="0047272F" w:rsidRDefault="00FF358D">
            <w:pPr>
              <w:jc w:val="center"/>
            </w:pPr>
            <w:r>
              <w:rPr>
                <w:color w:val="000000"/>
                <w:sz w:val="24"/>
              </w:rPr>
              <w:t>2</w:t>
            </w:r>
          </w:p>
        </w:tc>
        <w:tc>
          <w:tcPr>
            <w:tcW w:w="1327" w:type="dxa"/>
            <w:vAlign w:val="center"/>
          </w:tcPr>
          <w:p w:rsidR="0047272F" w:rsidRDefault="00FF358D">
            <w:pPr>
              <w:jc w:val="center"/>
            </w:pPr>
            <w:r>
              <w:rPr>
                <w:color w:val="000000"/>
                <w:sz w:val="24"/>
              </w:rPr>
              <w:t>600217</w:t>
            </w:r>
          </w:p>
        </w:tc>
        <w:tc>
          <w:tcPr>
            <w:tcW w:w="1769" w:type="dxa"/>
            <w:vAlign w:val="center"/>
          </w:tcPr>
          <w:p w:rsidR="0047272F" w:rsidRDefault="00FF358D">
            <w:pPr>
              <w:jc w:val="center"/>
            </w:pPr>
            <w:r>
              <w:rPr>
                <w:color w:val="000000"/>
                <w:sz w:val="24"/>
              </w:rPr>
              <w:t>中再资环</w:t>
            </w:r>
          </w:p>
        </w:tc>
        <w:tc>
          <w:tcPr>
            <w:tcW w:w="1327" w:type="dxa"/>
            <w:vAlign w:val="center"/>
          </w:tcPr>
          <w:p w:rsidR="0047272F" w:rsidRDefault="00FF358D">
            <w:pPr>
              <w:jc w:val="right"/>
            </w:pPr>
            <w:r>
              <w:rPr>
                <w:color w:val="000000"/>
                <w:sz w:val="24"/>
              </w:rPr>
              <w:t>353,600</w:t>
            </w:r>
          </w:p>
        </w:tc>
        <w:tc>
          <w:tcPr>
            <w:tcW w:w="1915" w:type="dxa"/>
            <w:vAlign w:val="center"/>
          </w:tcPr>
          <w:p w:rsidR="0047272F" w:rsidRDefault="00FF358D">
            <w:pPr>
              <w:jc w:val="right"/>
            </w:pPr>
            <w:r>
              <w:rPr>
                <w:color w:val="000000"/>
                <w:sz w:val="24"/>
              </w:rPr>
              <w:t>2,556,528.00</w:t>
            </w:r>
          </w:p>
        </w:tc>
        <w:tc>
          <w:tcPr>
            <w:tcW w:w="1680" w:type="dxa"/>
            <w:vAlign w:val="center"/>
          </w:tcPr>
          <w:p w:rsidR="0047272F" w:rsidRDefault="00FF358D">
            <w:pPr>
              <w:jc w:val="right"/>
            </w:pPr>
            <w:r>
              <w:rPr>
                <w:color w:val="000000"/>
                <w:sz w:val="24"/>
              </w:rPr>
              <w:t>2.47</w:t>
            </w:r>
          </w:p>
        </w:tc>
      </w:tr>
      <w:tr w:rsidR="0047272F">
        <w:trPr>
          <w:jc w:val="center"/>
        </w:trPr>
        <w:tc>
          <w:tcPr>
            <w:tcW w:w="850" w:type="dxa"/>
            <w:vAlign w:val="center"/>
          </w:tcPr>
          <w:p w:rsidR="0047272F" w:rsidRDefault="00FF358D">
            <w:pPr>
              <w:jc w:val="center"/>
            </w:pPr>
            <w:r>
              <w:rPr>
                <w:color w:val="000000"/>
                <w:sz w:val="24"/>
              </w:rPr>
              <w:t>3</w:t>
            </w:r>
          </w:p>
        </w:tc>
        <w:tc>
          <w:tcPr>
            <w:tcW w:w="1327" w:type="dxa"/>
            <w:vAlign w:val="center"/>
          </w:tcPr>
          <w:p w:rsidR="0047272F" w:rsidRDefault="00FF358D">
            <w:pPr>
              <w:jc w:val="center"/>
            </w:pPr>
            <w:r>
              <w:rPr>
                <w:color w:val="000000"/>
                <w:sz w:val="24"/>
              </w:rPr>
              <w:t>603686</w:t>
            </w:r>
          </w:p>
        </w:tc>
        <w:tc>
          <w:tcPr>
            <w:tcW w:w="1769" w:type="dxa"/>
            <w:vAlign w:val="center"/>
          </w:tcPr>
          <w:p w:rsidR="0047272F" w:rsidRDefault="00FF358D">
            <w:pPr>
              <w:jc w:val="center"/>
            </w:pPr>
            <w:r>
              <w:rPr>
                <w:color w:val="000000"/>
                <w:sz w:val="24"/>
              </w:rPr>
              <w:t>龙马环卫</w:t>
            </w:r>
          </w:p>
        </w:tc>
        <w:tc>
          <w:tcPr>
            <w:tcW w:w="1327" w:type="dxa"/>
            <w:vAlign w:val="center"/>
          </w:tcPr>
          <w:p w:rsidR="0047272F" w:rsidRDefault="00FF358D">
            <w:pPr>
              <w:jc w:val="right"/>
            </w:pPr>
            <w:r>
              <w:rPr>
                <w:color w:val="000000"/>
                <w:sz w:val="24"/>
              </w:rPr>
              <w:t>125,500</w:t>
            </w:r>
          </w:p>
        </w:tc>
        <w:tc>
          <w:tcPr>
            <w:tcW w:w="1915" w:type="dxa"/>
            <w:vAlign w:val="center"/>
          </w:tcPr>
          <w:p w:rsidR="0047272F" w:rsidRDefault="00FF358D">
            <w:pPr>
              <w:jc w:val="right"/>
            </w:pPr>
            <w:r>
              <w:rPr>
                <w:color w:val="000000"/>
                <w:sz w:val="24"/>
              </w:rPr>
              <w:t>2,494,940.00</w:t>
            </w:r>
          </w:p>
        </w:tc>
        <w:tc>
          <w:tcPr>
            <w:tcW w:w="1680" w:type="dxa"/>
            <w:vAlign w:val="center"/>
          </w:tcPr>
          <w:p w:rsidR="0047272F" w:rsidRDefault="00FF358D">
            <w:pPr>
              <w:jc w:val="right"/>
            </w:pPr>
            <w:r>
              <w:rPr>
                <w:color w:val="000000"/>
                <w:sz w:val="24"/>
              </w:rPr>
              <w:t>2.41</w:t>
            </w:r>
          </w:p>
        </w:tc>
      </w:tr>
      <w:tr w:rsidR="0047272F">
        <w:trPr>
          <w:jc w:val="center"/>
        </w:trPr>
        <w:tc>
          <w:tcPr>
            <w:tcW w:w="850" w:type="dxa"/>
            <w:vAlign w:val="center"/>
          </w:tcPr>
          <w:p w:rsidR="0047272F" w:rsidRDefault="00FF358D">
            <w:pPr>
              <w:jc w:val="center"/>
            </w:pPr>
            <w:r>
              <w:rPr>
                <w:color w:val="000000"/>
                <w:sz w:val="24"/>
              </w:rPr>
              <w:t>4</w:t>
            </w:r>
          </w:p>
        </w:tc>
        <w:tc>
          <w:tcPr>
            <w:tcW w:w="1327" w:type="dxa"/>
            <w:vAlign w:val="center"/>
          </w:tcPr>
          <w:p w:rsidR="0047272F" w:rsidRDefault="00FF358D">
            <w:pPr>
              <w:jc w:val="center"/>
            </w:pPr>
            <w:r>
              <w:rPr>
                <w:color w:val="000000"/>
                <w:sz w:val="24"/>
              </w:rPr>
              <w:t>601200</w:t>
            </w:r>
          </w:p>
        </w:tc>
        <w:tc>
          <w:tcPr>
            <w:tcW w:w="1769" w:type="dxa"/>
            <w:vAlign w:val="center"/>
          </w:tcPr>
          <w:p w:rsidR="0047272F" w:rsidRDefault="00FF358D">
            <w:pPr>
              <w:jc w:val="center"/>
            </w:pPr>
            <w:r>
              <w:rPr>
                <w:color w:val="000000"/>
                <w:sz w:val="24"/>
              </w:rPr>
              <w:t>上海环境</w:t>
            </w:r>
          </w:p>
        </w:tc>
        <w:tc>
          <w:tcPr>
            <w:tcW w:w="1327" w:type="dxa"/>
            <w:vAlign w:val="center"/>
          </w:tcPr>
          <w:p w:rsidR="0047272F" w:rsidRDefault="00FF358D">
            <w:pPr>
              <w:jc w:val="right"/>
            </w:pPr>
            <w:r>
              <w:rPr>
                <w:color w:val="000000"/>
                <w:sz w:val="24"/>
              </w:rPr>
              <w:t>171,600</w:t>
            </w:r>
          </w:p>
        </w:tc>
        <w:tc>
          <w:tcPr>
            <w:tcW w:w="1915" w:type="dxa"/>
            <w:vAlign w:val="center"/>
          </w:tcPr>
          <w:p w:rsidR="0047272F" w:rsidRDefault="00FF358D">
            <w:pPr>
              <w:jc w:val="right"/>
            </w:pPr>
            <w:r>
              <w:rPr>
                <w:color w:val="000000"/>
                <w:sz w:val="24"/>
              </w:rPr>
              <w:t>2,335,476.00</w:t>
            </w:r>
          </w:p>
        </w:tc>
        <w:tc>
          <w:tcPr>
            <w:tcW w:w="1680" w:type="dxa"/>
            <w:vAlign w:val="center"/>
          </w:tcPr>
          <w:p w:rsidR="0047272F" w:rsidRDefault="00FF358D">
            <w:pPr>
              <w:jc w:val="right"/>
            </w:pPr>
            <w:r>
              <w:rPr>
                <w:color w:val="000000"/>
                <w:sz w:val="24"/>
              </w:rPr>
              <w:t>2.26</w:t>
            </w:r>
          </w:p>
        </w:tc>
      </w:tr>
      <w:tr w:rsidR="0047272F">
        <w:trPr>
          <w:jc w:val="center"/>
        </w:trPr>
        <w:tc>
          <w:tcPr>
            <w:tcW w:w="850" w:type="dxa"/>
            <w:vAlign w:val="center"/>
          </w:tcPr>
          <w:p w:rsidR="0047272F" w:rsidRDefault="00FF358D">
            <w:pPr>
              <w:jc w:val="center"/>
            </w:pPr>
            <w:r>
              <w:rPr>
                <w:color w:val="000000"/>
                <w:sz w:val="24"/>
              </w:rPr>
              <w:t>5</w:t>
            </w:r>
          </w:p>
        </w:tc>
        <w:tc>
          <w:tcPr>
            <w:tcW w:w="1327" w:type="dxa"/>
            <w:vAlign w:val="center"/>
          </w:tcPr>
          <w:p w:rsidR="0047272F" w:rsidRDefault="00FF358D">
            <w:pPr>
              <w:jc w:val="center"/>
            </w:pPr>
            <w:r>
              <w:rPr>
                <w:color w:val="000000"/>
                <w:sz w:val="24"/>
              </w:rPr>
              <w:t>000035</w:t>
            </w:r>
          </w:p>
        </w:tc>
        <w:tc>
          <w:tcPr>
            <w:tcW w:w="1769" w:type="dxa"/>
            <w:vAlign w:val="center"/>
          </w:tcPr>
          <w:p w:rsidR="0047272F" w:rsidRDefault="00FF358D">
            <w:pPr>
              <w:jc w:val="center"/>
            </w:pPr>
            <w:r>
              <w:rPr>
                <w:color w:val="000000"/>
                <w:sz w:val="24"/>
              </w:rPr>
              <w:t>中国天楹</w:t>
            </w:r>
          </w:p>
        </w:tc>
        <w:tc>
          <w:tcPr>
            <w:tcW w:w="1327" w:type="dxa"/>
            <w:vAlign w:val="center"/>
          </w:tcPr>
          <w:p w:rsidR="0047272F" w:rsidRDefault="00FF358D">
            <w:pPr>
              <w:jc w:val="right"/>
            </w:pPr>
            <w:r>
              <w:rPr>
                <w:color w:val="000000"/>
                <w:sz w:val="24"/>
              </w:rPr>
              <w:t>363,453</w:t>
            </w:r>
          </w:p>
        </w:tc>
        <w:tc>
          <w:tcPr>
            <w:tcW w:w="1915" w:type="dxa"/>
            <w:vAlign w:val="center"/>
          </w:tcPr>
          <w:p w:rsidR="0047272F" w:rsidRDefault="00FF358D">
            <w:pPr>
              <w:jc w:val="right"/>
            </w:pPr>
            <w:r>
              <w:rPr>
                <w:color w:val="000000"/>
                <w:sz w:val="24"/>
              </w:rPr>
              <w:t>2,180,718.00</w:t>
            </w:r>
          </w:p>
        </w:tc>
        <w:tc>
          <w:tcPr>
            <w:tcW w:w="1680" w:type="dxa"/>
            <w:vAlign w:val="center"/>
          </w:tcPr>
          <w:p w:rsidR="0047272F" w:rsidRDefault="00FF358D">
            <w:pPr>
              <w:jc w:val="right"/>
            </w:pPr>
            <w:r>
              <w:rPr>
                <w:color w:val="000000"/>
                <w:sz w:val="24"/>
              </w:rPr>
              <w:t>2.11</w:t>
            </w:r>
          </w:p>
        </w:tc>
      </w:tr>
      <w:tr w:rsidR="0047272F">
        <w:trPr>
          <w:jc w:val="center"/>
        </w:trPr>
        <w:tc>
          <w:tcPr>
            <w:tcW w:w="850" w:type="dxa"/>
            <w:vAlign w:val="center"/>
          </w:tcPr>
          <w:p w:rsidR="0047272F" w:rsidRDefault="00FF358D">
            <w:pPr>
              <w:jc w:val="center"/>
            </w:pPr>
            <w:r>
              <w:rPr>
                <w:color w:val="000000"/>
                <w:sz w:val="24"/>
              </w:rPr>
              <w:t>6</w:t>
            </w:r>
          </w:p>
        </w:tc>
        <w:tc>
          <w:tcPr>
            <w:tcW w:w="1327" w:type="dxa"/>
            <w:vAlign w:val="center"/>
          </w:tcPr>
          <w:p w:rsidR="0047272F" w:rsidRDefault="00FF358D">
            <w:pPr>
              <w:jc w:val="center"/>
            </w:pPr>
            <w:r>
              <w:rPr>
                <w:color w:val="000000"/>
                <w:sz w:val="24"/>
              </w:rPr>
              <w:t>000826</w:t>
            </w:r>
          </w:p>
        </w:tc>
        <w:tc>
          <w:tcPr>
            <w:tcW w:w="1769" w:type="dxa"/>
            <w:vAlign w:val="center"/>
          </w:tcPr>
          <w:p w:rsidR="0047272F" w:rsidRDefault="00FF358D">
            <w:pPr>
              <w:jc w:val="center"/>
            </w:pPr>
            <w:r>
              <w:rPr>
                <w:color w:val="000000"/>
                <w:sz w:val="24"/>
              </w:rPr>
              <w:t>启迪桑德</w:t>
            </w:r>
          </w:p>
        </w:tc>
        <w:tc>
          <w:tcPr>
            <w:tcW w:w="1327" w:type="dxa"/>
            <w:vAlign w:val="center"/>
          </w:tcPr>
          <w:p w:rsidR="0047272F" w:rsidRDefault="00FF358D">
            <w:pPr>
              <w:jc w:val="right"/>
            </w:pPr>
            <w:r>
              <w:rPr>
                <w:color w:val="000000"/>
                <w:sz w:val="24"/>
              </w:rPr>
              <w:t>183,020</w:t>
            </w:r>
          </w:p>
        </w:tc>
        <w:tc>
          <w:tcPr>
            <w:tcW w:w="1915" w:type="dxa"/>
            <w:vAlign w:val="center"/>
          </w:tcPr>
          <w:p w:rsidR="0047272F" w:rsidRDefault="00FF358D">
            <w:pPr>
              <w:jc w:val="right"/>
            </w:pPr>
            <w:r>
              <w:rPr>
                <w:color w:val="000000"/>
                <w:sz w:val="24"/>
              </w:rPr>
              <w:t>2,157,805.80</w:t>
            </w:r>
          </w:p>
        </w:tc>
        <w:tc>
          <w:tcPr>
            <w:tcW w:w="1680" w:type="dxa"/>
            <w:vAlign w:val="center"/>
          </w:tcPr>
          <w:p w:rsidR="0047272F" w:rsidRDefault="00FF358D">
            <w:pPr>
              <w:jc w:val="right"/>
            </w:pPr>
            <w:r>
              <w:rPr>
                <w:color w:val="000000"/>
                <w:sz w:val="24"/>
              </w:rPr>
              <w:t>2.08</w:t>
            </w:r>
          </w:p>
        </w:tc>
      </w:tr>
      <w:tr w:rsidR="0047272F">
        <w:trPr>
          <w:jc w:val="center"/>
        </w:trPr>
        <w:tc>
          <w:tcPr>
            <w:tcW w:w="850" w:type="dxa"/>
            <w:vAlign w:val="center"/>
          </w:tcPr>
          <w:p w:rsidR="0047272F" w:rsidRDefault="00FF358D">
            <w:pPr>
              <w:jc w:val="center"/>
            </w:pPr>
            <w:r>
              <w:rPr>
                <w:color w:val="000000"/>
                <w:sz w:val="24"/>
              </w:rPr>
              <w:t>7</w:t>
            </w:r>
          </w:p>
        </w:tc>
        <w:tc>
          <w:tcPr>
            <w:tcW w:w="1327" w:type="dxa"/>
            <w:vAlign w:val="center"/>
          </w:tcPr>
          <w:p w:rsidR="0047272F" w:rsidRDefault="00FF358D">
            <w:pPr>
              <w:jc w:val="center"/>
            </w:pPr>
            <w:r>
              <w:rPr>
                <w:color w:val="000000"/>
                <w:sz w:val="24"/>
              </w:rPr>
              <w:t>300140</w:t>
            </w:r>
          </w:p>
        </w:tc>
        <w:tc>
          <w:tcPr>
            <w:tcW w:w="1769" w:type="dxa"/>
            <w:vAlign w:val="center"/>
          </w:tcPr>
          <w:p w:rsidR="0047272F" w:rsidRDefault="00FF358D">
            <w:pPr>
              <w:jc w:val="center"/>
            </w:pPr>
            <w:r>
              <w:rPr>
                <w:color w:val="000000"/>
                <w:sz w:val="24"/>
              </w:rPr>
              <w:t>中环装备</w:t>
            </w:r>
          </w:p>
        </w:tc>
        <w:tc>
          <w:tcPr>
            <w:tcW w:w="1327" w:type="dxa"/>
            <w:vAlign w:val="center"/>
          </w:tcPr>
          <w:p w:rsidR="0047272F" w:rsidRDefault="00FF358D">
            <w:pPr>
              <w:jc w:val="right"/>
            </w:pPr>
            <w:r>
              <w:rPr>
                <w:color w:val="000000"/>
                <w:sz w:val="24"/>
              </w:rPr>
              <w:t>183,200</w:t>
            </w:r>
          </w:p>
        </w:tc>
        <w:tc>
          <w:tcPr>
            <w:tcW w:w="1915" w:type="dxa"/>
            <w:vAlign w:val="center"/>
          </w:tcPr>
          <w:p w:rsidR="0047272F" w:rsidRDefault="00FF358D">
            <w:pPr>
              <w:jc w:val="right"/>
            </w:pPr>
            <w:r>
              <w:rPr>
                <w:color w:val="000000"/>
                <w:sz w:val="24"/>
              </w:rPr>
              <w:t>2,130,616.00</w:t>
            </w:r>
          </w:p>
        </w:tc>
        <w:tc>
          <w:tcPr>
            <w:tcW w:w="1680" w:type="dxa"/>
            <w:vAlign w:val="center"/>
          </w:tcPr>
          <w:p w:rsidR="0047272F" w:rsidRDefault="00FF358D">
            <w:pPr>
              <w:jc w:val="right"/>
            </w:pPr>
            <w:r>
              <w:rPr>
                <w:color w:val="000000"/>
                <w:sz w:val="24"/>
              </w:rPr>
              <w:t>2.06</w:t>
            </w:r>
          </w:p>
        </w:tc>
      </w:tr>
      <w:tr w:rsidR="0047272F">
        <w:trPr>
          <w:jc w:val="center"/>
        </w:trPr>
        <w:tc>
          <w:tcPr>
            <w:tcW w:w="850" w:type="dxa"/>
            <w:vAlign w:val="center"/>
          </w:tcPr>
          <w:p w:rsidR="0047272F" w:rsidRDefault="00FF358D">
            <w:pPr>
              <w:jc w:val="center"/>
            </w:pPr>
            <w:r>
              <w:rPr>
                <w:color w:val="000000"/>
                <w:sz w:val="24"/>
              </w:rPr>
              <w:t>8</w:t>
            </w:r>
          </w:p>
        </w:tc>
        <w:tc>
          <w:tcPr>
            <w:tcW w:w="1327" w:type="dxa"/>
            <w:vAlign w:val="center"/>
          </w:tcPr>
          <w:p w:rsidR="0047272F" w:rsidRDefault="00FF358D">
            <w:pPr>
              <w:jc w:val="center"/>
            </w:pPr>
            <w:r>
              <w:rPr>
                <w:color w:val="000000"/>
                <w:sz w:val="24"/>
              </w:rPr>
              <w:t>300664</w:t>
            </w:r>
          </w:p>
        </w:tc>
        <w:tc>
          <w:tcPr>
            <w:tcW w:w="1769" w:type="dxa"/>
            <w:vAlign w:val="center"/>
          </w:tcPr>
          <w:p w:rsidR="0047272F" w:rsidRDefault="00FF358D">
            <w:pPr>
              <w:jc w:val="center"/>
            </w:pPr>
            <w:r>
              <w:rPr>
                <w:color w:val="000000"/>
                <w:sz w:val="24"/>
              </w:rPr>
              <w:t>鹏鹞环保</w:t>
            </w:r>
          </w:p>
        </w:tc>
        <w:tc>
          <w:tcPr>
            <w:tcW w:w="1327" w:type="dxa"/>
            <w:vAlign w:val="center"/>
          </w:tcPr>
          <w:p w:rsidR="0047272F" w:rsidRDefault="00FF358D">
            <w:pPr>
              <w:jc w:val="right"/>
            </w:pPr>
            <w:r>
              <w:rPr>
                <w:color w:val="000000"/>
                <w:sz w:val="24"/>
              </w:rPr>
              <w:t>178,200</w:t>
            </w:r>
          </w:p>
        </w:tc>
        <w:tc>
          <w:tcPr>
            <w:tcW w:w="1915" w:type="dxa"/>
            <w:vAlign w:val="center"/>
          </w:tcPr>
          <w:p w:rsidR="0047272F" w:rsidRDefault="00FF358D">
            <w:pPr>
              <w:jc w:val="right"/>
            </w:pPr>
            <w:r>
              <w:rPr>
                <w:color w:val="000000"/>
                <w:sz w:val="24"/>
              </w:rPr>
              <w:t>2,100,978.00</w:t>
            </w:r>
          </w:p>
        </w:tc>
        <w:tc>
          <w:tcPr>
            <w:tcW w:w="1680" w:type="dxa"/>
            <w:vAlign w:val="center"/>
          </w:tcPr>
          <w:p w:rsidR="0047272F" w:rsidRDefault="00FF358D">
            <w:pPr>
              <w:jc w:val="right"/>
            </w:pPr>
            <w:r>
              <w:rPr>
                <w:color w:val="000000"/>
                <w:sz w:val="24"/>
              </w:rPr>
              <w:t>2.03</w:t>
            </w:r>
          </w:p>
        </w:tc>
      </w:tr>
      <w:tr w:rsidR="0047272F">
        <w:trPr>
          <w:jc w:val="center"/>
        </w:trPr>
        <w:tc>
          <w:tcPr>
            <w:tcW w:w="850" w:type="dxa"/>
            <w:vAlign w:val="center"/>
          </w:tcPr>
          <w:p w:rsidR="0047272F" w:rsidRDefault="00FF358D">
            <w:pPr>
              <w:jc w:val="center"/>
            </w:pPr>
            <w:r>
              <w:rPr>
                <w:color w:val="000000"/>
                <w:sz w:val="24"/>
              </w:rPr>
              <w:t>9</w:t>
            </w:r>
          </w:p>
        </w:tc>
        <w:tc>
          <w:tcPr>
            <w:tcW w:w="1327" w:type="dxa"/>
            <w:vAlign w:val="center"/>
          </w:tcPr>
          <w:p w:rsidR="0047272F" w:rsidRDefault="00FF358D">
            <w:pPr>
              <w:jc w:val="center"/>
            </w:pPr>
            <w:r>
              <w:rPr>
                <w:color w:val="000000"/>
                <w:sz w:val="24"/>
              </w:rPr>
              <w:t>603588</w:t>
            </w:r>
          </w:p>
        </w:tc>
        <w:tc>
          <w:tcPr>
            <w:tcW w:w="1769" w:type="dxa"/>
            <w:vAlign w:val="center"/>
          </w:tcPr>
          <w:p w:rsidR="0047272F" w:rsidRDefault="00FF358D">
            <w:pPr>
              <w:jc w:val="center"/>
            </w:pPr>
            <w:r>
              <w:rPr>
                <w:color w:val="000000"/>
                <w:sz w:val="24"/>
              </w:rPr>
              <w:t>高能环境</w:t>
            </w:r>
          </w:p>
        </w:tc>
        <w:tc>
          <w:tcPr>
            <w:tcW w:w="1327" w:type="dxa"/>
            <w:vAlign w:val="center"/>
          </w:tcPr>
          <w:p w:rsidR="0047272F" w:rsidRDefault="00FF358D">
            <w:pPr>
              <w:jc w:val="right"/>
            </w:pPr>
            <w:r>
              <w:rPr>
                <w:color w:val="000000"/>
                <w:sz w:val="24"/>
              </w:rPr>
              <w:t>191,804</w:t>
            </w:r>
          </w:p>
        </w:tc>
        <w:tc>
          <w:tcPr>
            <w:tcW w:w="1915" w:type="dxa"/>
            <w:vAlign w:val="center"/>
          </w:tcPr>
          <w:p w:rsidR="0047272F" w:rsidRDefault="00FF358D">
            <w:pPr>
              <w:jc w:val="right"/>
            </w:pPr>
            <w:r>
              <w:rPr>
                <w:color w:val="000000"/>
                <w:sz w:val="24"/>
              </w:rPr>
              <w:t>2,046,548.68</w:t>
            </w:r>
          </w:p>
        </w:tc>
        <w:tc>
          <w:tcPr>
            <w:tcW w:w="1680" w:type="dxa"/>
            <w:vAlign w:val="center"/>
          </w:tcPr>
          <w:p w:rsidR="0047272F" w:rsidRDefault="00FF358D">
            <w:pPr>
              <w:jc w:val="right"/>
            </w:pPr>
            <w:r>
              <w:rPr>
                <w:color w:val="000000"/>
                <w:sz w:val="24"/>
              </w:rPr>
              <w:t>1.98</w:t>
            </w:r>
          </w:p>
        </w:tc>
      </w:tr>
      <w:tr w:rsidR="0047272F">
        <w:trPr>
          <w:jc w:val="center"/>
        </w:trPr>
        <w:tc>
          <w:tcPr>
            <w:tcW w:w="850" w:type="dxa"/>
            <w:vAlign w:val="center"/>
          </w:tcPr>
          <w:p w:rsidR="0047272F" w:rsidRDefault="00FF358D">
            <w:pPr>
              <w:jc w:val="center"/>
            </w:pPr>
            <w:r>
              <w:rPr>
                <w:color w:val="000000"/>
                <w:sz w:val="24"/>
              </w:rPr>
              <w:t>10</w:t>
            </w:r>
          </w:p>
        </w:tc>
        <w:tc>
          <w:tcPr>
            <w:tcW w:w="1327" w:type="dxa"/>
            <w:vAlign w:val="center"/>
          </w:tcPr>
          <w:p w:rsidR="0047272F" w:rsidRDefault="00FF358D">
            <w:pPr>
              <w:jc w:val="center"/>
            </w:pPr>
            <w:r>
              <w:rPr>
                <w:color w:val="000000"/>
                <w:sz w:val="24"/>
              </w:rPr>
              <w:t>300332</w:t>
            </w:r>
          </w:p>
        </w:tc>
        <w:tc>
          <w:tcPr>
            <w:tcW w:w="1769" w:type="dxa"/>
            <w:vAlign w:val="center"/>
          </w:tcPr>
          <w:p w:rsidR="0047272F" w:rsidRDefault="00FF358D">
            <w:pPr>
              <w:jc w:val="center"/>
            </w:pPr>
            <w:r>
              <w:rPr>
                <w:color w:val="000000"/>
                <w:sz w:val="24"/>
              </w:rPr>
              <w:t>天壕环境</w:t>
            </w:r>
          </w:p>
        </w:tc>
        <w:tc>
          <w:tcPr>
            <w:tcW w:w="1327" w:type="dxa"/>
            <w:vAlign w:val="center"/>
          </w:tcPr>
          <w:p w:rsidR="0047272F" w:rsidRDefault="00FF358D">
            <w:pPr>
              <w:jc w:val="right"/>
            </w:pPr>
            <w:r>
              <w:rPr>
                <w:color w:val="000000"/>
                <w:sz w:val="24"/>
              </w:rPr>
              <w:t>431,300</w:t>
            </w:r>
          </w:p>
        </w:tc>
        <w:tc>
          <w:tcPr>
            <w:tcW w:w="1915" w:type="dxa"/>
            <w:vAlign w:val="center"/>
          </w:tcPr>
          <w:p w:rsidR="0047272F" w:rsidRDefault="00FF358D">
            <w:pPr>
              <w:jc w:val="right"/>
            </w:pPr>
            <w:r>
              <w:rPr>
                <w:color w:val="000000"/>
                <w:sz w:val="24"/>
              </w:rPr>
              <w:t>2,027,110.00</w:t>
            </w:r>
          </w:p>
        </w:tc>
        <w:tc>
          <w:tcPr>
            <w:tcW w:w="1680" w:type="dxa"/>
            <w:vAlign w:val="center"/>
          </w:tcPr>
          <w:p w:rsidR="0047272F" w:rsidRDefault="00FF358D">
            <w:pPr>
              <w:jc w:val="right"/>
            </w:pPr>
            <w:r>
              <w:rPr>
                <w:color w:val="000000"/>
                <w:sz w:val="24"/>
              </w:rPr>
              <w:t>1.96</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CD4C46" w:rsidRDefault="00CD4C46" w:rsidP="00CD4C46">
      <w:pPr>
        <w:autoSpaceDE w:val="0"/>
        <w:autoSpaceDN w:val="0"/>
        <w:adjustRightInd w:val="0"/>
        <w:spacing w:before="29" w:line="288" w:lineRule="auto"/>
        <w:jc w:val="left"/>
        <w:rPr>
          <w:color w:val="000000"/>
          <w:sz w:val="24"/>
        </w:rPr>
      </w:pPr>
      <w:r w:rsidRPr="00CD4C46">
        <w:rPr>
          <w:rFonts w:hint="eastAsia"/>
          <w:color w:val="000000"/>
          <w:sz w:val="24"/>
        </w:rPr>
        <w:t>本基金本报告期末未持有积极投资的股票。</w:t>
      </w:r>
    </w:p>
    <w:p w:rsidR="009E3E6C" w:rsidRPr="009E3E6C" w:rsidRDefault="009E3E6C" w:rsidP="00CD4C46">
      <w:pPr>
        <w:autoSpaceDE w:val="0"/>
        <w:autoSpaceDN w:val="0"/>
        <w:adjustRightInd w:val="0"/>
        <w:spacing w:before="29" w:line="288" w:lineRule="auto"/>
        <w:jc w:val="left"/>
        <w:rPr>
          <w:b/>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9E3E6C" w:rsidRPr="0036023B" w:rsidRDefault="009E3E6C"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9E3E6C" w:rsidRPr="0036023B" w:rsidRDefault="009E3E6C"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9E3E6C" w:rsidRPr="0036023B" w:rsidRDefault="009E3E6C" w:rsidP="0099526C">
      <w:pPr>
        <w:autoSpaceDE w:val="0"/>
        <w:autoSpaceDN w:val="0"/>
        <w:adjustRightInd w:val="0"/>
        <w:spacing w:before="29" w:line="288" w:lineRule="auto"/>
        <w:jc w:val="left"/>
        <w:rPr>
          <w:color w:val="00000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报告期内本基金投资的前十名证券的发行主体除绿色动力（证券代码：</w:t>
      </w:r>
      <w:r w:rsidRPr="008119CB">
        <w:rPr>
          <w:color w:val="000000"/>
          <w:kern w:val="0"/>
          <w:sz w:val="24"/>
        </w:rPr>
        <w:t>601330</w:t>
      </w:r>
      <w:r w:rsidRPr="008119CB">
        <w:rPr>
          <w:color w:val="000000"/>
          <w:kern w:val="0"/>
          <w:sz w:val="24"/>
        </w:rPr>
        <w:t>）、鹏鹞环保（证券代码：</w:t>
      </w:r>
      <w:r w:rsidRPr="008119CB">
        <w:rPr>
          <w:color w:val="000000"/>
          <w:kern w:val="0"/>
          <w:sz w:val="24"/>
        </w:rPr>
        <w:t>300664</w:t>
      </w:r>
      <w:r w:rsidRPr="008119CB">
        <w:rPr>
          <w:color w:val="000000"/>
          <w:kern w:val="0"/>
          <w:sz w:val="24"/>
        </w:rPr>
        <w:t>）外，未出现被监管部门立案调查，或在报告编制日前一年内受到公开谴责、处罚的情形。</w:t>
      </w:r>
    </w:p>
    <w:p w:rsidR="0047272F" w:rsidRDefault="00FF358D">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报告期内本基金投资的前十名证券之一绿色动力（证券代码：</w:t>
      </w:r>
      <w:r>
        <w:rPr>
          <w:color w:val="000000"/>
          <w:kern w:val="0"/>
          <w:sz w:val="24"/>
        </w:rPr>
        <w:t>601330</w:t>
      </w:r>
      <w:r>
        <w:rPr>
          <w:color w:val="000000"/>
          <w:kern w:val="0"/>
          <w:sz w:val="24"/>
        </w:rPr>
        <w:t>）于</w:t>
      </w:r>
      <w:r>
        <w:rPr>
          <w:color w:val="000000"/>
          <w:kern w:val="0"/>
          <w:sz w:val="24"/>
        </w:rPr>
        <w:t>2018</w:t>
      </w:r>
      <w:r>
        <w:rPr>
          <w:color w:val="000000"/>
          <w:kern w:val="0"/>
          <w:sz w:val="24"/>
        </w:rPr>
        <w:t>年</w:t>
      </w:r>
      <w:r>
        <w:rPr>
          <w:color w:val="000000"/>
          <w:kern w:val="0"/>
          <w:sz w:val="24"/>
        </w:rPr>
        <w:t>7</w:t>
      </w:r>
      <w:r>
        <w:rPr>
          <w:color w:val="000000"/>
          <w:kern w:val="0"/>
          <w:sz w:val="24"/>
        </w:rPr>
        <w:t>月</w:t>
      </w:r>
      <w:r>
        <w:rPr>
          <w:color w:val="000000"/>
          <w:kern w:val="0"/>
          <w:sz w:val="24"/>
        </w:rPr>
        <w:t>2</w:t>
      </w:r>
      <w:r>
        <w:rPr>
          <w:color w:val="000000"/>
          <w:kern w:val="0"/>
          <w:sz w:val="24"/>
        </w:rPr>
        <w:t>日公告，全资子公司泰州绿色动力再生能源有限公司日前收到泰州市环境保护局作出的《行政处罚决定书》（泰环罚字</w:t>
      </w:r>
      <w:r>
        <w:rPr>
          <w:color w:val="000000"/>
          <w:kern w:val="0"/>
          <w:sz w:val="24"/>
        </w:rPr>
        <w:t>[2018]7</w:t>
      </w:r>
      <w:r>
        <w:rPr>
          <w:color w:val="000000"/>
          <w:kern w:val="0"/>
          <w:sz w:val="24"/>
        </w:rPr>
        <w:t>号），泰州绿色动力再生能源有限公司因废气超标排放违反了《中华人民共和国大气污染防治法》的规定，泰州市环保局对泰州绿色动力再生能源有限公司作出如下处理决定：</w:t>
      </w:r>
      <w:r>
        <w:rPr>
          <w:color w:val="000000"/>
          <w:kern w:val="0"/>
          <w:sz w:val="24"/>
        </w:rPr>
        <w:t>1</w:t>
      </w:r>
      <w:r>
        <w:rPr>
          <w:color w:val="000000"/>
          <w:kern w:val="0"/>
          <w:sz w:val="24"/>
        </w:rPr>
        <w:t>、罚款人民币壹佰万元整；</w:t>
      </w:r>
      <w:r>
        <w:rPr>
          <w:color w:val="000000"/>
          <w:kern w:val="0"/>
          <w:sz w:val="24"/>
        </w:rPr>
        <w:t>2</w:t>
      </w:r>
      <w:r>
        <w:rPr>
          <w:color w:val="000000"/>
          <w:kern w:val="0"/>
          <w:sz w:val="24"/>
        </w:rPr>
        <w:t>、责令立即停止环境违法行为。</w:t>
      </w:r>
    </w:p>
    <w:p w:rsidR="0047272F" w:rsidRDefault="00FF358D">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报告期内本基金投资的前十名证券之一鹏鹞环保（证券代码：</w:t>
      </w:r>
      <w:r>
        <w:rPr>
          <w:color w:val="000000"/>
          <w:kern w:val="0"/>
          <w:sz w:val="24"/>
        </w:rPr>
        <w:t>300664</w:t>
      </w:r>
      <w:r>
        <w:rPr>
          <w:color w:val="000000"/>
          <w:kern w:val="0"/>
          <w:sz w:val="24"/>
        </w:rPr>
        <w:t>）于</w:t>
      </w:r>
      <w:r>
        <w:rPr>
          <w:color w:val="000000"/>
          <w:kern w:val="0"/>
          <w:sz w:val="24"/>
        </w:rPr>
        <w:t>2018</w:t>
      </w:r>
      <w:r>
        <w:rPr>
          <w:color w:val="000000"/>
          <w:kern w:val="0"/>
          <w:sz w:val="24"/>
        </w:rPr>
        <w:t>年</w:t>
      </w:r>
      <w:r>
        <w:rPr>
          <w:color w:val="000000"/>
          <w:kern w:val="0"/>
          <w:sz w:val="24"/>
        </w:rPr>
        <w:t>9</w:t>
      </w:r>
      <w:r>
        <w:rPr>
          <w:color w:val="000000"/>
          <w:kern w:val="0"/>
          <w:sz w:val="24"/>
        </w:rPr>
        <w:t>月</w:t>
      </w:r>
      <w:r>
        <w:rPr>
          <w:color w:val="000000"/>
          <w:kern w:val="0"/>
          <w:sz w:val="24"/>
        </w:rPr>
        <w:t>26</w:t>
      </w:r>
      <w:r>
        <w:rPr>
          <w:color w:val="000000"/>
          <w:kern w:val="0"/>
          <w:sz w:val="24"/>
        </w:rPr>
        <w:t>日公告，全资子公司景德镇大鹏水务有限公司近日收到景德镇市昌江区环境保护局出具的《行政处罚决定书》昌环罚〔</w:t>
      </w:r>
      <w:r>
        <w:rPr>
          <w:color w:val="000000"/>
          <w:kern w:val="0"/>
          <w:sz w:val="24"/>
        </w:rPr>
        <w:t>2018</w:t>
      </w:r>
      <w:r>
        <w:rPr>
          <w:color w:val="000000"/>
          <w:kern w:val="0"/>
          <w:sz w:val="24"/>
        </w:rPr>
        <w:t>〕</w:t>
      </w:r>
      <w:r>
        <w:rPr>
          <w:color w:val="000000"/>
          <w:kern w:val="0"/>
          <w:sz w:val="24"/>
        </w:rPr>
        <w:t>G-25</w:t>
      </w:r>
      <w:r>
        <w:rPr>
          <w:color w:val="000000"/>
          <w:kern w:val="0"/>
          <w:sz w:val="24"/>
        </w:rPr>
        <w:t>号，景德镇市昌江区环境保护局于</w:t>
      </w:r>
      <w:r>
        <w:rPr>
          <w:color w:val="000000"/>
          <w:kern w:val="0"/>
          <w:sz w:val="24"/>
        </w:rPr>
        <w:t>2018</w:t>
      </w:r>
      <w:r>
        <w:rPr>
          <w:color w:val="000000"/>
          <w:kern w:val="0"/>
          <w:sz w:val="24"/>
        </w:rPr>
        <w:t>年</w:t>
      </w:r>
      <w:r>
        <w:rPr>
          <w:color w:val="000000"/>
          <w:kern w:val="0"/>
          <w:sz w:val="24"/>
        </w:rPr>
        <w:t>8</w:t>
      </w:r>
      <w:r>
        <w:rPr>
          <w:color w:val="000000"/>
          <w:kern w:val="0"/>
          <w:sz w:val="24"/>
        </w:rPr>
        <w:t>月</w:t>
      </w:r>
      <w:r>
        <w:rPr>
          <w:color w:val="000000"/>
          <w:kern w:val="0"/>
          <w:sz w:val="24"/>
        </w:rPr>
        <w:t>9</w:t>
      </w:r>
      <w:r>
        <w:rPr>
          <w:color w:val="000000"/>
          <w:kern w:val="0"/>
          <w:sz w:val="24"/>
        </w:rPr>
        <w:t>日对大鹏水务进行了调查，发现大鹏水务存在配套建设的环境保护设施未经验收即投入生产、使用的行为。依据《建设项目环境保护管理条例》第二十三条的规定，昌江区环保局于</w:t>
      </w:r>
      <w:r>
        <w:rPr>
          <w:color w:val="000000"/>
          <w:kern w:val="0"/>
          <w:sz w:val="24"/>
        </w:rPr>
        <w:t>2018</w:t>
      </w:r>
      <w:r>
        <w:rPr>
          <w:color w:val="000000"/>
          <w:kern w:val="0"/>
          <w:sz w:val="24"/>
        </w:rPr>
        <w:t>年</w:t>
      </w:r>
      <w:r>
        <w:rPr>
          <w:color w:val="000000"/>
          <w:kern w:val="0"/>
          <w:sz w:val="24"/>
        </w:rPr>
        <w:t>9</w:t>
      </w:r>
      <w:r>
        <w:rPr>
          <w:color w:val="000000"/>
          <w:kern w:val="0"/>
          <w:sz w:val="24"/>
        </w:rPr>
        <w:t>月</w:t>
      </w:r>
      <w:r>
        <w:rPr>
          <w:color w:val="000000"/>
          <w:kern w:val="0"/>
          <w:sz w:val="24"/>
        </w:rPr>
        <w:t>14</w:t>
      </w:r>
      <w:r>
        <w:rPr>
          <w:color w:val="000000"/>
          <w:kern w:val="0"/>
          <w:sz w:val="24"/>
        </w:rPr>
        <w:t>日决定对大鹏水务处以如下行政处罚：</w:t>
      </w:r>
      <w:r>
        <w:rPr>
          <w:color w:val="000000"/>
          <w:kern w:val="0"/>
          <w:sz w:val="24"/>
        </w:rPr>
        <w:t>1.</w:t>
      </w:r>
      <w:r>
        <w:rPr>
          <w:color w:val="000000"/>
          <w:kern w:val="0"/>
          <w:sz w:val="24"/>
        </w:rPr>
        <w:t>立即改正违法行为；</w:t>
      </w:r>
      <w:r>
        <w:rPr>
          <w:color w:val="000000"/>
          <w:kern w:val="0"/>
          <w:sz w:val="24"/>
        </w:rPr>
        <w:t>2.</w:t>
      </w:r>
      <w:r>
        <w:rPr>
          <w:color w:val="000000"/>
          <w:kern w:val="0"/>
          <w:sz w:val="24"/>
        </w:rPr>
        <w:t>罚款捌拾万元。公司于</w:t>
      </w:r>
      <w:r>
        <w:rPr>
          <w:color w:val="000000"/>
          <w:kern w:val="0"/>
          <w:sz w:val="24"/>
        </w:rPr>
        <w:t>2018</w:t>
      </w:r>
      <w:r>
        <w:rPr>
          <w:color w:val="000000"/>
          <w:kern w:val="0"/>
          <w:sz w:val="24"/>
        </w:rPr>
        <w:t>年</w:t>
      </w:r>
      <w:r>
        <w:rPr>
          <w:color w:val="000000"/>
          <w:kern w:val="0"/>
          <w:sz w:val="24"/>
        </w:rPr>
        <w:t>12</w:t>
      </w:r>
      <w:r>
        <w:rPr>
          <w:color w:val="000000"/>
          <w:kern w:val="0"/>
          <w:sz w:val="24"/>
        </w:rPr>
        <w:t>月</w:t>
      </w:r>
      <w:r>
        <w:rPr>
          <w:color w:val="000000"/>
          <w:kern w:val="0"/>
          <w:sz w:val="24"/>
        </w:rPr>
        <w:t>24</w:t>
      </w:r>
      <w:r>
        <w:rPr>
          <w:color w:val="000000"/>
          <w:kern w:val="0"/>
          <w:sz w:val="24"/>
        </w:rPr>
        <w:t>日公告，孙公司吉林省鹏鹞生物科技有限公司近日收到农安县环境保护局出具的《行政处罚决定书》（农环罚字</w:t>
      </w:r>
      <w:r>
        <w:rPr>
          <w:color w:val="000000"/>
          <w:kern w:val="0"/>
          <w:sz w:val="24"/>
        </w:rPr>
        <w:t>[2018]001</w:t>
      </w:r>
      <w:r>
        <w:rPr>
          <w:color w:val="000000"/>
          <w:kern w:val="0"/>
          <w:sz w:val="24"/>
        </w:rPr>
        <w:t>号），农安县环境保护局于</w:t>
      </w:r>
      <w:r>
        <w:rPr>
          <w:color w:val="000000"/>
          <w:kern w:val="0"/>
          <w:sz w:val="24"/>
        </w:rPr>
        <w:t>2018</w:t>
      </w:r>
      <w:r>
        <w:rPr>
          <w:color w:val="000000"/>
          <w:kern w:val="0"/>
          <w:sz w:val="24"/>
        </w:rPr>
        <w:t>年</w:t>
      </w:r>
      <w:r>
        <w:rPr>
          <w:color w:val="000000"/>
          <w:kern w:val="0"/>
          <w:sz w:val="24"/>
        </w:rPr>
        <w:t>10</w:t>
      </w:r>
      <w:r>
        <w:rPr>
          <w:color w:val="000000"/>
          <w:kern w:val="0"/>
          <w:sz w:val="24"/>
        </w:rPr>
        <w:t>月</w:t>
      </w:r>
      <w:r>
        <w:rPr>
          <w:color w:val="000000"/>
          <w:kern w:val="0"/>
          <w:sz w:val="24"/>
        </w:rPr>
        <w:t>8</w:t>
      </w:r>
      <w:r>
        <w:rPr>
          <w:color w:val="000000"/>
          <w:kern w:val="0"/>
          <w:sz w:val="24"/>
        </w:rPr>
        <w:t>日对吉林鹏鹞进行了调查，发现吉林鹏鹞生产有机肥项目在未依法报批建设项目环境影响评价文件情况下，存在擅自开工建设的行为。依据《中华人民共和国环境影响评价法》第三十一条第一款和《吉林省环境保护行政处罚自由裁量权细化标准（试行）》的规定，农安县环境保护局对吉林鹏鹞作出罚款人民币壹佰贰拾壹万零柒佰陆拾柒元壹角的行政处罚。</w:t>
      </w:r>
    </w:p>
    <w:p w:rsidR="0047272F" w:rsidRDefault="00FF358D">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7,217.08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1,308.67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1,181,161.84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1,189,687.59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9E3E6C" w:rsidRPr="0036023B" w:rsidRDefault="009E3E6C"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FF358D" w:rsidP="0099526C">
      <w:pPr>
        <w:autoSpaceDE w:val="0"/>
        <w:autoSpaceDN w:val="0"/>
        <w:adjustRightInd w:val="0"/>
        <w:spacing w:before="29" w:line="288" w:lineRule="auto"/>
        <w:jc w:val="left"/>
        <w:rPr>
          <w:rFonts w:hint="eastAsia"/>
          <w:color w:val="000000"/>
          <w:sz w:val="24"/>
        </w:rPr>
      </w:pPr>
      <w:r w:rsidRPr="00FF358D">
        <w:rPr>
          <w:rFonts w:hint="eastAsia"/>
          <w:color w:val="000000"/>
          <w:sz w:val="24"/>
        </w:rPr>
        <w:t>本基金本报告期末未持有积极投资的股票。</w:t>
      </w:r>
      <w:bookmarkStart w:id="0" w:name="_GoBack"/>
      <w:bookmarkEnd w:id="0"/>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175,985,980.77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40,856,049.16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33,546,297.72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183,295,732.21</w:t>
            </w:r>
          </w:p>
        </w:tc>
      </w:tr>
    </w:tbl>
    <w:p w:rsidR="0047272F" w:rsidRDefault="00FF358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E3E6C">
      <w:pPr>
        <w:autoSpaceDE w:val="0"/>
        <w:autoSpaceDN w:val="0"/>
        <w:adjustRightInd w:val="0"/>
        <w:spacing w:before="29" w:line="288" w:lineRule="auto"/>
        <w:ind w:firstLineChars="200" w:firstLine="480"/>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41.49</w:t>
            </w:r>
          </w:p>
        </w:tc>
      </w:tr>
    </w:tbl>
    <w:p w:rsidR="0047272F" w:rsidRDefault="00FF35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CE2DC0" w:rsidRDefault="00FC2DA1" w:rsidP="009E3E6C">
      <w:pPr>
        <w:autoSpaceDE w:val="0"/>
        <w:autoSpaceDN w:val="0"/>
        <w:adjustRightInd w:val="0"/>
        <w:spacing w:before="29" w:line="288" w:lineRule="auto"/>
        <w:ind w:firstLineChars="200" w:firstLine="480"/>
        <w:jc w:val="left"/>
        <w:rPr>
          <w:rFonts w:eastAsiaTheme="minorEastAsia"/>
          <w:color w:val="000000"/>
          <w:sz w:val="24"/>
        </w:rPr>
      </w:pPr>
      <w:r w:rsidRPr="00306E46">
        <w:rPr>
          <w:rFonts w:eastAsiaTheme="minorEastAsia"/>
          <w:color w:val="000000"/>
          <w:sz w:val="24"/>
        </w:rPr>
        <w:t>2</w:t>
      </w:r>
      <w:r w:rsidRPr="00306E46">
        <w:rPr>
          <w:rFonts w:eastAsiaTheme="minorEastAsia"/>
          <w:color w:val="000000"/>
          <w:sz w:val="24"/>
        </w:rPr>
        <w:t>、如果本报告期间发生转换出业务，则总赎回份额中包含该业务。</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7272F">
        <w:tc>
          <w:tcPr>
            <w:tcW w:w="992" w:type="dxa"/>
            <w:vMerge w:val="restart"/>
          </w:tcPr>
          <w:p w:rsidR="0047272F" w:rsidRDefault="0047272F"/>
          <w:p w:rsidR="0047272F" w:rsidRDefault="00FF358D">
            <w:r>
              <w:rPr>
                <w:rFonts w:ascii="宋体" w:hAnsi="宋体" w:hint="eastAsia"/>
                <w:bCs/>
                <w:color w:val="000000"/>
                <w:kern w:val="0"/>
                <w:szCs w:val="21"/>
              </w:rPr>
              <w:t>机构</w:t>
            </w:r>
          </w:p>
        </w:tc>
        <w:tc>
          <w:tcPr>
            <w:tcW w:w="991" w:type="dxa"/>
            <w:vAlign w:val="center"/>
          </w:tcPr>
          <w:p w:rsidR="0047272F" w:rsidRDefault="00FF358D">
            <w:pPr>
              <w:jc w:val="center"/>
            </w:pPr>
            <w:r>
              <w:rPr>
                <w:rFonts w:ascii="宋体" w:hAnsi="宋体" w:hint="eastAsia"/>
                <w:color w:val="000000"/>
                <w:kern w:val="0"/>
                <w:szCs w:val="21"/>
              </w:rPr>
              <w:t>1</w:t>
            </w:r>
          </w:p>
        </w:tc>
        <w:tc>
          <w:tcPr>
            <w:tcW w:w="1843" w:type="dxa"/>
            <w:vAlign w:val="center"/>
          </w:tcPr>
          <w:p w:rsidR="0047272F" w:rsidRDefault="00FF358D">
            <w:pPr>
              <w:jc w:val="center"/>
            </w:pPr>
            <w:r>
              <w:rPr>
                <w:rFonts w:ascii="宋体" w:hAnsi="宋体" w:hint="eastAsia"/>
                <w:color w:val="000000"/>
                <w:kern w:val="0"/>
                <w:szCs w:val="21"/>
              </w:rPr>
              <w:t>2019/4/1-2019/6/30</w:t>
            </w:r>
          </w:p>
        </w:tc>
        <w:tc>
          <w:tcPr>
            <w:tcW w:w="851" w:type="dxa"/>
            <w:vAlign w:val="center"/>
          </w:tcPr>
          <w:p w:rsidR="0047272F" w:rsidRDefault="00FF358D">
            <w:pPr>
              <w:jc w:val="center"/>
            </w:pPr>
            <w:r>
              <w:rPr>
                <w:rFonts w:ascii="宋体" w:hAnsi="宋体" w:hint="eastAsia"/>
                <w:color w:val="000000"/>
                <w:kern w:val="0"/>
                <w:szCs w:val="21"/>
              </w:rPr>
              <w:t>76,052,590.58</w:t>
            </w:r>
          </w:p>
        </w:tc>
        <w:tc>
          <w:tcPr>
            <w:tcW w:w="850" w:type="dxa"/>
            <w:vAlign w:val="center"/>
          </w:tcPr>
          <w:p w:rsidR="0047272F" w:rsidRDefault="00FF358D">
            <w:pPr>
              <w:jc w:val="center"/>
            </w:pPr>
            <w:r>
              <w:rPr>
                <w:rFonts w:ascii="宋体" w:hAnsi="宋体" w:hint="eastAsia"/>
                <w:color w:val="000000"/>
                <w:kern w:val="0"/>
                <w:szCs w:val="21"/>
              </w:rPr>
              <w:t>-</w:t>
            </w:r>
          </w:p>
        </w:tc>
        <w:tc>
          <w:tcPr>
            <w:tcW w:w="1134" w:type="dxa"/>
            <w:vAlign w:val="center"/>
          </w:tcPr>
          <w:p w:rsidR="0047272F" w:rsidRDefault="00FF358D">
            <w:pPr>
              <w:jc w:val="center"/>
            </w:pPr>
            <w:r>
              <w:rPr>
                <w:rFonts w:ascii="宋体" w:hAnsi="宋体" w:hint="eastAsia"/>
                <w:color w:val="000000"/>
                <w:kern w:val="0"/>
                <w:szCs w:val="21"/>
              </w:rPr>
              <w:t>-</w:t>
            </w:r>
          </w:p>
        </w:tc>
        <w:tc>
          <w:tcPr>
            <w:tcW w:w="1419" w:type="dxa"/>
            <w:vAlign w:val="center"/>
          </w:tcPr>
          <w:p w:rsidR="0047272F" w:rsidRDefault="00FF358D">
            <w:pPr>
              <w:jc w:val="center"/>
            </w:pPr>
            <w:r>
              <w:rPr>
                <w:rFonts w:ascii="宋体" w:hAnsi="宋体" w:hint="eastAsia"/>
                <w:color w:val="000000"/>
                <w:kern w:val="0"/>
                <w:szCs w:val="21"/>
              </w:rPr>
              <w:t>76,052,590.58</w:t>
            </w:r>
          </w:p>
        </w:tc>
        <w:tc>
          <w:tcPr>
            <w:tcW w:w="1130" w:type="dxa"/>
            <w:vAlign w:val="center"/>
          </w:tcPr>
          <w:p w:rsidR="0047272F" w:rsidRDefault="00FF358D">
            <w:pPr>
              <w:jc w:val="center"/>
            </w:pPr>
            <w:r>
              <w:rPr>
                <w:rFonts w:ascii="宋体" w:hAnsi="宋体" w:hint="eastAsia"/>
                <w:color w:val="000000"/>
                <w:kern w:val="0"/>
                <w:szCs w:val="21"/>
              </w:rPr>
              <w:t>41.49%</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E3E6C" w:rsidRDefault="009E3E6C" w:rsidP="00BF00F0">
      <w:pPr>
        <w:autoSpaceDE w:val="0"/>
        <w:autoSpaceDN w:val="0"/>
        <w:adjustRightInd w:val="0"/>
        <w:spacing w:line="360" w:lineRule="auto"/>
        <w:jc w:val="left"/>
        <w:rPr>
          <w:rFonts w:ascii="宋体" w:hAnsi="宋体"/>
          <w:b/>
          <w:bCs/>
          <w:color w:val="000000"/>
          <w:kern w:val="0"/>
          <w:sz w:val="24"/>
        </w:rPr>
      </w:pP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F00F0" w:rsidRPr="009E3E6C" w:rsidRDefault="00BF00F0" w:rsidP="00BF00F0">
      <w:pPr>
        <w:spacing w:line="360" w:lineRule="auto"/>
        <w:ind w:firstLineChars="200" w:firstLine="480"/>
        <w:rPr>
          <w:rFonts w:ascii="宋体" w:hAnsi="宋体"/>
          <w:color w:val="000000"/>
          <w:sz w:val="24"/>
        </w:rPr>
      </w:pPr>
      <w:r w:rsidRPr="009E3E6C">
        <w:rPr>
          <w:rFonts w:ascii="宋体" w:hAnsi="宋体" w:hint="eastAsia"/>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5A17" w:rsidRPr="0036023B" w:rsidRDefault="00BF5A17" w:rsidP="0099526C">
      <w:pPr>
        <w:spacing w:before="29" w:line="288" w:lineRule="auto"/>
        <w:ind w:firstLineChars="200" w:firstLine="480"/>
        <w:rPr>
          <w:color w:val="000000"/>
          <w:sz w:val="24"/>
        </w:rPr>
      </w:pPr>
    </w:p>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47272F" w:rsidRDefault="00FF358D">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47272F" w:rsidRDefault="00FF358D">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47272F" w:rsidRDefault="00FF358D">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47272F" w:rsidRDefault="00FF358D">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47272F" w:rsidRDefault="00FF358D">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47272F" w:rsidRDefault="00FF358D">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47272F" w:rsidRDefault="00FF358D">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47272F" w:rsidRDefault="00FF358D">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47272F" w:rsidRDefault="00FF358D">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47272F" w:rsidRDefault="00FF358D">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47272F" w:rsidRDefault="00FF358D">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47272F" w:rsidRDefault="00FF358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05" w:rsidRDefault="00C40805">
      <w:r>
        <w:separator/>
      </w:r>
    </w:p>
  </w:endnote>
  <w:endnote w:type="continuationSeparator" w:id="0">
    <w:p w:rsidR="00C40805" w:rsidRDefault="00C4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4E6E39">
      <w:rPr>
        <w:noProof/>
        <w:kern w:val="0"/>
        <w:szCs w:val="21"/>
      </w:rPr>
      <w:t>11</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4E6E39">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05" w:rsidRDefault="00C40805">
      <w:r>
        <w:separator/>
      </w:r>
    </w:p>
  </w:footnote>
  <w:footnote w:type="continuationSeparator" w:id="0">
    <w:p w:rsidR="00C40805" w:rsidRDefault="00C40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272F"/>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6E39"/>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3E6C"/>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0805"/>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4C46"/>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5357"/>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358D"/>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14</Pages>
  <Words>1303</Words>
  <Characters>7429</Characters>
  <Application>Microsoft Office Word</Application>
  <DocSecurity>0</DocSecurity>
  <Lines>61</Lines>
  <Paragraphs>17</Paragraphs>
  <ScaleCrop>false</ScaleCrop>
  <Company>TRT. Ltd. Co.</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405</cp:revision>
  <cp:lastPrinted>2007-07-19T00:46:00Z</cp:lastPrinted>
  <dcterms:created xsi:type="dcterms:W3CDTF">2012-11-21T04:46:00Z</dcterms:created>
  <dcterms:modified xsi:type="dcterms:W3CDTF">2019-07-15T07:41:00Z</dcterms:modified>
</cp:coreProperties>
</file>