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交银施罗德安心收益债券型证券投资基金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交银安心收益债券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519753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519753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2018年6月2日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50,483,389.23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中债综合全价指数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-409,791.08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-602,762.56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-0.0111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51,661,868.47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1.023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-0.97%</w:t>
            </w:r>
          </w:p>
        </w:tc>
        <w:tc>
          <w:tcPr>
            <w:vAlign w:val="center"/>
          </w:tcPr>
          <w:p>
            <w:pPr>
              <w:jc w:val="center"/>
            </w:pPr>
            <w:r>
              <w:rPr>
                <w:color w:val="000000"/>
                <w:sz w:val="24"/>
                <w:szCs w:val="24"/>
              </w:rPr>
              <w:t>0.17%</w:t>
            </w:r>
          </w:p>
        </w:tc>
        <w:tc>
          <w:tcPr>
            <w:vAlign w:val="center"/>
          </w:tcPr>
          <w:p>
            <w:pPr>
              <w:jc w:val="center"/>
            </w:pPr>
            <w:r>
              <w:rPr>
                <w:color w:val="000000"/>
                <w:sz w:val="24"/>
                <w:szCs w:val="24"/>
              </w:rPr>
              <w:t>-0.23%</w:t>
            </w:r>
          </w:p>
        </w:tc>
        <w:tc>
          <w:tcPr>
            <w:vAlign w:val="center"/>
          </w:tcPr>
          <w:p>
            <w:pPr>
              <w:jc w:val="center"/>
            </w:pPr>
            <w:r>
              <w:rPr>
                <w:color w:val="000000"/>
                <w:sz w:val="24"/>
                <w:szCs w:val="24"/>
              </w:rPr>
              <w:t>0.06%</w:t>
            </w:r>
          </w:p>
        </w:tc>
        <w:tc>
          <w:tcPr>
            <w:vAlign w:val="center"/>
          </w:tcPr>
          <w:p>
            <w:pPr>
              <w:jc w:val="center"/>
            </w:pPr>
            <w:r>
              <w:rPr>
                <w:color w:val="000000"/>
                <w:sz w:val="24"/>
                <w:szCs w:val="24"/>
              </w:rPr>
              <w:t>-0.74%</w:t>
            </w:r>
          </w:p>
        </w:tc>
        <w:tc>
          <w:tcPr>
            <w:vAlign w:val="center"/>
          </w:tcPr>
          <w:p>
            <w:pPr>
              <w:jc w:val="center"/>
            </w:pPr>
            <w:r>
              <w:rPr>
                <w:color w:val="000000"/>
                <w:sz w:val="24"/>
                <w:szCs w:val="24"/>
              </w:rPr>
              <w:t>0.11%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交银施罗德安心收益债券型证券投资基金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2018年6月2日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由交银施罗德荣和保本混合型证券投资基金转型而来。本基金转型日为2018年6月2日。本基金的投资转型期为交银施罗德荣和保本混合型证券投资基金保本周期到期期间截止日的次日（即2018年6月2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交银信用添利债券(LOF)、交银双利债券、交银双轮动债券、交银裕通纯债债券、交银安心收益债券、交银荣鑫灵活配置混合的基金经理</w:t>
            </w:r>
          </w:p>
        </w:tc>
        <w:tc>
          <w:tcPr>
            <w:vAlign w:val="center"/>
          </w:tcPr>
          <w:p>
            <w:pPr>
              <w:jc w:val="center"/>
            </w:pPr>
            <w:r>
              <w:rPr>
                <w:color w:val="000000"/>
                <w:sz w:val="24"/>
                <w:szCs w:val="24"/>
              </w:rPr>
              <w:t>2015-11-07</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市受到经济基本面、海外事件及资金面等多重因素影响。经济预期的反复在前一阶段带来长端收益率的扰动。三月春节错位令市场对于经济的预期高涨，十年活跃国开收益率一度接近3.90%。此后，经济环比数据回落，并伴随着中观行业订单季节性下降，地产销量逐步走低，五月中美贸易争端再起，经济预期进一步回落，十年活跃国开下行至3.75%位置，并在该中枢上下震荡。五月随着季末来临，基金融资相对困难，银行间流动性中性分化，短久期债券收益率上行，信用利差明显走廓。随着跨季资金面的宽松，短端收益率下行，中高等级信用债收益率也出现回落，但中低等级信用债成交依然不多。受经济环比回落，中美贸易争端再度演绎等事件影响，权益市场自四月中下旬震荡下行。行业层面看，部分消费及金融有一定绝对收益，TMT及强周期等板块均有10%以上跌幅。</w:t>
      </w:r>
    </w:p>
    <w:p>
      <w:pPr>
        <w:spacing w:before="29" w:line="288" w:lineRule="auto"/>
        <w:ind w:firstLine="480" w:firstLineChars="200"/>
        <w:rPr>
          <w:color w:val="000000"/>
          <w:sz w:val="24"/>
          <w:szCs w:val="24"/>
        </w:rPr>
      </w:pPr>
      <w:r>
        <w:rPr>
          <w:color w:val="000000"/>
          <w:sz w:val="24"/>
          <w:szCs w:val="24"/>
        </w:rPr>
        <w:t>我们认为，前期权益市场估值偏高，经济环比回落，叠加中美贸易不确定性的加强，债券市场存在结构性配置价值。因此在组合操作中，我们维持中等久期信用底仓仓位，并通过长端利率债波段操作增厚组合债券部分收益。权益方面，组合维持较低仓位，通过自下而上选择成长类品种增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展望2019年三季度，从高频数据看，我们认为经济基本面面临下行压力，因此对于债券市场我们维持中性偏乐观的看法，上行风险来自于中美关系进展好于预期，以及货币政策放松幅度不及预期。组合方面，我们将维持中性久期配置，并通过把握宏观预期的变化进行长债波段操作以赚取超额收益。权益方面，我们将密切关注市场的走势变化，精选景气改善的行业与个股，以期增强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6,568,053.20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10.92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6,568,053.20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10.92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45,112,011.80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75.00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45,112,011.80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75.00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1,212,540.26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7,255,369.13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12.06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60,147,974.39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6,088,106.00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1,927.20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478,020.00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6,568,053.20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12.71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9,600</w:t>
            </w:r>
          </w:p>
        </w:tc>
        <w:tc>
          <w:tcPr>
            <w:vAlign w:val="center"/>
          </w:tcPr>
          <w:p>
            <w:pPr>
              <w:jc w:val="right"/>
            </w:pPr>
            <w:r>
              <w:rPr>
                <w:color w:val="000000"/>
                <w:sz w:val="24"/>
                <w:szCs w:val="24"/>
              </w:rPr>
              <w:t>1,132,320.00</w:t>
            </w:r>
          </w:p>
        </w:tc>
        <w:tc>
          <w:tcPr>
            <w:vAlign w:val="center"/>
          </w:tcPr>
          <w:p>
            <w:pPr>
              <w:jc w:val="right"/>
            </w:pPr>
            <w:r>
              <w:rPr>
                <w:color w:val="000000"/>
                <w:sz w:val="24"/>
                <w:szCs w:val="24"/>
              </w:rPr>
              <w:t>2.19</w:t>
            </w:r>
          </w:p>
        </w:tc>
      </w:tr>
      <w:tr>
        <w:tc>
          <w:tcPr>
            <w:vAlign w:val="center"/>
          </w:tcPr>
          <w:p>
            <w:pPr>
              <w:jc w:val="center"/>
            </w:pPr>
            <w:r>
              <w:rPr>
                <w:color w:val="000000"/>
                <w:sz w:val="24"/>
                <w:szCs w:val="24"/>
              </w:rPr>
              <w:t>2</w:t>
            </w:r>
          </w:p>
        </w:tc>
        <w:tc>
          <w:tcPr>
            <w:vAlign w:val="center"/>
          </w:tcPr>
          <w:p>
            <w:pPr>
              <w:jc w:val="center"/>
            </w:pPr>
            <w:r>
              <w:rPr>
                <w:color w:val="000000"/>
                <w:sz w:val="24"/>
                <w:szCs w:val="24"/>
              </w:rPr>
              <w:t>002414</w:t>
            </w:r>
          </w:p>
        </w:tc>
        <w:tc>
          <w:tcPr>
            <w:vAlign w:val="center"/>
          </w:tcPr>
          <w:p>
            <w:pPr>
              <w:jc w:val="center"/>
            </w:pPr>
            <w:r>
              <w:rPr>
                <w:color w:val="000000"/>
                <w:sz w:val="24"/>
                <w:szCs w:val="24"/>
              </w:rPr>
              <w:t>高德红外</w:t>
            </w:r>
          </w:p>
        </w:tc>
        <w:tc>
          <w:tcPr>
            <w:vAlign w:val="center"/>
          </w:tcPr>
          <w:p>
            <w:pPr>
              <w:jc w:val="right"/>
            </w:pPr>
            <w:r>
              <w:rPr>
                <w:color w:val="000000"/>
                <w:sz w:val="24"/>
                <w:szCs w:val="24"/>
              </w:rPr>
              <w:t>43,400</w:t>
            </w:r>
          </w:p>
        </w:tc>
        <w:tc>
          <w:tcPr>
            <w:vAlign w:val="center"/>
          </w:tcPr>
          <w:p>
            <w:pPr>
              <w:jc w:val="right"/>
            </w:pPr>
            <w:r>
              <w:rPr>
                <w:color w:val="000000"/>
                <w:sz w:val="24"/>
                <w:szCs w:val="24"/>
              </w:rPr>
              <w:t>833,280.00</w:t>
            </w:r>
          </w:p>
        </w:tc>
        <w:tc>
          <w:tcPr>
            <w:vAlign w:val="center"/>
          </w:tcPr>
          <w:p>
            <w:pPr>
              <w:jc w:val="right"/>
            </w:pPr>
            <w:r>
              <w:rPr>
                <w:color w:val="000000"/>
                <w:sz w:val="24"/>
                <w:szCs w:val="24"/>
              </w:rPr>
              <w:t>1.61</w:t>
            </w:r>
          </w:p>
        </w:tc>
      </w:tr>
      <w:tr>
        <w:tc>
          <w:tcPr>
            <w:vAlign w:val="center"/>
          </w:tcPr>
          <w:p>
            <w:pPr>
              <w:jc w:val="center"/>
            </w:pPr>
            <w:r>
              <w:rPr>
                <w:color w:val="000000"/>
                <w:sz w:val="24"/>
                <w:szCs w:val="24"/>
              </w:rPr>
              <w:t>3</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24,900</w:t>
            </w:r>
          </w:p>
        </w:tc>
        <w:tc>
          <w:tcPr>
            <w:vAlign w:val="center"/>
          </w:tcPr>
          <w:p>
            <w:pPr>
              <w:jc w:val="right"/>
            </w:pPr>
            <w:r>
              <w:rPr>
                <w:color w:val="000000"/>
                <w:sz w:val="24"/>
                <w:szCs w:val="24"/>
              </w:rPr>
              <w:t>831,909.00</w:t>
            </w:r>
          </w:p>
        </w:tc>
        <w:tc>
          <w:tcPr>
            <w:vAlign w:val="center"/>
          </w:tcPr>
          <w:p>
            <w:pPr>
              <w:jc w:val="right"/>
            </w:pPr>
            <w:r>
              <w:rPr>
                <w:color w:val="000000"/>
                <w:sz w:val="24"/>
                <w:szCs w:val="24"/>
              </w:rPr>
              <w:t>1.61</w:t>
            </w:r>
          </w:p>
        </w:tc>
      </w:tr>
      <w:tr>
        <w:tc>
          <w:tcPr>
            <w:vAlign w:val="center"/>
          </w:tcPr>
          <w:p>
            <w:pPr>
              <w:jc w:val="center"/>
            </w:pPr>
            <w:r>
              <w:rPr>
                <w:color w:val="000000"/>
                <w:sz w:val="24"/>
                <w:szCs w:val="24"/>
              </w:rPr>
              <w:t>4</w:t>
            </w:r>
          </w:p>
        </w:tc>
        <w:tc>
          <w:tcPr>
            <w:vAlign w:val="center"/>
          </w:tcPr>
          <w:p>
            <w:pPr>
              <w:jc w:val="center"/>
            </w:pPr>
            <w:r>
              <w:rPr>
                <w:color w:val="000000"/>
                <w:sz w:val="24"/>
                <w:szCs w:val="24"/>
              </w:rPr>
              <w:t>002821</w:t>
            </w:r>
          </w:p>
        </w:tc>
        <w:tc>
          <w:tcPr>
            <w:vAlign w:val="center"/>
          </w:tcPr>
          <w:p>
            <w:pPr>
              <w:jc w:val="center"/>
            </w:pPr>
            <w:r>
              <w:rPr>
                <w:color w:val="000000"/>
                <w:sz w:val="24"/>
                <w:szCs w:val="24"/>
              </w:rPr>
              <w:t>凯莱英</w:t>
            </w:r>
          </w:p>
        </w:tc>
        <w:tc>
          <w:tcPr>
            <w:vAlign w:val="center"/>
          </w:tcPr>
          <w:p>
            <w:pPr>
              <w:jc w:val="right"/>
            </w:pPr>
            <w:r>
              <w:rPr>
                <w:color w:val="000000"/>
                <w:sz w:val="24"/>
                <w:szCs w:val="24"/>
              </w:rPr>
              <w:t>8,100</w:t>
            </w:r>
          </w:p>
        </w:tc>
        <w:tc>
          <w:tcPr>
            <w:vAlign w:val="center"/>
          </w:tcPr>
          <w:p>
            <w:pPr>
              <w:jc w:val="right"/>
            </w:pPr>
            <w:r>
              <w:rPr>
                <w:color w:val="000000"/>
                <w:sz w:val="24"/>
                <w:szCs w:val="24"/>
              </w:rPr>
              <w:t>794,448.00</w:t>
            </w:r>
          </w:p>
        </w:tc>
        <w:tc>
          <w:tcPr>
            <w:vAlign w:val="center"/>
          </w:tcPr>
          <w:p>
            <w:pPr>
              <w:jc w:val="right"/>
            </w:pPr>
            <w:r>
              <w:rPr>
                <w:color w:val="000000"/>
                <w:sz w:val="24"/>
                <w:szCs w:val="24"/>
              </w:rPr>
              <w:t>1.54</w:t>
            </w:r>
          </w:p>
        </w:tc>
      </w:tr>
      <w:tr>
        <w:tc>
          <w:tcPr>
            <w:vAlign w:val="center"/>
          </w:tcPr>
          <w:p>
            <w:pPr>
              <w:jc w:val="center"/>
            </w:pPr>
            <w:r>
              <w:rPr>
                <w:color w:val="000000"/>
                <w:sz w:val="24"/>
                <w:szCs w:val="24"/>
              </w:rPr>
              <w:t>5</w:t>
            </w:r>
          </w:p>
        </w:tc>
        <w:tc>
          <w:tcPr>
            <w:vAlign w:val="center"/>
          </w:tcPr>
          <w:p>
            <w:pPr>
              <w:jc w:val="center"/>
            </w:pPr>
            <w:r>
              <w:rPr>
                <w:color w:val="000000"/>
                <w:sz w:val="24"/>
                <w:szCs w:val="24"/>
              </w:rPr>
              <w:t>000860</w:t>
            </w:r>
          </w:p>
        </w:tc>
        <w:tc>
          <w:tcPr>
            <w:vAlign w:val="center"/>
          </w:tcPr>
          <w:p>
            <w:pPr>
              <w:jc w:val="center"/>
            </w:pPr>
            <w:r>
              <w:rPr>
                <w:color w:val="000000"/>
                <w:sz w:val="24"/>
                <w:szCs w:val="24"/>
              </w:rPr>
              <w:t>顺鑫农业</w:t>
            </w:r>
          </w:p>
        </w:tc>
        <w:tc>
          <w:tcPr>
            <w:vAlign w:val="center"/>
          </w:tcPr>
          <w:p>
            <w:pPr>
              <w:jc w:val="right"/>
            </w:pPr>
            <w:r>
              <w:rPr>
                <w:color w:val="000000"/>
                <w:sz w:val="24"/>
                <w:szCs w:val="24"/>
              </w:rPr>
              <w:t>16,400</w:t>
            </w:r>
          </w:p>
        </w:tc>
        <w:tc>
          <w:tcPr>
            <w:vAlign w:val="center"/>
          </w:tcPr>
          <w:p>
            <w:pPr>
              <w:jc w:val="right"/>
            </w:pPr>
            <w:r>
              <w:rPr>
                <w:color w:val="000000"/>
                <w:sz w:val="24"/>
                <w:szCs w:val="24"/>
              </w:rPr>
              <w:t>765,060.00</w:t>
            </w:r>
          </w:p>
        </w:tc>
        <w:tc>
          <w:tcPr>
            <w:vAlign w:val="center"/>
          </w:tcPr>
          <w:p>
            <w:pPr>
              <w:jc w:val="right"/>
            </w:pPr>
            <w:r>
              <w:rPr>
                <w:color w:val="000000"/>
                <w:sz w:val="24"/>
                <w:szCs w:val="24"/>
              </w:rPr>
              <w:t>1.48</w:t>
            </w:r>
          </w:p>
        </w:tc>
      </w:tr>
      <w:tr>
        <w:tc>
          <w:tcPr>
            <w:vAlign w:val="center"/>
          </w:tcPr>
          <w:p>
            <w:pPr>
              <w:jc w:val="center"/>
            </w:pPr>
            <w:r>
              <w:rPr>
                <w:color w:val="000000"/>
                <w:sz w:val="24"/>
                <w:szCs w:val="24"/>
              </w:rPr>
              <w:t>6</w:t>
            </w:r>
          </w:p>
        </w:tc>
        <w:tc>
          <w:tcPr>
            <w:vAlign w:val="center"/>
          </w:tcPr>
          <w:p>
            <w:pPr>
              <w:jc w:val="center"/>
            </w:pPr>
            <w:r>
              <w:rPr>
                <w:color w:val="000000"/>
                <w:sz w:val="24"/>
                <w:szCs w:val="24"/>
              </w:rPr>
              <w:t>603508</w:t>
            </w:r>
          </w:p>
        </w:tc>
        <w:tc>
          <w:tcPr>
            <w:vAlign w:val="center"/>
          </w:tcPr>
          <w:p>
            <w:pPr>
              <w:jc w:val="center"/>
            </w:pPr>
            <w:r>
              <w:rPr>
                <w:color w:val="000000"/>
                <w:sz w:val="24"/>
                <w:szCs w:val="24"/>
              </w:rPr>
              <w:t>思维列控</w:t>
            </w:r>
          </w:p>
        </w:tc>
        <w:tc>
          <w:tcPr>
            <w:vAlign w:val="center"/>
          </w:tcPr>
          <w:p>
            <w:pPr>
              <w:jc w:val="right"/>
            </w:pPr>
            <w:r>
              <w:rPr>
                <w:color w:val="000000"/>
                <w:sz w:val="24"/>
                <w:szCs w:val="24"/>
              </w:rPr>
              <w:t>9,900</w:t>
            </w:r>
          </w:p>
        </w:tc>
        <w:tc>
          <w:tcPr>
            <w:vAlign w:val="center"/>
          </w:tcPr>
          <w:p>
            <w:pPr>
              <w:jc w:val="right"/>
            </w:pPr>
            <w:r>
              <w:rPr>
                <w:color w:val="000000"/>
                <w:sz w:val="24"/>
                <w:szCs w:val="24"/>
              </w:rPr>
              <w:t>644,292.00</w:t>
            </w:r>
          </w:p>
        </w:tc>
        <w:tc>
          <w:tcPr>
            <w:vAlign w:val="center"/>
          </w:tcPr>
          <w:p>
            <w:pPr>
              <w:jc w:val="right"/>
            </w:pPr>
            <w:r>
              <w:rPr>
                <w:color w:val="000000"/>
                <w:sz w:val="24"/>
                <w:szCs w:val="24"/>
              </w:rPr>
              <w:t>1.25</w:t>
            </w:r>
          </w:p>
        </w:tc>
      </w:tr>
      <w:tr>
        <w:tc>
          <w:tcPr>
            <w:vAlign w:val="center"/>
          </w:tcPr>
          <w:p>
            <w:pPr>
              <w:jc w:val="center"/>
            </w:pPr>
            <w:r>
              <w:rPr>
                <w:color w:val="000000"/>
                <w:sz w:val="24"/>
                <w:szCs w:val="24"/>
              </w:rPr>
              <w:t>7</w:t>
            </w:r>
          </w:p>
        </w:tc>
        <w:tc>
          <w:tcPr>
            <w:vAlign w:val="center"/>
          </w:tcPr>
          <w:p>
            <w:pPr>
              <w:jc w:val="center"/>
            </w:pPr>
            <w:r>
              <w:rPr>
                <w:color w:val="000000"/>
                <w:sz w:val="24"/>
                <w:szCs w:val="24"/>
              </w:rPr>
              <w:t>603027</w:t>
            </w:r>
          </w:p>
        </w:tc>
        <w:tc>
          <w:tcPr>
            <w:vAlign w:val="center"/>
          </w:tcPr>
          <w:p>
            <w:pPr>
              <w:jc w:val="center"/>
            </w:pPr>
            <w:r>
              <w:rPr>
                <w:color w:val="000000"/>
                <w:sz w:val="24"/>
                <w:szCs w:val="24"/>
              </w:rPr>
              <w:t>千禾味业</w:t>
            </w:r>
          </w:p>
        </w:tc>
        <w:tc>
          <w:tcPr>
            <w:vAlign w:val="center"/>
          </w:tcPr>
          <w:p>
            <w:pPr>
              <w:jc w:val="right"/>
            </w:pPr>
            <w:r>
              <w:rPr>
                <w:color w:val="000000"/>
                <w:sz w:val="24"/>
                <w:szCs w:val="24"/>
              </w:rPr>
              <w:t>24,300</w:t>
            </w:r>
          </w:p>
        </w:tc>
        <w:tc>
          <w:tcPr>
            <w:vAlign w:val="center"/>
          </w:tcPr>
          <w:p>
            <w:pPr>
              <w:jc w:val="right"/>
            </w:pPr>
            <w:r>
              <w:rPr>
                <w:color w:val="000000"/>
                <w:sz w:val="24"/>
                <w:szCs w:val="24"/>
              </w:rPr>
              <w:t>580,041.00</w:t>
            </w:r>
          </w:p>
        </w:tc>
        <w:tc>
          <w:tcPr>
            <w:vAlign w:val="center"/>
          </w:tcPr>
          <w:p>
            <w:pPr>
              <w:jc w:val="right"/>
            </w:pPr>
            <w:r>
              <w:rPr>
                <w:color w:val="000000"/>
                <w:sz w:val="24"/>
                <w:szCs w:val="24"/>
              </w:rPr>
              <w:t>1.12</w:t>
            </w:r>
          </w:p>
        </w:tc>
      </w:tr>
      <w:tr>
        <w:tc>
          <w:tcPr>
            <w:vAlign w:val="center"/>
          </w:tcPr>
          <w:p>
            <w:pPr>
              <w:jc w:val="center"/>
            </w:pPr>
            <w:r>
              <w:rPr>
                <w:color w:val="000000"/>
                <w:sz w:val="24"/>
                <w:szCs w:val="24"/>
              </w:rPr>
              <w:t>8</w:t>
            </w:r>
          </w:p>
        </w:tc>
        <w:tc>
          <w:tcPr>
            <w:vAlign w:val="center"/>
          </w:tcPr>
          <w:p>
            <w:pPr>
              <w:jc w:val="center"/>
            </w:pPr>
            <w:r>
              <w:rPr>
                <w:color w:val="000000"/>
                <w:sz w:val="24"/>
                <w:szCs w:val="24"/>
              </w:rPr>
              <w:t>300482</w:t>
            </w:r>
          </w:p>
        </w:tc>
        <w:tc>
          <w:tcPr>
            <w:vAlign w:val="center"/>
          </w:tcPr>
          <w:p>
            <w:pPr>
              <w:jc w:val="center"/>
            </w:pPr>
            <w:r>
              <w:rPr>
                <w:color w:val="000000"/>
                <w:sz w:val="24"/>
                <w:szCs w:val="24"/>
              </w:rPr>
              <w:t>万孚生物</w:t>
            </w:r>
          </w:p>
        </w:tc>
        <w:tc>
          <w:tcPr>
            <w:vAlign w:val="center"/>
          </w:tcPr>
          <w:p>
            <w:pPr>
              <w:jc w:val="right"/>
            </w:pPr>
            <w:r>
              <w:rPr>
                <w:color w:val="000000"/>
                <w:sz w:val="24"/>
                <w:szCs w:val="24"/>
              </w:rPr>
              <w:t>13,300</w:t>
            </w:r>
          </w:p>
        </w:tc>
        <w:tc>
          <w:tcPr>
            <w:vAlign w:val="center"/>
          </w:tcPr>
          <w:p>
            <w:pPr>
              <w:jc w:val="right"/>
            </w:pPr>
            <w:r>
              <w:rPr>
                <w:color w:val="000000"/>
                <w:sz w:val="24"/>
                <w:szCs w:val="24"/>
              </w:rPr>
              <w:t>501,410.00</w:t>
            </w:r>
          </w:p>
        </w:tc>
        <w:tc>
          <w:tcPr>
            <w:vAlign w:val="center"/>
          </w:tcPr>
          <w:p>
            <w:pPr>
              <w:jc w:val="right"/>
            </w:pPr>
            <w:r>
              <w:rPr>
                <w:color w:val="000000"/>
                <w:sz w:val="24"/>
                <w:szCs w:val="24"/>
              </w:rPr>
              <w:t>0.97</w:t>
            </w:r>
          </w:p>
        </w:tc>
      </w:tr>
      <w:tr>
        <w:tc>
          <w:tcPr>
            <w:vAlign w:val="center"/>
          </w:tcPr>
          <w:p>
            <w:pPr>
              <w:jc w:val="center"/>
            </w:pPr>
            <w:r>
              <w:rPr>
                <w:color w:val="000000"/>
                <w:sz w:val="24"/>
                <w:szCs w:val="24"/>
              </w:rPr>
              <w:t>9</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6,200</w:t>
            </w:r>
          </w:p>
        </w:tc>
        <w:tc>
          <w:tcPr>
            <w:vAlign w:val="center"/>
          </w:tcPr>
          <w:p>
            <w:pPr>
              <w:jc w:val="right"/>
            </w:pPr>
            <w:r>
              <w:rPr>
                <w:color w:val="000000"/>
                <w:sz w:val="24"/>
                <w:szCs w:val="24"/>
              </w:rPr>
              <w:t>478,020.00</w:t>
            </w:r>
          </w:p>
        </w:tc>
        <w:tc>
          <w:tcPr>
            <w:vAlign w:val="center"/>
          </w:tcPr>
          <w:p>
            <w:pPr>
              <w:jc w:val="right"/>
            </w:pPr>
            <w:r>
              <w:rPr>
                <w:color w:val="000000"/>
                <w:sz w:val="24"/>
                <w:szCs w:val="24"/>
              </w:rPr>
              <w:t>0.93</w:t>
            </w:r>
          </w:p>
        </w:tc>
      </w:tr>
      <w:tr>
        <w:tc>
          <w:tcPr>
            <w:vAlign w:val="center"/>
          </w:tcPr>
          <w:p>
            <w:pPr>
              <w:jc w:val="center"/>
            </w:pPr>
            <w:r>
              <w:rPr>
                <w:color w:val="000000"/>
                <w:sz w:val="24"/>
                <w:szCs w:val="24"/>
              </w:rPr>
              <w:t>10</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81</w:t>
            </w:r>
          </w:p>
        </w:tc>
        <w:tc>
          <w:tcPr>
            <w:vAlign w:val="center"/>
          </w:tcPr>
          <w:p>
            <w:pPr>
              <w:jc w:val="right"/>
            </w:pPr>
            <w:r>
              <w:rPr>
                <w:color w:val="000000"/>
                <w:sz w:val="24"/>
                <w:szCs w:val="24"/>
              </w:rPr>
              <w:t>5,346.00</w:t>
            </w:r>
          </w:p>
        </w:tc>
        <w:tc>
          <w:tcPr>
            <w:vAlign w:val="center"/>
          </w:tcPr>
          <w:p>
            <w:pPr>
              <w:jc w:val="right"/>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7,075,033.20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13.69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36,088,909.80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69.86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36,088,909.80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69.86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1,948,068.80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3.77</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45,112,011.80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87.32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170209</w:t>
            </w:r>
          </w:p>
        </w:tc>
        <w:tc>
          <w:tcPr>
            <w:vAlign w:val="center"/>
          </w:tcPr>
          <w:p>
            <w:pPr>
              <w:jc w:val="center"/>
            </w:pPr>
            <w:r>
              <w:rPr>
                <w:color w:val="000000"/>
                <w:sz w:val="24"/>
                <w:szCs w:val="24"/>
              </w:rPr>
              <w:t>17国开09</w:t>
            </w:r>
          </w:p>
        </w:tc>
        <w:tc>
          <w:tcPr>
            <w:vAlign w:val="center"/>
          </w:tcPr>
          <w:p>
            <w:pPr>
              <w:jc w:val="right"/>
            </w:pPr>
            <w:r>
              <w:rPr>
                <w:color w:val="000000"/>
                <w:sz w:val="24"/>
                <w:szCs w:val="24"/>
              </w:rPr>
              <w:t>100,000</w:t>
            </w:r>
          </w:p>
        </w:tc>
        <w:tc>
          <w:tcPr>
            <w:vAlign w:val="center"/>
          </w:tcPr>
          <w:p>
            <w:pPr>
              <w:jc w:val="right"/>
            </w:pPr>
            <w:r>
              <w:rPr>
                <w:color w:val="000000"/>
                <w:sz w:val="24"/>
                <w:szCs w:val="24"/>
              </w:rPr>
              <w:t>10,140,000.00</w:t>
            </w:r>
          </w:p>
        </w:tc>
        <w:tc>
          <w:tcPr>
            <w:vAlign w:val="center"/>
          </w:tcPr>
          <w:p>
            <w:pPr>
              <w:jc w:val="right"/>
            </w:pPr>
            <w:r>
              <w:rPr>
                <w:color w:val="000000"/>
                <w:sz w:val="24"/>
                <w:szCs w:val="24"/>
              </w:rPr>
              <w:t>19.63</w:t>
            </w:r>
          </w:p>
        </w:tc>
      </w:tr>
      <w:tr>
        <w:tc>
          <w:tcPr>
            <w:vAlign w:val="center"/>
          </w:tcPr>
          <w:p>
            <w:pPr>
              <w:jc w:val="center"/>
            </w:pPr>
            <w:r>
              <w:rPr>
                <w:color w:val="000000"/>
                <w:sz w:val="24"/>
                <w:szCs w:val="24"/>
              </w:rPr>
              <w:t>2</w:t>
            </w:r>
          </w:p>
        </w:tc>
        <w:tc>
          <w:tcPr>
            <w:vAlign w:val="center"/>
          </w:tcPr>
          <w:p>
            <w:pPr>
              <w:jc w:val="center"/>
            </w:pPr>
            <w:r>
              <w:rPr>
                <w:color w:val="000000"/>
                <w:sz w:val="24"/>
                <w:szCs w:val="24"/>
              </w:rPr>
              <w:t>108602</w:t>
            </w:r>
          </w:p>
        </w:tc>
        <w:tc>
          <w:tcPr>
            <w:vAlign w:val="center"/>
          </w:tcPr>
          <w:p>
            <w:pPr>
              <w:jc w:val="center"/>
            </w:pPr>
            <w:r>
              <w:rPr>
                <w:color w:val="000000"/>
                <w:sz w:val="24"/>
                <w:szCs w:val="24"/>
              </w:rPr>
              <w:t>国开1704</w:t>
            </w:r>
          </w:p>
        </w:tc>
        <w:tc>
          <w:tcPr>
            <w:vAlign w:val="center"/>
          </w:tcPr>
          <w:p>
            <w:pPr>
              <w:jc w:val="right"/>
            </w:pPr>
            <w:r>
              <w:rPr>
                <w:color w:val="000000"/>
                <w:sz w:val="24"/>
                <w:szCs w:val="24"/>
              </w:rPr>
              <w:t>87,790</w:t>
            </w:r>
          </w:p>
        </w:tc>
        <w:tc>
          <w:tcPr>
            <w:vAlign w:val="center"/>
          </w:tcPr>
          <w:p>
            <w:pPr>
              <w:jc w:val="right"/>
            </w:pPr>
            <w:r>
              <w:rPr>
                <w:color w:val="000000"/>
                <w:sz w:val="24"/>
                <w:szCs w:val="24"/>
              </w:rPr>
              <w:t>8,867,667.90</w:t>
            </w:r>
          </w:p>
        </w:tc>
        <w:tc>
          <w:tcPr>
            <w:vAlign w:val="center"/>
          </w:tcPr>
          <w:p>
            <w:pPr>
              <w:jc w:val="right"/>
            </w:pPr>
            <w:r>
              <w:rPr>
                <w:color w:val="000000"/>
                <w:sz w:val="24"/>
                <w:szCs w:val="24"/>
              </w:rPr>
              <w:t>17.16</w:t>
            </w:r>
          </w:p>
        </w:tc>
      </w:tr>
      <w:tr>
        <w:tc>
          <w:tcPr>
            <w:vAlign w:val="center"/>
          </w:tcPr>
          <w:p>
            <w:pPr>
              <w:jc w:val="center"/>
            </w:pPr>
            <w:r>
              <w:rPr>
                <w:color w:val="000000"/>
                <w:sz w:val="24"/>
                <w:szCs w:val="24"/>
              </w:rPr>
              <w:t>3</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68,970</w:t>
            </w:r>
          </w:p>
        </w:tc>
        <w:tc>
          <w:tcPr>
            <w:vAlign w:val="center"/>
          </w:tcPr>
          <w:p>
            <w:pPr>
              <w:jc w:val="right"/>
            </w:pPr>
            <w:r>
              <w:rPr>
                <w:color w:val="000000"/>
                <w:sz w:val="24"/>
                <w:szCs w:val="24"/>
              </w:rPr>
              <w:t>6,957,003.90</w:t>
            </w:r>
          </w:p>
        </w:tc>
        <w:tc>
          <w:tcPr>
            <w:vAlign w:val="center"/>
          </w:tcPr>
          <w:p>
            <w:pPr>
              <w:jc w:val="right"/>
            </w:pPr>
            <w:r>
              <w:rPr>
                <w:color w:val="000000"/>
                <w:sz w:val="24"/>
                <w:szCs w:val="24"/>
              </w:rPr>
              <w:t>13.47</w:t>
            </w:r>
          </w:p>
        </w:tc>
      </w:tr>
      <w:tr>
        <w:tc>
          <w:tcPr>
            <w:vAlign w:val="center"/>
          </w:tcPr>
          <w:p>
            <w:pPr>
              <w:jc w:val="center"/>
            </w:pPr>
            <w:r>
              <w:rPr>
                <w:color w:val="000000"/>
                <w:sz w:val="24"/>
                <w:szCs w:val="24"/>
              </w:rPr>
              <w:t>4</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38,150</w:t>
            </w:r>
          </w:p>
        </w:tc>
        <w:tc>
          <w:tcPr>
            <w:vAlign w:val="center"/>
          </w:tcPr>
          <w:p>
            <w:pPr>
              <w:jc w:val="right"/>
            </w:pPr>
            <w:r>
              <w:rPr>
                <w:color w:val="000000"/>
                <w:sz w:val="24"/>
                <w:szCs w:val="24"/>
              </w:rPr>
              <w:t>3,895,115.00</w:t>
            </w:r>
          </w:p>
        </w:tc>
        <w:tc>
          <w:tcPr>
            <w:vAlign w:val="center"/>
          </w:tcPr>
          <w:p>
            <w:pPr>
              <w:jc w:val="right"/>
            </w:pPr>
            <w:r>
              <w:rPr>
                <w:color w:val="000000"/>
                <w:sz w:val="24"/>
                <w:szCs w:val="24"/>
              </w:rPr>
              <w:t>7.54</w:t>
            </w:r>
          </w:p>
        </w:tc>
      </w:tr>
      <w:tr>
        <w:tc>
          <w:tcPr>
            <w:vAlign w:val="center"/>
          </w:tcPr>
          <w:p>
            <w:pPr>
              <w:jc w:val="center"/>
            </w:pPr>
            <w:r>
              <w:rPr>
                <w:color w:val="000000"/>
                <w:sz w:val="24"/>
                <w:szCs w:val="24"/>
              </w:rPr>
              <w:t>5</w:t>
            </w:r>
          </w:p>
        </w:tc>
        <w:tc>
          <w:tcPr>
            <w:vAlign w:val="center"/>
          </w:tcPr>
          <w:p>
            <w:pPr>
              <w:jc w:val="center"/>
            </w:pPr>
            <w:r>
              <w:rPr>
                <w:color w:val="000000"/>
                <w:sz w:val="24"/>
                <w:szCs w:val="24"/>
              </w:rPr>
              <w:t>019547</w:t>
            </w:r>
          </w:p>
        </w:tc>
        <w:tc>
          <w:tcPr>
            <w:vAlign w:val="center"/>
          </w:tcPr>
          <w:p>
            <w:pPr>
              <w:jc w:val="center"/>
            </w:pPr>
            <w:r>
              <w:rPr>
                <w:color w:val="000000"/>
                <w:sz w:val="24"/>
                <w:szCs w:val="24"/>
              </w:rPr>
              <w:t>16国债19</w:t>
            </w:r>
          </w:p>
        </w:tc>
        <w:tc>
          <w:tcPr>
            <w:vAlign w:val="center"/>
          </w:tcPr>
          <w:p>
            <w:pPr>
              <w:jc w:val="right"/>
            </w:pPr>
            <w:r>
              <w:rPr>
                <w:color w:val="000000"/>
                <w:sz w:val="24"/>
                <w:szCs w:val="24"/>
              </w:rPr>
              <w:t>40,000</w:t>
            </w:r>
          </w:p>
        </w:tc>
        <w:tc>
          <w:tcPr>
            <w:vAlign w:val="center"/>
          </w:tcPr>
          <w:p>
            <w:pPr>
              <w:jc w:val="right"/>
            </w:pPr>
            <w:r>
              <w:rPr>
                <w:color w:val="000000"/>
                <w:sz w:val="24"/>
                <w:szCs w:val="24"/>
              </w:rPr>
              <w:t>3,666,400.00</w:t>
            </w:r>
          </w:p>
        </w:tc>
        <w:tc>
          <w:tcPr>
            <w:vAlign w:val="center"/>
          </w:tcPr>
          <w:p>
            <w:pPr>
              <w:jc w:val="right"/>
            </w:pPr>
            <w:r>
              <w:rPr>
                <w:color w:val="000000"/>
                <w:sz w:val="24"/>
                <w:szCs w:val="24"/>
              </w:rPr>
              <w:t>7.10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57,518.71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6,269,772.38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927,089.85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988.19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7,255,369.13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proofErr w:type="gramEnd"/>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59,100,884.16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55,786.56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8,673,281.49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50,483,389.23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b/>
          <w:bCs/>
          <w:color w:val="000000"/>
          <w:kern w:val="0"/>
          <w:sz w:val="24"/>
          <w:szCs w:val="24"/>
        </w:rPr>
        <w:t/>
      </w:r>
      <w:proofErr w:type="gramStart"/>
      <w:r w:rsidRPr="009A5C99">
        <w:rPr>
          <w:rFonts w:ascii="宋体" w:hAnsi="宋体"/>
          <w:b/>
          <w:bCs/>
          <w:color w:val="000000"/>
          <w:kern w:val="0"/>
          <w:sz w:val="24"/>
          <w:szCs w:val="24"/>
        </w:rPr>
        <w:t/>
      </w:r>
      <w:proofErr w:type="gramEnd"/>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proofErr w:type="spellStart"/>
            <w:r w:rsidRPr="004F4D27">
              <w:rPr>
                <w:rFonts w:ascii="宋体" w:hAnsi="宋体"/>
                <w:color w:val="000000"/>
                <w:kern w:val="0"/>
              </w:rPr>
              <w:t/>
            </w:r>
            <w:proofErr w:type="spellEnd"/>
            <w:r w:rsidRPr="004F4D27">
              <w:rPr>
                <w:rFonts w:ascii="宋体" w:hAnsi="宋体"/>
                <w:color w:val="000000"/>
                <w:kern w:val="0"/>
              </w:rPr>
              <w:t/>
            </w:r>
            <w:proofErr w:type="spellStart"/>
            <w:r w:rsidRPr="004F4D27">
              <w:rPr>
                <w:rFonts w:ascii="宋体" w:hAnsi="宋体"/>
                <w:color w:val="000000"/>
                <w:kern w:val="0"/>
              </w:rPr>
              <w:t/>
            </w:r>
            <w:proofErr w:type="spellEnd"/>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2019/4/1-2019/6/30</w:t>
            </w:r>
          </w:p>
        </w:tc>
        <w:tc>
          <w:tcPr>
            <w:vAlign w:val="center"/>
          </w:tcPr>
          <w:p>
            <w:pPr>
              <w:jc w:val="center"/>
            </w:pPr>
            <w:r>
              <w:rPr>
                <w:rFonts w:ascii="宋体" w:hAnsi="宋体"/>
                <w:kern w:val="0"/>
              </w:rPr>
              <w:t>15,000,350.00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15,000,350.00</w:t>
            </w:r>
          </w:p>
        </w:tc>
        <w:tc>
          <w:tcPr>
            <w:vAlign w:val="center"/>
          </w:tcPr>
          <w:p>
            <w:pPr>
              <w:jc w:val="center"/>
            </w:pPr>
            <w:r>
              <w:rPr>
                <w:rFonts w:ascii="宋体" w:hAnsi="宋体"/>
                <w:kern w:val="0"/>
              </w:rPr>
              <w:t>29.71%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lastRenderedPageBreak/>
              <w:t>产品特有风险</w:t>
            </w:r>
            <w:r w:rsidRPr="004F4D27">
              <w:rPr>
                <w:rFonts w:ascii="宋体" w:hAnsi="宋体"/>
                <w:kern w:val="0"/>
              </w:rPr>
              <w:t/>
            </w:r>
            <w:proofErr w:type="spellStart"/>
            <w:r w:rsidRPr="004F4D27">
              <w:rPr>
                <w:rFonts w:ascii="宋体" w:hAnsi="宋体" w:hint="eastAsia"/>
                <w:kern w:val="0"/>
              </w:rPr>
              <w:t/>
            </w:r>
            <w:proofErr w:type="spellEnd"/>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1、中国证监会准予交银施罗德荣和保本混合型证券投资基金募集注册的文件；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2、《交银施罗德安心收益债券型证券投资基金基金合同》；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3、《交银施罗德安心收益债券型证券投资基金招募说明书》；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4、《交银施罗德安心收益债券型证券投资基金托管协议》；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5、《交银施罗德荣和保本混合型证券投资基金基金合同》；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6、《交银施罗德荣和保本混合型证券投资基金招募说明书》；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7、《交银施罗德荣和保本混合型证券投资基金托管协议》； </w:t>
      </w:r>
    </w:p>
    <w:p>
      <w:pPr>
        <w:spacing w:before="29" w:line="288" w:lineRule="auto"/>
        <w:ind w:firstLine="480" w:firstLineChars="200"/>
        <w:rPr>
          <w:color w:val="000000"/>
          <w:sz w:val="24"/>
          <w:szCs w:val="24"/>
        </w:rPr>
      </w:pPr>
      <w:r>
        <w:rPr>
          <w:color w:val="000000"/>
          <w:sz w:val="24"/>
          <w:szCs w:val="24"/>
        </w:rPr>
        <w:t>8、《交银施罗德荣和保本混合型证券投资基金保证合同》；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11、关于申请募集注册交银施罗德荣和保本混合型证券投资基金的法律意见书；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12、关于修改《交银施罗德荣和保本混合型证券投资基金基金合同》的法律意见书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13、报告期内交银施罗德荣和保本混合型证券投资基金、交银施罗德安心收益债券型证券投资基金在指定报刊上各项公告的原稿。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交银施罗德安心收益债券型证券投资基金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