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proofErr w:type="gramStart"/>
      <w:r w:rsidRPr="001E1B20">
        <w:rPr>
          <w:b/>
          <w:sz w:val="36"/>
          <w:szCs w:val="36"/>
        </w:rPr>
        <w:t>交银施罗</w:t>
      </w:r>
      <w:proofErr w:type="gramEnd"/>
      <w:r w:rsidRPr="001E1B20">
        <w:rPr>
          <w:b/>
          <w:sz w:val="36"/>
          <w:szCs w:val="36"/>
        </w:rPr>
        <w:t>德天运宝货币市场基金</w:t>
      </w:r>
    </w:p>
    <w:p w:rsidR="00B60E27" w:rsidRPr="001E1B20" w:rsidRDefault="00B60E27" w:rsidP="00281564">
      <w:pPr>
        <w:spacing w:before="29" w:line="288" w:lineRule="auto"/>
        <w:jc w:val="center"/>
        <w:rPr>
          <w:b/>
          <w:sz w:val="36"/>
          <w:szCs w:val="36"/>
        </w:rPr>
      </w:pPr>
      <w:r w:rsidRPr="001E1B20">
        <w:rPr>
          <w:b/>
          <w:sz w:val="36"/>
          <w:szCs w:val="36"/>
        </w:rPr>
        <w:t>2019</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2019</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兴业银行股份有限公司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二〇一九年四月二十日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AA18F6" w:rsidRDefault="000078A6">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AA18F6" w:rsidRDefault="000078A6">
      <w:pPr>
        <w:adjustRightInd w:val="0"/>
        <w:spacing w:before="29" w:line="288" w:lineRule="auto"/>
        <w:ind w:firstLineChars="200" w:firstLine="480"/>
        <w:rPr>
          <w:color w:val="000000"/>
          <w:sz w:val="24"/>
        </w:rPr>
      </w:pPr>
      <w:r>
        <w:rPr>
          <w:color w:val="000000"/>
          <w:sz w:val="24"/>
        </w:rPr>
        <w:t>基金托管人兴业银行股份有限公司根据本基金合同规定，于</w:t>
      </w:r>
      <w:r>
        <w:rPr>
          <w:color w:val="000000"/>
          <w:sz w:val="24"/>
        </w:rPr>
        <w:t>2019</w:t>
      </w:r>
      <w:r>
        <w:rPr>
          <w:color w:val="000000"/>
          <w:sz w:val="24"/>
        </w:rPr>
        <w:t>年</w:t>
      </w:r>
      <w:r>
        <w:rPr>
          <w:color w:val="000000"/>
          <w:sz w:val="24"/>
        </w:rPr>
        <w:t>4</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AA18F6" w:rsidRDefault="000078A6">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A18F6" w:rsidRDefault="000078A6">
      <w:pPr>
        <w:adjustRightInd w:val="0"/>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AA18F6" w:rsidRDefault="000078A6">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2019</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交银天运</w:t>
            </w:r>
            <w:proofErr w:type="gramStart"/>
            <w:r w:rsidRPr="000E4C40">
              <w:rPr>
                <w:color w:val="000000"/>
                <w:kern w:val="0"/>
                <w:sz w:val="24"/>
              </w:rPr>
              <w:t>宝货币</w:t>
            </w:r>
            <w:proofErr w:type="gramEnd"/>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005002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2017</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29</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84,124,466.05</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兴业银行股份有限公司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交银天运</w:t>
            </w:r>
            <w:proofErr w:type="gramStart"/>
            <w:r w:rsidRPr="000E4C40">
              <w:rPr>
                <w:sz w:val="24"/>
              </w:rPr>
              <w:t>宝货币</w:t>
            </w:r>
            <w:proofErr w:type="gramEnd"/>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交银天运</w:t>
            </w:r>
            <w:proofErr w:type="gramStart"/>
            <w:r w:rsidRPr="000E4C40">
              <w:rPr>
                <w:sz w:val="24"/>
              </w:rPr>
              <w:t>宝货币</w:t>
            </w:r>
            <w:proofErr w:type="gramEnd"/>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005002</w:t>
            </w:r>
          </w:p>
        </w:tc>
        <w:tc>
          <w:tcPr>
            <w:tcW w:w="2923" w:type="dxa"/>
            <w:vAlign w:val="center"/>
          </w:tcPr>
          <w:p w:rsidR="00A805BC" w:rsidRPr="000E4C40" w:rsidRDefault="00A805BC" w:rsidP="00281564">
            <w:pPr>
              <w:spacing w:before="29" w:line="288" w:lineRule="auto"/>
              <w:jc w:val="left"/>
              <w:rPr>
                <w:sz w:val="24"/>
              </w:rPr>
            </w:pPr>
            <w:r w:rsidRPr="000E4C40">
              <w:rPr>
                <w:sz w:val="24"/>
              </w:rPr>
              <w:t>005003</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9,145,474.08</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74,978,991.97</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(2019</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-2019</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交银天运</w:t>
            </w:r>
            <w:proofErr w:type="gramStart"/>
            <w:r w:rsidRPr="000E4C40">
              <w:rPr>
                <w:sz w:val="24"/>
              </w:rPr>
              <w:t>宝货币</w:t>
            </w:r>
            <w:proofErr w:type="gramEnd"/>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交银天运</w:t>
            </w:r>
            <w:proofErr w:type="gramStart"/>
            <w:r w:rsidRPr="000E4C40">
              <w:rPr>
                <w:sz w:val="24"/>
              </w:rPr>
              <w:t>宝货币</w:t>
            </w:r>
            <w:proofErr w:type="gramEnd"/>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59,541.38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1,014,026.52</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59,541.38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1,014,026.52</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9,145,474.08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74,978,991.97</w:t>
            </w:r>
          </w:p>
        </w:tc>
      </w:tr>
    </w:tbl>
    <w:p w:rsidR="00AA18F6" w:rsidRDefault="000078A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AA18F6" w:rsidRDefault="000078A6">
      <w:pPr>
        <w:autoSpaceDE w:val="0"/>
        <w:autoSpaceDN w:val="0"/>
        <w:adjustRightInd w:val="0"/>
        <w:spacing w:before="29" w:line="288" w:lineRule="auto"/>
        <w:jc w:val="left"/>
        <w:rPr>
          <w:color w:val="000000"/>
          <w:sz w:val="24"/>
        </w:rPr>
      </w:pPr>
      <w:r>
        <w:rPr>
          <w:color w:val="000000"/>
          <w:sz w:val="24"/>
        </w:rPr>
        <w:t xml:space="preserve">   2</w:t>
      </w:r>
      <w:r>
        <w:rPr>
          <w:color w:val="000000"/>
          <w:sz w:val="24"/>
        </w:rPr>
        <w:t>、本期已实现收益指基金本期利息收入、投资收益、其他收入（不含公允价值变动收益）扣除相关费用后的余额，本期利润为本期已实现收益加上本期公允价值变动收益，由于货币市场基金采用摊</w:t>
      </w:r>
      <w:proofErr w:type="gramStart"/>
      <w:r>
        <w:rPr>
          <w:color w:val="000000"/>
          <w:sz w:val="24"/>
        </w:rPr>
        <w:t>余成本</w:t>
      </w:r>
      <w:proofErr w:type="gramEnd"/>
      <w:r>
        <w:rPr>
          <w:color w:val="000000"/>
          <w:sz w:val="24"/>
        </w:rPr>
        <w:t>法核算，因此，公允价值变动收益为零，本期已实现收益和本期利润的金额相等。</w:t>
      </w:r>
    </w:p>
    <w:p w:rsidR="00893021" w:rsidRPr="000E4C40" w:rsidRDefault="00893021" w:rsidP="00281564">
      <w:pPr>
        <w:autoSpaceDE w:val="0"/>
        <w:autoSpaceDN w:val="0"/>
        <w:adjustRightInd w:val="0"/>
        <w:spacing w:before="29" w:line="288" w:lineRule="auto"/>
        <w:jc w:val="left"/>
        <w:rPr>
          <w:color w:val="000000"/>
          <w:sz w:val="24"/>
        </w:rPr>
      </w:pP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w:t>
      </w:r>
      <w:proofErr w:type="gramStart"/>
      <w:r w:rsidRPr="000E4C40">
        <w:rPr>
          <w:rFonts w:hAnsi="宋体"/>
          <w:b/>
          <w:color w:val="000000"/>
          <w:kern w:val="0"/>
          <w:sz w:val="24"/>
        </w:rPr>
        <w:t>期基金</w:t>
      </w:r>
      <w:proofErr w:type="gramEnd"/>
      <w:r w:rsidRPr="000E4C40">
        <w:rPr>
          <w:rFonts w:hAnsi="宋体"/>
          <w:b/>
          <w:color w:val="000000"/>
          <w:kern w:val="0"/>
          <w:sz w:val="24"/>
        </w:rPr>
        <w:t>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交银天运</w:t>
      </w:r>
      <w:proofErr w:type="gramStart"/>
      <w:r w:rsidR="00834F7F" w:rsidRPr="000E4C40">
        <w:rPr>
          <w:rFonts w:ascii="Times New Roman" w:hAnsi="Times New Roman"/>
          <w:b/>
          <w:color w:val="auto"/>
        </w:rPr>
        <w:t>宝货币</w:t>
      </w:r>
      <w:proofErr w:type="gramEnd"/>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lastRenderedPageBreak/>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AA18F6">
        <w:trPr>
          <w:jc w:val="center"/>
        </w:trPr>
        <w:tc>
          <w:tcPr>
            <w:tcW w:w="1266" w:type="dxa"/>
            <w:vAlign w:val="center"/>
          </w:tcPr>
          <w:p w:rsidR="00AA18F6" w:rsidRDefault="000078A6">
            <w:pPr>
              <w:jc w:val="left"/>
            </w:pPr>
            <w:r>
              <w:rPr>
                <w:color w:val="000000"/>
              </w:rPr>
              <w:t>过去三个月</w:t>
            </w:r>
          </w:p>
        </w:tc>
        <w:tc>
          <w:tcPr>
            <w:tcW w:w="1267" w:type="dxa"/>
            <w:vAlign w:val="center"/>
          </w:tcPr>
          <w:p w:rsidR="00AA18F6" w:rsidRDefault="000078A6">
            <w:pPr>
              <w:jc w:val="center"/>
            </w:pPr>
            <w:r>
              <w:rPr>
                <w:color w:val="000000"/>
              </w:rPr>
              <w:t>0.6029%</w:t>
            </w:r>
          </w:p>
        </w:tc>
        <w:tc>
          <w:tcPr>
            <w:tcW w:w="1267" w:type="dxa"/>
            <w:vAlign w:val="center"/>
          </w:tcPr>
          <w:p w:rsidR="00AA18F6" w:rsidRDefault="000078A6">
            <w:pPr>
              <w:jc w:val="center"/>
            </w:pPr>
            <w:r>
              <w:rPr>
                <w:color w:val="000000"/>
              </w:rPr>
              <w:t>0.0016%</w:t>
            </w:r>
          </w:p>
        </w:tc>
        <w:tc>
          <w:tcPr>
            <w:tcW w:w="1267" w:type="dxa"/>
            <w:vAlign w:val="center"/>
          </w:tcPr>
          <w:p w:rsidR="00AA18F6" w:rsidRDefault="000078A6">
            <w:pPr>
              <w:jc w:val="center"/>
            </w:pPr>
            <w:r>
              <w:rPr>
                <w:color w:val="000000"/>
              </w:rPr>
              <w:t>0.0863%</w:t>
            </w:r>
          </w:p>
        </w:tc>
        <w:tc>
          <w:tcPr>
            <w:tcW w:w="1267" w:type="dxa"/>
            <w:vAlign w:val="center"/>
          </w:tcPr>
          <w:p w:rsidR="00AA18F6" w:rsidRDefault="000078A6">
            <w:pPr>
              <w:jc w:val="center"/>
            </w:pPr>
            <w:r>
              <w:rPr>
                <w:color w:val="000000"/>
              </w:rPr>
              <w:t>0.0000%</w:t>
            </w:r>
          </w:p>
        </w:tc>
        <w:tc>
          <w:tcPr>
            <w:tcW w:w="1267" w:type="dxa"/>
            <w:vAlign w:val="center"/>
          </w:tcPr>
          <w:p w:rsidR="00AA18F6" w:rsidRDefault="000078A6">
            <w:pPr>
              <w:jc w:val="center"/>
            </w:pPr>
            <w:r>
              <w:rPr>
                <w:color w:val="000000"/>
              </w:rPr>
              <w:t>0.5166%</w:t>
            </w:r>
          </w:p>
        </w:tc>
        <w:tc>
          <w:tcPr>
            <w:tcW w:w="1267" w:type="dxa"/>
            <w:vAlign w:val="center"/>
          </w:tcPr>
          <w:p w:rsidR="00AA18F6" w:rsidRDefault="000078A6">
            <w:pPr>
              <w:jc w:val="center"/>
            </w:pPr>
            <w:r>
              <w:rPr>
                <w:color w:val="000000"/>
              </w:rPr>
              <w:t>0.0016%</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交银天运</w:t>
      </w:r>
      <w:proofErr w:type="gramStart"/>
      <w:r w:rsidR="000B2044" w:rsidRPr="000E4C40">
        <w:rPr>
          <w:rFonts w:ascii="Times New Roman" w:hAnsi="Times New Roman"/>
          <w:b/>
          <w:color w:val="000000"/>
        </w:rPr>
        <w:t>宝货币</w:t>
      </w:r>
      <w:proofErr w:type="gramEnd"/>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AA18F6">
        <w:trPr>
          <w:jc w:val="center"/>
        </w:trPr>
        <w:tc>
          <w:tcPr>
            <w:tcW w:w="1266" w:type="dxa"/>
            <w:vAlign w:val="center"/>
          </w:tcPr>
          <w:p w:rsidR="00AA18F6" w:rsidRDefault="000078A6">
            <w:pPr>
              <w:jc w:val="left"/>
            </w:pPr>
            <w:r>
              <w:rPr>
                <w:color w:val="000000"/>
              </w:rPr>
              <w:t>过去三个月</w:t>
            </w:r>
          </w:p>
        </w:tc>
        <w:tc>
          <w:tcPr>
            <w:tcW w:w="1267" w:type="dxa"/>
            <w:vAlign w:val="center"/>
          </w:tcPr>
          <w:p w:rsidR="00AA18F6" w:rsidRDefault="000078A6">
            <w:pPr>
              <w:jc w:val="center"/>
            </w:pPr>
            <w:r>
              <w:rPr>
                <w:color w:val="000000"/>
              </w:rPr>
              <w:t>0.6586%</w:t>
            </w:r>
          </w:p>
        </w:tc>
        <w:tc>
          <w:tcPr>
            <w:tcW w:w="1267" w:type="dxa"/>
            <w:vAlign w:val="center"/>
          </w:tcPr>
          <w:p w:rsidR="00AA18F6" w:rsidRDefault="000078A6">
            <w:pPr>
              <w:jc w:val="center"/>
            </w:pPr>
            <w:r>
              <w:rPr>
                <w:color w:val="000000"/>
              </w:rPr>
              <w:t>0.0016%</w:t>
            </w:r>
          </w:p>
        </w:tc>
        <w:tc>
          <w:tcPr>
            <w:tcW w:w="1267" w:type="dxa"/>
            <w:vAlign w:val="center"/>
          </w:tcPr>
          <w:p w:rsidR="00AA18F6" w:rsidRDefault="000078A6">
            <w:pPr>
              <w:jc w:val="center"/>
            </w:pPr>
            <w:r>
              <w:rPr>
                <w:color w:val="000000"/>
              </w:rPr>
              <w:t>0.0863%</w:t>
            </w:r>
          </w:p>
        </w:tc>
        <w:tc>
          <w:tcPr>
            <w:tcW w:w="1267" w:type="dxa"/>
            <w:vAlign w:val="center"/>
          </w:tcPr>
          <w:p w:rsidR="00AA18F6" w:rsidRDefault="000078A6">
            <w:pPr>
              <w:jc w:val="center"/>
            </w:pPr>
            <w:r>
              <w:rPr>
                <w:color w:val="000000"/>
              </w:rPr>
              <w:t>0.0000%</w:t>
            </w:r>
          </w:p>
        </w:tc>
        <w:tc>
          <w:tcPr>
            <w:tcW w:w="1267" w:type="dxa"/>
            <w:vAlign w:val="center"/>
          </w:tcPr>
          <w:p w:rsidR="00AA18F6" w:rsidRDefault="000078A6">
            <w:pPr>
              <w:jc w:val="center"/>
            </w:pPr>
            <w:r>
              <w:rPr>
                <w:color w:val="000000"/>
              </w:rPr>
              <w:t>0.5723%</w:t>
            </w:r>
          </w:p>
        </w:tc>
        <w:tc>
          <w:tcPr>
            <w:tcW w:w="1267" w:type="dxa"/>
            <w:vAlign w:val="center"/>
          </w:tcPr>
          <w:p w:rsidR="00AA18F6" w:rsidRDefault="000078A6">
            <w:pPr>
              <w:jc w:val="center"/>
            </w:pPr>
            <w:r>
              <w:rPr>
                <w:color w:val="000000"/>
              </w:rPr>
              <w:t>0.0016%</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交银施罗德天运宝货币市场基金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2017</w:t>
      </w:r>
      <w:r w:rsidR="00D87D00" w:rsidRPr="000E4C40">
        <w:rPr>
          <w:color w:val="000000"/>
          <w:kern w:val="0"/>
          <w:sz w:val="24"/>
        </w:rPr>
        <w:t>年</w:t>
      </w:r>
      <w:r w:rsidR="00D87D00" w:rsidRPr="000E4C40">
        <w:rPr>
          <w:color w:val="000000"/>
          <w:kern w:val="0"/>
          <w:sz w:val="24"/>
        </w:rPr>
        <w:t>12</w:t>
      </w:r>
      <w:r w:rsidR="00D87D00" w:rsidRPr="000E4C40">
        <w:rPr>
          <w:color w:val="000000"/>
          <w:kern w:val="0"/>
          <w:sz w:val="24"/>
        </w:rPr>
        <w:t>月</w:t>
      </w:r>
      <w:r w:rsidR="00D87D00" w:rsidRPr="000E4C40">
        <w:rPr>
          <w:color w:val="000000"/>
          <w:kern w:val="0"/>
          <w:sz w:val="24"/>
        </w:rPr>
        <w:t>29</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2019</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交银天运</w:t>
      </w:r>
      <w:proofErr w:type="gramStart"/>
      <w:r w:rsidRPr="000E4C40">
        <w:rPr>
          <w:color w:val="000000"/>
          <w:kern w:val="0"/>
          <w:sz w:val="24"/>
        </w:rPr>
        <w:t>宝货币</w:t>
      </w:r>
      <w:proofErr w:type="gramEnd"/>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lastRenderedPageBreak/>
        <w:t>注：本</w:t>
      </w:r>
      <w:proofErr w:type="gramStart"/>
      <w:r w:rsidRPr="000E4C40">
        <w:rPr>
          <w:color w:val="000000"/>
          <w:sz w:val="24"/>
        </w:rPr>
        <w:t>基金基金</w:t>
      </w:r>
      <w:proofErr w:type="gramEnd"/>
      <w:r w:rsidRPr="000E4C40">
        <w:rPr>
          <w:color w:val="000000"/>
          <w:sz w:val="24"/>
        </w:rPr>
        <w:t>合同生效日为</w:t>
      </w:r>
      <w:r w:rsidRPr="000E4C40">
        <w:rPr>
          <w:color w:val="000000"/>
          <w:sz w:val="24"/>
        </w:rPr>
        <w:t>2017</w:t>
      </w:r>
      <w:r w:rsidRPr="000E4C40">
        <w:rPr>
          <w:color w:val="000000"/>
          <w:sz w:val="24"/>
        </w:rPr>
        <w:t>年</w:t>
      </w:r>
      <w:r w:rsidRPr="000E4C40">
        <w:rPr>
          <w:color w:val="000000"/>
          <w:sz w:val="24"/>
        </w:rPr>
        <w:t>12</w:t>
      </w:r>
      <w:r w:rsidRPr="000E4C40">
        <w:rPr>
          <w:color w:val="000000"/>
          <w:sz w:val="24"/>
        </w:rPr>
        <w:t>月</w:t>
      </w:r>
      <w:r w:rsidRPr="000E4C40">
        <w:rPr>
          <w:color w:val="000000"/>
          <w:sz w:val="24"/>
        </w:rPr>
        <w:t>29</w:t>
      </w:r>
      <w:r w:rsidRPr="000E4C40">
        <w:rPr>
          <w:color w:val="000000"/>
          <w:sz w:val="24"/>
        </w:rPr>
        <w:t>日，截至报告期期末，本基金已完成</w:t>
      </w:r>
      <w:proofErr w:type="gramStart"/>
      <w:r w:rsidRPr="000E4C40">
        <w:rPr>
          <w:color w:val="000000"/>
          <w:sz w:val="24"/>
        </w:rPr>
        <w:t>建仓但</w:t>
      </w:r>
      <w:proofErr w:type="gramEnd"/>
      <w:r w:rsidRPr="000E4C40">
        <w:rPr>
          <w:color w:val="000000"/>
          <w:sz w:val="24"/>
        </w:rPr>
        <w:t>报告期期末距建仓结束未满一年。本基金建仓期为自基金合同生效日起的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交银天运</w:t>
      </w:r>
      <w:proofErr w:type="gramStart"/>
      <w:r w:rsidR="005F668B" w:rsidRPr="000E4C40">
        <w:rPr>
          <w:color w:val="000000"/>
          <w:kern w:val="0"/>
          <w:sz w:val="24"/>
        </w:rPr>
        <w:t>宝货币</w:t>
      </w:r>
      <w:proofErr w:type="gramEnd"/>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w:t>
      </w:r>
      <w:proofErr w:type="gramStart"/>
      <w:r w:rsidRPr="000E4C40">
        <w:rPr>
          <w:color w:val="000000"/>
          <w:sz w:val="24"/>
        </w:rPr>
        <w:t>基金基金</w:t>
      </w:r>
      <w:proofErr w:type="gramEnd"/>
      <w:r w:rsidRPr="000E4C40">
        <w:rPr>
          <w:color w:val="000000"/>
          <w:sz w:val="24"/>
        </w:rPr>
        <w:t>合同生效日为</w:t>
      </w:r>
      <w:r w:rsidRPr="000E4C40">
        <w:rPr>
          <w:color w:val="000000"/>
          <w:sz w:val="24"/>
        </w:rPr>
        <w:t>2017</w:t>
      </w:r>
      <w:r w:rsidRPr="000E4C40">
        <w:rPr>
          <w:color w:val="000000"/>
          <w:sz w:val="24"/>
        </w:rPr>
        <w:t>年</w:t>
      </w:r>
      <w:r w:rsidRPr="000E4C40">
        <w:rPr>
          <w:color w:val="000000"/>
          <w:sz w:val="24"/>
        </w:rPr>
        <w:t>12</w:t>
      </w:r>
      <w:r w:rsidRPr="000E4C40">
        <w:rPr>
          <w:color w:val="000000"/>
          <w:sz w:val="24"/>
        </w:rPr>
        <w:t>月</w:t>
      </w:r>
      <w:r w:rsidRPr="000E4C40">
        <w:rPr>
          <w:color w:val="000000"/>
          <w:sz w:val="24"/>
        </w:rPr>
        <w:t>29</w:t>
      </w:r>
      <w:r w:rsidRPr="000E4C40">
        <w:rPr>
          <w:color w:val="000000"/>
          <w:sz w:val="24"/>
        </w:rPr>
        <w:t>日，截至报告期期末，本基金已完成</w:t>
      </w:r>
      <w:proofErr w:type="gramStart"/>
      <w:r w:rsidRPr="000E4C40">
        <w:rPr>
          <w:color w:val="000000"/>
          <w:sz w:val="24"/>
        </w:rPr>
        <w:t>建仓但</w:t>
      </w:r>
      <w:proofErr w:type="gramEnd"/>
      <w:r w:rsidRPr="000E4C40">
        <w:rPr>
          <w:color w:val="000000"/>
          <w:sz w:val="24"/>
        </w:rPr>
        <w:t>报告期期末距建仓结束未满一年。本基金建仓期为自基金合同生效日起的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roofErr w:type="gramStart"/>
            <w:r w:rsidRPr="000E4C40">
              <w:rPr>
                <w:rFonts w:hAnsi="宋体"/>
                <w:color w:val="000000"/>
                <w:kern w:val="0"/>
                <w:sz w:val="24"/>
              </w:rPr>
              <w:t>任本基金</w:t>
            </w:r>
            <w:proofErr w:type="gramEnd"/>
            <w:r w:rsidRPr="000E4C40">
              <w:rPr>
                <w:rFonts w:hAnsi="宋体"/>
                <w:color w:val="000000"/>
                <w:kern w:val="0"/>
                <w:sz w:val="24"/>
              </w:rPr>
              <w:t>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AA18F6">
        <w:trPr>
          <w:jc w:val="center"/>
        </w:trPr>
        <w:tc>
          <w:tcPr>
            <w:tcW w:w="945" w:type="dxa"/>
            <w:vAlign w:val="center"/>
          </w:tcPr>
          <w:p w:rsidR="00AA18F6" w:rsidRDefault="000078A6">
            <w:pPr>
              <w:jc w:val="center"/>
            </w:pPr>
            <w:proofErr w:type="gramStart"/>
            <w:r>
              <w:rPr>
                <w:color w:val="000000"/>
                <w:sz w:val="24"/>
              </w:rPr>
              <w:t>连端清</w:t>
            </w:r>
            <w:proofErr w:type="gramEnd"/>
          </w:p>
        </w:tc>
        <w:tc>
          <w:tcPr>
            <w:tcW w:w="1589" w:type="dxa"/>
            <w:vAlign w:val="center"/>
          </w:tcPr>
          <w:p w:rsidR="00AA18F6" w:rsidRDefault="000078A6">
            <w:pPr>
              <w:jc w:val="center"/>
            </w:pPr>
            <w:r>
              <w:rPr>
                <w:color w:val="000000"/>
                <w:sz w:val="24"/>
              </w:rPr>
              <w:t>交银货币、交银理财</w:t>
            </w:r>
            <w:r>
              <w:rPr>
                <w:color w:val="000000"/>
                <w:sz w:val="24"/>
              </w:rPr>
              <w:t>60</w:t>
            </w:r>
            <w:r>
              <w:rPr>
                <w:color w:val="000000"/>
                <w:sz w:val="24"/>
              </w:rPr>
              <w:t>天债券、交银丰盈收益债券、交银现金宝</w:t>
            </w:r>
            <w:r>
              <w:rPr>
                <w:color w:val="000000"/>
                <w:sz w:val="24"/>
              </w:rPr>
              <w:lastRenderedPageBreak/>
              <w:t>货币、交银丰润收益债券、交银活期通货币、交银天利宝货币、交</w:t>
            </w:r>
            <w:proofErr w:type="gramStart"/>
            <w:r>
              <w:rPr>
                <w:color w:val="000000"/>
                <w:sz w:val="24"/>
              </w:rPr>
              <w:t>银裕盈纯债</w:t>
            </w:r>
            <w:proofErr w:type="gramEnd"/>
            <w:r>
              <w:rPr>
                <w:color w:val="000000"/>
                <w:sz w:val="24"/>
              </w:rPr>
              <w:t>债券、交</w:t>
            </w:r>
            <w:proofErr w:type="gramStart"/>
            <w:r>
              <w:rPr>
                <w:color w:val="000000"/>
                <w:sz w:val="24"/>
              </w:rPr>
              <w:t>银裕利纯债</w:t>
            </w:r>
            <w:proofErr w:type="gramEnd"/>
            <w:r>
              <w:rPr>
                <w:color w:val="000000"/>
                <w:sz w:val="24"/>
              </w:rPr>
              <w:t>债券、交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收益债券、交银天运</w:t>
            </w:r>
            <w:proofErr w:type="gramStart"/>
            <w:r>
              <w:rPr>
                <w:color w:val="000000"/>
                <w:sz w:val="24"/>
              </w:rPr>
              <w:t>宝货币</w:t>
            </w:r>
            <w:proofErr w:type="gramEnd"/>
            <w:r>
              <w:rPr>
                <w:color w:val="000000"/>
                <w:sz w:val="24"/>
              </w:rPr>
              <w:t>的基金经理</w:t>
            </w:r>
          </w:p>
          <w:p w:rsidR="00AA18F6" w:rsidRDefault="00AA18F6">
            <w:pPr>
              <w:jc w:val="center"/>
            </w:pPr>
          </w:p>
        </w:tc>
        <w:tc>
          <w:tcPr>
            <w:tcW w:w="1478" w:type="dxa"/>
            <w:vAlign w:val="center"/>
          </w:tcPr>
          <w:p w:rsidR="00AA18F6" w:rsidRDefault="000078A6">
            <w:pPr>
              <w:jc w:val="center"/>
            </w:pPr>
            <w:r>
              <w:rPr>
                <w:color w:val="000000"/>
                <w:sz w:val="24"/>
              </w:rPr>
              <w:lastRenderedPageBreak/>
              <w:t>2017-12-29</w:t>
            </w:r>
          </w:p>
        </w:tc>
        <w:tc>
          <w:tcPr>
            <w:tcW w:w="1478" w:type="dxa"/>
            <w:vAlign w:val="center"/>
          </w:tcPr>
          <w:p w:rsidR="00AA18F6" w:rsidRDefault="000078A6">
            <w:pPr>
              <w:jc w:val="center"/>
            </w:pPr>
            <w:r>
              <w:rPr>
                <w:color w:val="000000"/>
                <w:sz w:val="24"/>
              </w:rPr>
              <w:t>-</w:t>
            </w:r>
          </w:p>
        </w:tc>
        <w:tc>
          <w:tcPr>
            <w:tcW w:w="986" w:type="dxa"/>
            <w:vAlign w:val="center"/>
          </w:tcPr>
          <w:p w:rsidR="00AA18F6" w:rsidRDefault="000078A6">
            <w:pPr>
              <w:jc w:val="center"/>
            </w:pPr>
            <w:r>
              <w:rPr>
                <w:color w:val="000000"/>
                <w:sz w:val="24"/>
              </w:rPr>
              <w:t>6</w:t>
            </w:r>
            <w:r>
              <w:rPr>
                <w:color w:val="000000"/>
                <w:sz w:val="24"/>
              </w:rPr>
              <w:t>年</w:t>
            </w:r>
          </w:p>
        </w:tc>
        <w:tc>
          <w:tcPr>
            <w:tcW w:w="2392" w:type="dxa"/>
            <w:vAlign w:val="center"/>
          </w:tcPr>
          <w:p w:rsidR="00AA18F6" w:rsidRDefault="000078A6">
            <w:r>
              <w:rPr>
                <w:color w:val="000000"/>
                <w:sz w:val="24"/>
              </w:rPr>
              <w:t>连端清先生，复旦大学经济学博士。历任交通银行总行金融市场部、湘财证券研究所研究员、中航信托</w:t>
            </w:r>
            <w:r>
              <w:rPr>
                <w:color w:val="000000"/>
                <w:sz w:val="24"/>
              </w:rPr>
              <w:lastRenderedPageBreak/>
              <w:t>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w:t>
            </w:r>
            <w:proofErr w:type="gramStart"/>
            <w:r>
              <w:rPr>
                <w:color w:val="000000"/>
                <w:sz w:val="24"/>
              </w:rPr>
              <w:t>兴纯债</w:t>
            </w:r>
            <w:proofErr w:type="gramEnd"/>
            <w:r>
              <w:rPr>
                <w:color w:val="000000"/>
                <w:sz w:val="24"/>
              </w:rPr>
              <w:t>债券型证券投资基金</w:t>
            </w:r>
            <w:r>
              <w:rPr>
                <w:color w:val="000000"/>
                <w:sz w:val="24"/>
              </w:rPr>
              <w:t>的基金经理。</w:t>
            </w:r>
          </w:p>
          <w:p w:rsidR="00AA18F6" w:rsidRDefault="00AA18F6"/>
          <w:p w:rsidR="00AA18F6" w:rsidRDefault="00AA18F6"/>
        </w:tc>
      </w:tr>
    </w:tbl>
    <w:p w:rsidR="00AA18F6" w:rsidRDefault="000078A6">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w:t>
      </w:r>
      <w:proofErr w:type="gramStart"/>
      <w:r>
        <w:rPr>
          <w:color w:val="000000"/>
          <w:sz w:val="24"/>
        </w:rPr>
        <w:t>作出</w:t>
      </w:r>
      <w:proofErr w:type="gramEnd"/>
      <w:r>
        <w:rPr>
          <w:color w:val="000000"/>
          <w:sz w:val="24"/>
        </w:rPr>
        <w:t>决定并公告</w:t>
      </w:r>
      <w:r>
        <w:rPr>
          <w:color w:val="000000"/>
          <w:sz w:val="24"/>
        </w:rPr>
        <w:t>(</w:t>
      </w:r>
      <w:r>
        <w:rPr>
          <w:color w:val="000000"/>
          <w:sz w:val="24"/>
        </w:rPr>
        <w:t>如适用</w:t>
      </w:r>
      <w:r>
        <w:rPr>
          <w:color w:val="000000"/>
          <w:sz w:val="24"/>
        </w:rPr>
        <w:t>)</w:t>
      </w:r>
      <w:r>
        <w:rPr>
          <w:color w:val="000000"/>
          <w:sz w:val="24"/>
        </w:rPr>
        <w:t>之日为准；</w:t>
      </w:r>
    </w:p>
    <w:p w:rsidR="00AA18F6" w:rsidRDefault="000078A6">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AA18F6" w:rsidRDefault="000078A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A18F6" w:rsidRDefault="000078A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w:t>
      </w:r>
      <w:r>
        <w:rPr>
          <w:color w:val="000000"/>
          <w:sz w:val="24"/>
        </w:rPr>
        <w:lastRenderedPageBreak/>
        <w:t>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A18F6" w:rsidRDefault="000078A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AA18F6" w:rsidRDefault="000078A6">
      <w:pPr>
        <w:spacing w:before="29" w:line="288" w:lineRule="auto"/>
        <w:ind w:firstLineChars="200" w:firstLine="480"/>
        <w:rPr>
          <w:color w:val="000000"/>
          <w:sz w:val="24"/>
        </w:rPr>
      </w:pPr>
      <w:r>
        <w:rPr>
          <w:color w:val="000000"/>
          <w:sz w:val="24"/>
        </w:rPr>
        <w:t>本报告期内，国内经济下行风险降低，部分经济金融数据企稳，通胀走高的担忧加剧。权益类资产的表现优于债券类资产，货币基金的收益率在短</w:t>
      </w:r>
      <w:proofErr w:type="gramStart"/>
      <w:r>
        <w:rPr>
          <w:color w:val="000000"/>
          <w:sz w:val="24"/>
        </w:rPr>
        <w:t>端利率</w:t>
      </w:r>
      <w:proofErr w:type="gramEnd"/>
      <w:r>
        <w:rPr>
          <w:color w:val="000000"/>
          <w:sz w:val="24"/>
        </w:rPr>
        <w:t>的下行中进一步走低。具体看来，一、二月人民币新增贷款</w:t>
      </w:r>
      <w:r>
        <w:rPr>
          <w:color w:val="000000"/>
          <w:sz w:val="24"/>
        </w:rPr>
        <w:t>41158</w:t>
      </w:r>
      <w:r>
        <w:rPr>
          <w:color w:val="000000"/>
          <w:sz w:val="24"/>
        </w:rPr>
        <w:t>亿元，社会融资增速在此基础上有望企稳。非洲猪瘟的爆发使得本轮猪周期提前到来，猪肉价格在一季度大幅增长，市场预</w:t>
      </w:r>
      <w:r>
        <w:rPr>
          <w:color w:val="000000"/>
          <w:sz w:val="24"/>
        </w:rPr>
        <w:t>期</w:t>
      </w:r>
      <w:r>
        <w:rPr>
          <w:color w:val="000000"/>
          <w:sz w:val="24"/>
        </w:rPr>
        <w:t>CPI</w:t>
      </w:r>
      <w:r>
        <w:rPr>
          <w:color w:val="000000"/>
          <w:sz w:val="24"/>
        </w:rPr>
        <w:t>在未来回到</w:t>
      </w:r>
      <w:r>
        <w:rPr>
          <w:color w:val="000000"/>
          <w:sz w:val="24"/>
        </w:rPr>
        <w:t>2.0%</w:t>
      </w:r>
      <w:r>
        <w:rPr>
          <w:color w:val="000000"/>
          <w:sz w:val="24"/>
        </w:rPr>
        <w:t>上方，债券也由此在一季度步入盘整态势。外贸方面，中美的贸易谈判还在继续中，美国等发达经济体增速放缓，一、二月我国进出口增速波动较大。货币政策方面，美联储在三月的会议纪要偏鸽派，且在点阵图指引中将</w:t>
      </w:r>
      <w:r>
        <w:rPr>
          <w:color w:val="000000"/>
          <w:sz w:val="24"/>
        </w:rPr>
        <w:t>2019</w:t>
      </w:r>
      <w:r>
        <w:rPr>
          <w:color w:val="000000"/>
          <w:sz w:val="24"/>
        </w:rPr>
        <w:t>年的加息次数调整为</w:t>
      </w:r>
      <w:r>
        <w:rPr>
          <w:color w:val="000000"/>
          <w:sz w:val="24"/>
        </w:rPr>
        <w:t>0</w:t>
      </w:r>
      <w:r>
        <w:rPr>
          <w:color w:val="000000"/>
          <w:sz w:val="24"/>
        </w:rPr>
        <w:t>，市场进一步预期美联储将开始降息操作。同时央行在一月调降存款准备金率</w:t>
      </w:r>
      <w:r>
        <w:rPr>
          <w:color w:val="000000"/>
          <w:sz w:val="24"/>
        </w:rPr>
        <w:t>100bps</w:t>
      </w:r>
      <w:r>
        <w:rPr>
          <w:color w:val="000000"/>
          <w:sz w:val="24"/>
        </w:rPr>
        <w:t>，以对冲一季度的</w:t>
      </w:r>
      <w:r>
        <w:rPr>
          <w:color w:val="000000"/>
          <w:sz w:val="24"/>
        </w:rPr>
        <w:t>MLF</w:t>
      </w:r>
      <w:r>
        <w:rPr>
          <w:color w:val="000000"/>
          <w:sz w:val="24"/>
        </w:rPr>
        <w:t>到期，继续保持稳健偏宽松的态度。</w:t>
      </w:r>
      <w:proofErr w:type="gramStart"/>
      <w:r>
        <w:rPr>
          <w:color w:val="000000"/>
          <w:sz w:val="24"/>
        </w:rPr>
        <w:t>在降准的</w:t>
      </w:r>
      <w:proofErr w:type="gramEnd"/>
      <w:r>
        <w:rPr>
          <w:color w:val="000000"/>
          <w:sz w:val="24"/>
        </w:rPr>
        <w:t>帮助下，货币市场资金在一季度保持了宽裕的状态，银行间隔夜利率基本在</w:t>
      </w:r>
      <w:r>
        <w:rPr>
          <w:color w:val="000000"/>
          <w:sz w:val="24"/>
        </w:rPr>
        <w:t>2.0-2.7%</w:t>
      </w:r>
      <w:r>
        <w:rPr>
          <w:color w:val="000000"/>
          <w:sz w:val="24"/>
        </w:rPr>
        <w:t>之间，七天和隔夜的利差进一步压缩至</w:t>
      </w:r>
      <w:r>
        <w:rPr>
          <w:color w:val="000000"/>
          <w:sz w:val="24"/>
        </w:rPr>
        <w:t>10-</w:t>
      </w:r>
      <w:r>
        <w:rPr>
          <w:color w:val="000000"/>
          <w:sz w:val="24"/>
        </w:rPr>
        <w:t>20bps</w:t>
      </w:r>
      <w:r>
        <w:rPr>
          <w:color w:val="000000"/>
          <w:sz w:val="24"/>
        </w:rPr>
        <w:t>。银行存单市场在三月上行并不明显，</w:t>
      </w:r>
      <w:r>
        <w:rPr>
          <w:color w:val="000000"/>
          <w:sz w:val="24"/>
        </w:rPr>
        <w:t>AAA</w:t>
      </w:r>
      <w:r>
        <w:rPr>
          <w:color w:val="000000"/>
          <w:sz w:val="24"/>
        </w:rPr>
        <w:t>评级的三个月存单在</w:t>
      </w:r>
      <w:r>
        <w:rPr>
          <w:color w:val="000000"/>
          <w:sz w:val="24"/>
        </w:rPr>
        <w:t>2.80-2.95%</w:t>
      </w:r>
      <w:r>
        <w:rPr>
          <w:color w:val="000000"/>
          <w:sz w:val="24"/>
        </w:rPr>
        <w:t>之间窄幅震荡。报告期内，三个月上海银行间拆借利率下行</w:t>
      </w:r>
      <w:r>
        <w:rPr>
          <w:color w:val="000000"/>
          <w:sz w:val="24"/>
        </w:rPr>
        <w:t>55BP</w:t>
      </w:r>
      <w:r>
        <w:rPr>
          <w:color w:val="000000"/>
          <w:sz w:val="24"/>
        </w:rPr>
        <w:t>到</w:t>
      </w:r>
      <w:r>
        <w:rPr>
          <w:color w:val="000000"/>
          <w:sz w:val="24"/>
        </w:rPr>
        <w:t>2.80%</w:t>
      </w:r>
      <w:r>
        <w:rPr>
          <w:color w:val="000000"/>
          <w:sz w:val="24"/>
        </w:rPr>
        <w:t>。</w:t>
      </w:r>
    </w:p>
    <w:p w:rsidR="00AA18F6" w:rsidRDefault="000078A6">
      <w:pPr>
        <w:spacing w:before="29" w:line="288" w:lineRule="auto"/>
        <w:ind w:firstLineChars="200" w:firstLine="480"/>
        <w:rPr>
          <w:color w:val="000000"/>
          <w:sz w:val="24"/>
        </w:rPr>
      </w:pPr>
      <w:r>
        <w:rPr>
          <w:color w:val="000000"/>
          <w:sz w:val="24"/>
        </w:rPr>
        <w:t>基金操作方面，我们仍旧维持低杠杆、</w:t>
      </w:r>
      <w:proofErr w:type="gramStart"/>
      <w:r>
        <w:rPr>
          <w:color w:val="000000"/>
          <w:sz w:val="24"/>
        </w:rPr>
        <w:t>短久期</w:t>
      </w:r>
      <w:proofErr w:type="gramEnd"/>
      <w:r>
        <w:rPr>
          <w:color w:val="000000"/>
          <w:sz w:val="24"/>
        </w:rPr>
        <w:t>的操作思路，多投资于估值波动较小的银行存款与回购等，组合整体流动性良好。三月末我们视组合流动性和市场情况，增配了高评级的同业存单、同业存款等，维持组合收益水平。</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2019</w:t>
      </w:r>
      <w:r w:rsidRPr="000E4C40">
        <w:rPr>
          <w:color w:val="000000"/>
          <w:sz w:val="24"/>
        </w:rPr>
        <w:t>年二季度，我们将关注风险资产特别是股市在二季度的表现和其溢出效</w:t>
      </w:r>
      <w:r w:rsidRPr="000E4C40">
        <w:rPr>
          <w:color w:val="000000"/>
          <w:sz w:val="24"/>
        </w:rPr>
        <w:lastRenderedPageBreak/>
        <w:t>应，警惕中美贸易谈判可能出现的超预期影响，继续观察银行理财子公司的发展以及类货币型理财产品对行业生态的影响。我们认为，海外货币政策的逐步宽松，将打开国内政策的操作空间，货币政策应该会延续稳健宽松的状态，财政政策将会更加积极。本基金将根据不同资产收益率的动态变化，适时调整组合结构，根据期限利差动态调整组合杠杆率，通过对市场利率的前瞻性判断进行合理有效</w:t>
      </w:r>
      <w:proofErr w:type="gramStart"/>
      <w:r w:rsidRPr="000E4C40">
        <w:rPr>
          <w:color w:val="000000"/>
          <w:sz w:val="24"/>
        </w:rPr>
        <w:t>的久期管理</w:t>
      </w:r>
      <w:proofErr w:type="gramEnd"/>
      <w:r w:rsidRPr="000E4C40">
        <w:rPr>
          <w:color w:val="000000"/>
          <w:sz w:val="24"/>
        </w:rPr>
        <w:t>，严格控制信用风险、流动性风险和利率风险，努力为持有人创造稳健的收益。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本基金（各类）份额净值及业绩表现请见</w:t>
      </w:r>
      <w:r w:rsidRPr="000E4C40">
        <w:rPr>
          <w:color w:val="000000"/>
          <w:sz w:val="24"/>
        </w:rPr>
        <w:t xml:space="preserve">“3.1 </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“3.2.1</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29,860,283.64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35.40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29,860,283.64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35.40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33,000,289.50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39.12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21,465,311.35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25.45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20,341.60</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0.02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84,346,226.09</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4A314B">
            <w:pPr>
              <w:spacing w:before="29" w:line="288" w:lineRule="auto"/>
              <w:jc w:val="right"/>
              <w:rPr>
                <w:sz w:val="24"/>
              </w:rPr>
            </w:pPr>
            <w:r w:rsidRPr="000E4C40">
              <w:rPr>
                <w:sz w:val="24"/>
              </w:rPr>
              <w:t>5.</w:t>
            </w:r>
            <w:r w:rsidR="004A314B">
              <w:rPr>
                <w:sz w:val="24"/>
              </w:rPr>
              <w:t>04</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43</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51</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46.91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11.84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lastRenderedPageBreak/>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41.49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100.24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9,955,348.77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11.83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proofErr w:type="gramStart"/>
            <w:r w:rsidR="00BC0205" w:rsidRPr="000E4C40">
              <w:rPr>
                <w:rFonts w:hAnsi="宋体"/>
                <w:color w:val="000000"/>
                <w:sz w:val="24"/>
              </w:rPr>
              <w:t>券</w:t>
            </w:r>
            <w:proofErr w:type="gramEnd"/>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19,904,934.87</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23.66</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29,860,283.64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35.50</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w:t>
      </w:r>
      <w:proofErr w:type="gramStart"/>
      <w:r w:rsidR="00902E3F" w:rsidRPr="000E4C40">
        <w:rPr>
          <w:rFonts w:hAnsi="宋体"/>
          <w:b/>
          <w:color w:val="000000"/>
          <w:kern w:val="0"/>
          <w:sz w:val="24"/>
        </w:rPr>
        <w:t>按摊余成本</w:t>
      </w:r>
      <w:proofErr w:type="gramEnd"/>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85"/>
        <w:gridCol w:w="1279"/>
        <w:gridCol w:w="1857"/>
        <w:gridCol w:w="1168"/>
        <w:gridCol w:w="2110"/>
        <w:gridCol w:w="1469"/>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lastRenderedPageBreak/>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AA18F6">
        <w:trPr>
          <w:jc w:val="center"/>
        </w:trPr>
        <w:tc>
          <w:tcPr>
            <w:tcW w:w="0" w:type="auto"/>
            <w:vAlign w:val="center"/>
          </w:tcPr>
          <w:p w:rsidR="00AA18F6" w:rsidRDefault="000078A6">
            <w:pPr>
              <w:jc w:val="center"/>
            </w:pPr>
            <w:r>
              <w:rPr>
                <w:color w:val="000000"/>
                <w:sz w:val="24"/>
              </w:rPr>
              <w:t>1</w:t>
            </w:r>
          </w:p>
        </w:tc>
        <w:tc>
          <w:tcPr>
            <w:tcW w:w="0" w:type="auto"/>
            <w:vAlign w:val="center"/>
          </w:tcPr>
          <w:p w:rsidR="00AA18F6" w:rsidRDefault="000078A6">
            <w:pPr>
              <w:jc w:val="center"/>
            </w:pPr>
            <w:r>
              <w:rPr>
                <w:color w:val="000000"/>
                <w:sz w:val="24"/>
              </w:rPr>
              <w:t>111821195</w:t>
            </w:r>
          </w:p>
        </w:tc>
        <w:tc>
          <w:tcPr>
            <w:tcW w:w="0" w:type="auto"/>
            <w:vAlign w:val="center"/>
          </w:tcPr>
          <w:p w:rsidR="00AA18F6" w:rsidRDefault="000078A6">
            <w:pPr>
              <w:jc w:val="center"/>
            </w:pPr>
            <w:r>
              <w:rPr>
                <w:color w:val="000000"/>
                <w:sz w:val="24"/>
              </w:rPr>
              <w:t>18</w:t>
            </w:r>
            <w:r>
              <w:rPr>
                <w:color w:val="000000"/>
                <w:sz w:val="24"/>
              </w:rPr>
              <w:t>渤海银行</w:t>
            </w:r>
            <w:r>
              <w:rPr>
                <w:color w:val="000000"/>
                <w:sz w:val="24"/>
              </w:rPr>
              <w:t>CD195</w:t>
            </w:r>
          </w:p>
        </w:tc>
        <w:tc>
          <w:tcPr>
            <w:tcW w:w="0" w:type="auto"/>
            <w:vAlign w:val="center"/>
          </w:tcPr>
          <w:p w:rsidR="00AA18F6" w:rsidRDefault="000078A6">
            <w:pPr>
              <w:jc w:val="right"/>
            </w:pPr>
            <w:r>
              <w:rPr>
                <w:color w:val="000000"/>
                <w:sz w:val="24"/>
              </w:rPr>
              <w:t>100,000</w:t>
            </w:r>
          </w:p>
        </w:tc>
        <w:tc>
          <w:tcPr>
            <w:tcW w:w="0" w:type="auto"/>
            <w:vAlign w:val="center"/>
          </w:tcPr>
          <w:p w:rsidR="00AA18F6" w:rsidRDefault="000078A6">
            <w:pPr>
              <w:jc w:val="right"/>
            </w:pPr>
            <w:r>
              <w:rPr>
                <w:color w:val="000000"/>
                <w:sz w:val="24"/>
              </w:rPr>
              <w:t>9,958,179.72</w:t>
            </w:r>
          </w:p>
        </w:tc>
        <w:tc>
          <w:tcPr>
            <w:tcW w:w="0" w:type="auto"/>
            <w:vAlign w:val="center"/>
          </w:tcPr>
          <w:p w:rsidR="00AA18F6" w:rsidRDefault="000078A6">
            <w:pPr>
              <w:jc w:val="right"/>
            </w:pPr>
            <w:r>
              <w:rPr>
                <w:color w:val="000000"/>
                <w:sz w:val="24"/>
              </w:rPr>
              <w:t>11.84</w:t>
            </w:r>
          </w:p>
        </w:tc>
      </w:tr>
      <w:tr w:rsidR="00AA18F6">
        <w:trPr>
          <w:jc w:val="center"/>
        </w:trPr>
        <w:tc>
          <w:tcPr>
            <w:tcW w:w="0" w:type="auto"/>
            <w:vAlign w:val="center"/>
          </w:tcPr>
          <w:p w:rsidR="00AA18F6" w:rsidRDefault="000078A6">
            <w:pPr>
              <w:jc w:val="center"/>
            </w:pPr>
            <w:r>
              <w:rPr>
                <w:color w:val="000000"/>
                <w:sz w:val="24"/>
              </w:rPr>
              <w:t>2</w:t>
            </w:r>
          </w:p>
        </w:tc>
        <w:tc>
          <w:tcPr>
            <w:tcW w:w="0" w:type="auto"/>
            <w:vAlign w:val="center"/>
          </w:tcPr>
          <w:p w:rsidR="00AA18F6" w:rsidRDefault="000078A6">
            <w:pPr>
              <w:jc w:val="center"/>
            </w:pPr>
            <w:r>
              <w:rPr>
                <w:color w:val="000000"/>
                <w:sz w:val="24"/>
              </w:rPr>
              <w:t>199911</w:t>
            </w:r>
          </w:p>
        </w:tc>
        <w:tc>
          <w:tcPr>
            <w:tcW w:w="0" w:type="auto"/>
            <w:vAlign w:val="center"/>
          </w:tcPr>
          <w:p w:rsidR="00AA18F6" w:rsidRDefault="000078A6">
            <w:pPr>
              <w:jc w:val="center"/>
            </w:pPr>
            <w:r>
              <w:rPr>
                <w:color w:val="000000"/>
                <w:sz w:val="24"/>
              </w:rPr>
              <w:t>19</w:t>
            </w:r>
            <w:r>
              <w:rPr>
                <w:color w:val="000000"/>
                <w:sz w:val="24"/>
              </w:rPr>
              <w:t>贴现国债</w:t>
            </w:r>
            <w:r>
              <w:rPr>
                <w:color w:val="000000"/>
                <w:sz w:val="24"/>
              </w:rPr>
              <w:t>11</w:t>
            </w:r>
          </w:p>
        </w:tc>
        <w:tc>
          <w:tcPr>
            <w:tcW w:w="0" w:type="auto"/>
            <w:vAlign w:val="center"/>
          </w:tcPr>
          <w:p w:rsidR="00AA18F6" w:rsidRDefault="000078A6">
            <w:pPr>
              <w:jc w:val="right"/>
            </w:pPr>
            <w:r>
              <w:rPr>
                <w:color w:val="000000"/>
                <w:sz w:val="24"/>
              </w:rPr>
              <w:t>100,000</w:t>
            </w:r>
          </w:p>
        </w:tc>
        <w:tc>
          <w:tcPr>
            <w:tcW w:w="0" w:type="auto"/>
            <w:vAlign w:val="center"/>
          </w:tcPr>
          <w:p w:rsidR="00AA18F6" w:rsidRDefault="000078A6">
            <w:pPr>
              <w:jc w:val="right"/>
            </w:pPr>
            <w:r>
              <w:rPr>
                <w:color w:val="000000"/>
                <w:sz w:val="24"/>
              </w:rPr>
              <w:t>9,955,348.77</w:t>
            </w:r>
          </w:p>
        </w:tc>
        <w:tc>
          <w:tcPr>
            <w:tcW w:w="0" w:type="auto"/>
            <w:vAlign w:val="center"/>
          </w:tcPr>
          <w:p w:rsidR="00AA18F6" w:rsidRDefault="000078A6">
            <w:pPr>
              <w:jc w:val="right"/>
            </w:pPr>
            <w:r>
              <w:rPr>
                <w:color w:val="000000"/>
                <w:sz w:val="24"/>
              </w:rPr>
              <w:t>11.83</w:t>
            </w:r>
          </w:p>
        </w:tc>
      </w:tr>
      <w:tr w:rsidR="00AA18F6">
        <w:trPr>
          <w:jc w:val="center"/>
        </w:trPr>
        <w:tc>
          <w:tcPr>
            <w:tcW w:w="0" w:type="auto"/>
            <w:vAlign w:val="center"/>
          </w:tcPr>
          <w:p w:rsidR="00AA18F6" w:rsidRDefault="000078A6">
            <w:pPr>
              <w:jc w:val="center"/>
            </w:pPr>
            <w:r>
              <w:rPr>
                <w:color w:val="000000"/>
                <w:sz w:val="24"/>
              </w:rPr>
              <w:t>3</w:t>
            </w:r>
          </w:p>
        </w:tc>
        <w:tc>
          <w:tcPr>
            <w:tcW w:w="0" w:type="auto"/>
            <w:vAlign w:val="center"/>
          </w:tcPr>
          <w:p w:rsidR="00AA18F6" w:rsidRDefault="000078A6">
            <w:pPr>
              <w:jc w:val="center"/>
            </w:pPr>
            <w:r>
              <w:rPr>
                <w:color w:val="000000"/>
                <w:sz w:val="24"/>
              </w:rPr>
              <w:t>111919085</w:t>
            </w:r>
          </w:p>
        </w:tc>
        <w:tc>
          <w:tcPr>
            <w:tcW w:w="0" w:type="auto"/>
            <w:vAlign w:val="center"/>
          </w:tcPr>
          <w:p w:rsidR="00AA18F6" w:rsidRDefault="000078A6">
            <w:pPr>
              <w:jc w:val="center"/>
            </w:pPr>
            <w:r>
              <w:rPr>
                <w:color w:val="000000"/>
                <w:sz w:val="24"/>
              </w:rPr>
              <w:t>19</w:t>
            </w:r>
            <w:r>
              <w:rPr>
                <w:color w:val="000000"/>
                <w:sz w:val="24"/>
              </w:rPr>
              <w:t>恒丰银行</w:t>
            </w:r>
            <w:r>
              <w:rPr>
                <w:color w:val="000000"/>
                <w:sz w:val="24"/>
              </w:rPr>
              <w:t>CD085</w:t>
            </w:r>
          </w:p>
        </w:tc>
        <w:tc>
          <w:tcPr>
            <w:tcW w:w="0" w:type="auto"/>
            <w:vAlign w:val="center"/>
          </w:tcPr>
          <w:p w:rsidR="00AA18F6" w:rsidRDefault="000078A6">
            <w:pPr>
              <w:jc w:val="right"/>
            </w:pPr>
            <w:r>
              <w:rPr>
                <w:color w:val="000000"/>
                <w:sz w:val="24"/>
              </w:rPr>
              <w:t>100,000</w:t>
            </w:r>
          </w:p>
        </w:tc>
        <w:tc>
          <w:tcPr>
            <w:tcW w:w="0" w:type="auto"/>
            <w:vAlign w:val="center"/>
          </w:tcPr>
          <w:p w:rsidR="00AA18F6" w:rsidRDefault="000078A6">
            <w:pPr>
              <w:jc w:val="right"/>
            </w:pPr>
            <w:r>
              <w:rPr>
                <w:color w:val="000000"/>
                <w:sz w:val="24"/>
              </w:rPr>
              <w:t>9,946,755.15</w:t>
            </w:r>
          </w:p>
        </w:tc>
        <w:tc>
          <w:tcPr>
            <w:tcW w:w="0" w:type="auto"/>
            <w:vAlign w:val="center"/>
          </w:tcPr>
          <w:p w:rsidR="00AA18F6" w:rsidRDefault="000078A6">
            <w:pPr>
              <w:jc w:val="right"/>
            </w:pPr>
            <w:r>
              <w:rPr>
                <w:color w:val="000000"/>
                <w:sz w:val="24"/>
              </w:rPr>
              <w:t>11.82</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0.0337%</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-0.0002%</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0078A6">
            <w:pPr>
              <w:spacing w:before="29" w:line="288" w:lineRule="auto"/>
              <w:jc w:val="right"/>
              <w:rPr>
                <w:sz w:val="24"/>
              </w:rPr>
            </w:pPr>
            <w:r w:rsidRPr="000E4C40">
              <w:rPr>
                <w:color w:val="000000"/>
                <w:sz w:val="24"/>
              </w:rPr>
              <w:t>0.02</w:t>
            </w:r>
            <w:r w:rsidR="000078A6">
              <w:rPr>
                <w:color w:val="000000"/>
                <w:sz w:val="24"/>
              </w:rPr>
              <w:t>2</w:t>
            </w:r>
            <w:r w:rsidRPr="000E4C40">
              <w:rPr>
                <w:color w:val="000000"/>
                <w:sz w:val="24"/>
              </w:rPr>
              <w:t>1%</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bookmarkStart w:id="2" w:name="_GoBack"/>
      <w:bookmarkEnd w:id="2"/>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w:t>
      </w:r>
      <w:proofErr w:type="gramStart"/>
      <w:r w:rsidRPr="000E4C40">
        <w:rPr>
          <w:color w:val="000000"/>
          <w:sz w:val="24"/>
        </w:rPr>
        <w:t>余成本</w:t>
      </w:r>
      <w:proofErr w:type="gramEnd"/>
      <w:r w:rsidRPr="000E4C40">
        <w:rPr>
          <w:color w:val="000000"/>
          <w:sz w:val="24"/>
        </w:rPr>
        <w:t>法计价，即计价对象以买入成本列示，按票面利率或商定利率并考虑其买入时的溢价与折价，在其剩余期限内按照实际利率</w:t>
      </w:r>
      <w:proofErr w:type="gramStart"/>
      <w:r w:rsidRPr="000E4C40">
        <w:rPr>
          <w:color w:val="000000"/>
          <w:sz w:val="24"/>
        </w:rPr>
        <w:t>和摊余成本</w:t>
      </w:r>
      <w:proofErr w:type="gramEnd"/>
      <w:r w:rsidRPr="000E4C40">
        <w:rPr>
          <w:color w:val="000000"/>
          <w:sz w:val="24"/>
        </w:rPr>
        <w:t>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705.13</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19,136.47</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500.00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20,341.60</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交银天运</w:t>
            </w:r>
            <w:proofErr w:type="gramStart"/>
            <w:r w:rsidRPr="000E4C40">
              <w:rPr>
                <w:sz w:val="24"/>
              </w:rPr>
              <w:t>宝货币</w:t>
            </w:r>
            <w:proofErr w:type="gramEnd"/>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交银天运</w:t>
            </w:r>
            <w:proofErr w:type="gramStart"/>
            <w:r w:rsidRPr="000E4C40">
              <w:rPr>
                <w:sz w:val="24"/>
              </w:rPr>
              <w:t>宝货币</w:t>
            </w:r>
            <w:proofErr w:type="gramEnd"/>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w:t>
            </w:r>
            <w:proofErr w:type="gramStart"/>
            <w:r w:rsidRPr="000E4C40">
              <w:rPr>
                <w:rFonts w:hAnsi="宋体"/>
                <w:color w:val="000000"/>
                <w:kern w:val="0"/>
                <w:sz w:val="24"/>
              </w:rPr>
              <w:t>初基金</w:t>
            </w:r>
            <w:proofErr w:type="gramEnd"/>
            <w:r w:rsidRPr="000E4C40">
              <w:rPr>
                <w:rFonts w:hAnsi="宋体"/>
                <w:color w:val="000000"/>
                <w:kern w:val="0"/>
                <w:sz w:val="24"/>
              </w:rPr>
              <w:t>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8,363,859.38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204,330,994.49</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6,623,805.44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46,037,505.09</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5,842,190.74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175,389,507.61</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9,145,474.08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74,978,991.97</w:t>
            </w:r>
          </w:p>
        </w:tc>
      </w:tr>
    </w:tbl>
    <w:p w:rsidR="00AA18F6" w:rsidRDefault="000078A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18F6" w:rsidRDefault="000078A6">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、如果本报告期间发生转换出、份额类别调整业务，则总赎回份额中包含该业务。</w:t>
      </w:r>
    </w:p>
    <w:p w:rsidR="00AA5B03" w:rsidRPr="000E4C40" w:rsidRDefault="00AA5B03" w:rsidP="00281564">
      <w:pPr>
        <w:autoSpaceDE w:val="0"/>
        <w:autoSpaceDN w:val="0"/>
        <w:adjustRightInd w:val="0"/>
        <w:spacing w:before="29" w:line="288" w:lineRule="auto"/>
        <w:jc w:val="left"/>
        <w:rPr>
          <w:color w:val="000000"/>
          <w:sz w:val="24"/>
        </w:rPr>
      </w:pP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 xml:space="preserve">§7  </w:t>
      </w:r>
      <w:r w:rsidRPr="000E4C40">
        <w:rPr>
          <w:rFonts w:hAnsi="宋体"/>
          <w:color w:val="000000"/>
          <w:kern w:val="0"/>
          <w:sz w:val="24"/>
          <w:szCs w:val="24"/>
        </w:rPr>
        <w:t>基金管理人运用</w:t>
      </w:r>
      <w:proofErr w:type="gramStart"/>
      <w:r w:rsidRPr="000E4C40">
        <w:rPr>
          <w:rFonts w:hAnsi="宋体"/>
          <w:color w:val="000000"/>
          <w:kern w:val="0"/>
          <w:sz w:val="24"/>
          <w:szCs w:val="24"/>
        </w:rPr>
        <w:t>固有资金</w:t>
      </w:r>
      <w:proofErr w:type="gramEnd"/>
      <w:r w:rsidRPr="000E4C40">
        <w:rPr>
          <w:rFonts w:hAnsi="宋体"/>
          <w:color w:val="000000"/>
          <w:kern w:val="0"/>
          <w:sz w:val="24"/>
          <w:szCs w:val="24"/>
        </w:rPr>
        <w:t>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AA18F6">
        <w:trPr>
          <w:jc w:val="center"/>
        </w:trPr>
        <w:tc>
          <w:tcPr>
            <w:tcW w:w="1454" w:type="dxa"/>
            <w:vAlign w:val="center"/>
          </w:tcPr>
          <w:p w:rsidR="00AA18F6" w:rsidRDefault="000078A6">
            <w:pPr>
              <w:jc w:val="center"/>
            </w:pPr>
            <w:r>
              <w:rPr>
                <w:color w:val="000000"/>
                <w:sz w:val="24"/>
              </w:rPr>
              <w:t>1</w:t>
            </w:r>
          </w:p>
        </w:tc>
        <w:tc>
          <w:tcPr>
            <w:tcW w:w="1678" w:type="dxa"/>
            <w:vAlign w:val="center"/>
          </w:tcPr>
          <w:p w:rsidR="00AA18F6" w:rsidRDefault="000078A6">
            <w:pPr>
              <w:jc w:val="center"/>
            </w:pPr>
            <w:r>
              <w:rPr>
                <w:color w:val="000000"/>
                <w:sz w:val="24"/>
              </w:rPr>
              <w:t>A</w:t>
            </w:r>
            <w:r>
              <w:rPr>
                <w:color w:val="000000"/>
                <w:sz w:val="24"/>
              </w:rPr>
              <w:t>类份额红利再投</w:t>
            </w:r>
          </w:p>
        </w:tc>
        <w:tc>
          <w:tcPr>
            <w:tcW w:w="1249" w:type="dxa"/>
            <w:vAlign w:val="center"/>
          </w:tcPr>
          <w:p w:rsidR="00AA18F6" w:rsidRDefault="000078A6">
            <w:pPr>
              <w:jc w:val="center"/>
            </w:pPr>
            <w:r>
              <w:rPr>
                <w:color w:val="000000"/>
                <w:sz w:val="24"/>
              </w:rPr>
              <w:t>-</w:t>
            </w:r>
          </w:p>
        </w:tc>
        <w:tc>
          <w:tcPr>
            <w:tcW w:w="1544" w:type="dxa"/>
            <w:vAlign w:val="center"/>
          </w:tcPr>
          <w:p w:rsidR="00AA18F6" w:rsidRDefault="000078A6">
            <w:pPr>
              <w:jc w:val="right"/>
            </w:pPr>
            <w:r>
              <w:rPr>
                <w:color w:val="000000"/>
                <w:sz w:val="24"/>
              </w:rPr>
              <w:t>19,679.36</w:t>
            </w:r>
          </w:p>
        </w:tc>
        <w:tc>
          <w:tcPr>
            <w:tcW w:w="1670" w:type="dxa"/>
            <w:vAlign w:val="center"/>
          </w:tcPr>
          <w:p w:rsidR="00AA18F6" w:rsidRDefault="000078A6">
            <w:pPr>
              <w:jc w:val="right"/>
            </w:pPr>
            <w:r>
              <w:rPr>
                <w:color w:val="000000"/>
                <w:sz w:val="24"/>
              </w:rPr>
              <w:t>19,679.36</w:t>
            </w:r>
          </w:p>
        </w:tc>
        <w:tc>
          <w:tcPr>
            <w:tcW w:w="1273" w:type="dxa"/>
            <w:vAlign w:val="center"/>
          </w:tcPr>
          <w:p w:rsidR="00AA18F6" w:rsidRDefault="000078A6">
            <w:pPr>
              <w:jc w:val="center"/>
            </w:pPr>
            <w:r>
              <w:rPr>
                <w:color w:val="000000"/>
                <w:sz w:val="24"/>
              </w:rPr>
              <w:t>-</w:t>
            </w:r>
          </w:p>
        </w:tc>
      </w:tr>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19,679.36</w:t>
            </w:r>
          </w:p>
        </w:tc>
        <w:tc>
          <w:tcPr>
            <w:tcW w:w="1842"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19,679.36</w:t>
            </w:r>
          </w:p>
        </w:tc>
        <w:tc>
          <w:tcPr>
            <w:tcW w:w="1397"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AA18F6" w:rsidRDefault="000078A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A</w:t>
      </w:r>
      <w:r>
        <w:rPr>
          <w:color w:val="000000"/>
          <w:sz w:val="24"/>
        </w:rPr>
        <w:t>类份额</w:t>
      </w:r>
      <w:r>
        <w:rPr>
          <w:color w:val="000000"/>
          <w:sz w:val="24"/>
        </w:rPr>
        <w:t>3,067,024.31</w:t>
      </w:r>
      <w:r>
        <w:rPr>
          <w:color w:val="000000"/>
          <w:sz w:val="24"/>
        </w:rPr>
        <w:t>份，占本基金期末</w:t>
      </w:r>
      <w:r>
        <w:rPr>
          <w:color w:val="000000"/>
          <w:sz w:val="24"/>
        </w:rPr>
        <w:t>A</w:t>
      </w:r>
      <w:r>
        <w:rPr>
          <w:color w:val="000000"/>
          <w:sz w:val="24"/>
        </w:rPr>
        <w:t>类基金总份额的</w:t>
      </w:r>
      <w:r>
        <w:rPr>
          <w:color w:val="000000"/>
          <w:sz w:val="24"/>
        </w:rPr>
        <w:t>33.54%</w:t>
      </w:r>
      <w:r>
        <w:rPr>
          <w:color w:val="000000"/>
          <w:sz w:val="24"/>
        </w:rPr>
        <w:t>，本基金管理人本报告期末持有本基金</w:t>
      </w:r>
      <w:r>
        <w:rPr>
          <w:color w:val="000000"/>
          <w:sz w:val="24"/>
        </w:rPr>
        <w:t>E</w:t>
      </w:r>
      <w:r>
        <w:rPr>
          <w:color w:val="000000"/>
          <w:sz w:val="24"/>
        </w:rPr>
        <w:t>类份额</w:t>
      </w:r>
      <w:r>
        <w:rPr>
          <w:color w:val="000000"/>
          <w:sz w:val="24"/>
        </w:rPr>
        <w:t>0.00</w:t>
      </w:r>
      <w:r>
        <w:rPr>
          <w:color w:val="000000"/>
          <w:sz w:val="24"/>
        </w:rPr>
        <w:t>份，占本基金期末</w:t>
      </w:r>
      <w:r>
        <w:rPr>
          <w:color w:val="000000"/>
          <w:sz w:val="24"/>
        </w:rPr>
        <w:t>E</w:t>
      </w:r>
      <w:r>
        <w:rPr>
          <w:color w:val="000000"/>
          <w:sz w:val="24"/>
        </w:rPr>
        <w:t>类基金总份额的</w:t>
      </w:r>
      <w:r>
        <w:rPr>
          <w:color w:val="000000"/>
          <w:sz w:val="24"/>
        </w:rPr>
        <w:t>0.00%</w:t>
      </w:r>
      <w:r>
        <w:rPr>
          <w:color w:val="000000"/>
          <w:sz w:val="24"/>
        </w:rPr>
        <w:t>。</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、本基金收益分配按日结转份额。</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AA18F6">
        <w:tc>
          <w:tcPr>
            <w:tcW w:w="992" w:type="dxa"/>
            <w:vMerge w:val="restart"/>
          </w:tcPr>
          <w:p w:rsidR="00AA18F6" w:rsidRDefault="00AA18F6"/>
          <w:p w:rsidR="00AA18F6" w:rsidRDefault="000078A6">
            <w:r>
              <w:rPr>
                <w:rFonts w:ascii="宋体" w:hAnsi="宋体" w:hint="eastAsia"/>
                <w:bCs/>
                <w:color w:val="000000"/>
                <w:kern w:val="0"/>
                <w:szCs w:val="21"/>
              </w:rPr>
              <w:t>机构</w:t>
            </w:r>
          </w:p>
        </w:tc>
        <w:tc>
          <w:tcPr>
            <w:tcW w:w="991" w:type="dxa"/>
            <w:vAlign w:val="center"/>
          </w:tcPr>
          <w:p w:rsidR="00AA18F6" w:rsidRDefault="000078A6">
            <w:pPr>
              <w:jc w:val="center"/>
            </w:pPr>
            <w:r>
              <w:rPr>
                <w:rFonts w:ascii="宋体" w:hAnsi="宋体" w:hint="eastAsia"/>
                <w:color w:val="000000"/>
                <w:kern w:val="0"/>
                <w:szCs w:val="21"/>
              </w:rPr>
              <w:t>1</w:t>
            </w:r>
          </w:p>
        </w:tc>
        <w:tc>
          <w:tcPr>
            <w:tcW w:w="1843" w:type="dxa"/>
            <w:vAlign w:val="center"/>
          </w:tcPr>
          <w:p w:rsidR="00AA18F6" w:rsidRDefault="000078A6">
            <w:pPr>
              <w:jc w:val="center"/>
            </w:pPr>
            <w:r>
              <w:rPr>
                <w:rFonts w:ascii="宋体" w:hAnsi="宋体" w:hint="eastAsia"/>
                <w:color w:val="000000"/>
                <w:kern w:val="0"/>
                <w:szCs w:val="21"/>
              </w:rPr>
              <w:t>2019/1/1-2019/3/31</w:t>
            </w:r>
          </w:p>
        </w:tc>
        <w:tc>
          <w:tcPr>
            <w:tcW w:w="851" w:type="dxa"/>
            <w:vAlign w:val="center"/>
          </w:tcPr>
          <w:p w:rsidR="00AA18F6" w:rsidRDefault="000078A6">
            <w:pPr>
              <w:jc w:val="center"/>
            </w:pPr>
            <w:r>
              <w:rPr>
                <w:rFonts w:ascii="宋体" w:hAnsi="宋体" w:hint="eastAsia"/>
                <w:color w:val="000000"/>
                <w:kern w:val="0"/>
                <w:szCs w:val="21"/>
              </w:rPr>
              <w:t>99,353,370.85</w:t>
            </w:r>
          </w:p>
        </w:tc>
        <w:tc>
          <w:tcPr>
            <w:tcW w:w="850" w:type="dxa"/>
            <w:vAlign w:val="center"/>
          </w:tcPr>
          <w:p w:rsidR="00AA18F6" w:rsidRDefault="000078A6">
            <w:pPr>
              <w:jc w:val="center"/>
            </w:pPr>
            <w:r>
              <w:rPr>
                <w:rFonts w:ascii="宋体" w:hAnsi="宋体" w:hint="eastAsia"/>
                <w:color w:val="000000"/>
                <w:kern w:val="0"/>
                <w:szCs w:val="21"/>
              </w:rPr>
              <w:t>597,777.74</w:t>
            </w:r>
          </w:p>
        </w:tc>
        <w:tc>
          <w:tcPr>
            <w:tcW w:w="1134" w:type="dxa"/>
            <w:vAlign w:val="center"/>
          </w:tcPr>
          <w:p w:rsidR="00AA18F6" w:rsidRDefault="000078A6">
            <w:pPr>
              <w:jc w:val="center"/>
            </w:pPr>
            <w:r>
              <w:rPr>
                <w:rFonts w:ascii="宋体" w:hAnsi="宋体" w:hint="eastAsia"/>
                <w:color w:val="000000"/>
                <w:kern w:val="0"/>
                <w:szCs w:val="21"/>
              </w:rPr>
              <w:t>70,000,000.00</w:t>
            </w:r>
          </w:p>
        </w:tc>
        <w:tc>
          <w:tcPr>
            <w:tcW w:w="1419" w:type="dxa"/>
            <w:vAlign w:val="center"/>
          </w:tcPr>
          <w:p w:rsidR="00AA18F6" w:rsidRDefault="000078A6">
            <w:pPr>
              <w:jc w:val="center"/>
            </w:pPr>
            <w:r>
              <w:rPr>
                <w:rFonts w:ascii="宋体" w:hAnsi="宋体" w:hint="eastAsia"/>
                <w:color w:val="000000"/>
                <w:kern w:val="0"/>
                <w:szCs w:val="21"/>
              </w:rPr>
              <w:t>29,951,148.59</w:t>
            </w:r>
          </w:p>
        </w:tc>
        <w:tc>
          <w:tcPr>
            <w:tcW w:w="1130" w:type="dxa"/>
            <w:vAlign w:val="center"/>
          </w:tcPr>
          <w:p w:rsidR="00AA18F6" w:rsidRDefault="000078A6">
            <w:pPr>
              <w:jc w:val="center"/>
            </w:pPr>
            <w:r>
              <w:rPr>
                <w:rFonts w:ascii="宋体" w:hAnsi="宋体" w:hint="eastAsia"/>
                <w:color w:val="000000"/>
                <w:kern w:val="0"/>
                <w:szCs w:val="21"/>
              </w:rPr>
              <w:t>35.60%</w:t>
            </w:r>
          </w:p>
        </w:tc>
      </w:tr>
      <w:tr w:rsidR="00AA18F6">
        <w:tc>
          <w:tcPr>
            <w:tcW w:w="992" w:type="dxa"/>
            <w:vMerge/>
          </w:tcPr>
          <w:p w:rsidR="00AA18F6" w:rsidRDefault="00AA18F6"/>
        </w:tc>
        <w:tc>
          <w:tcPr>
            <w:tcW w:w="991" w:type="dxa"/>
            <w:vAlign w:val="center"/>
          </w:tcPr>
          <w:p w:rsidR="00AA18F6" w:rsidRDefault="000078A6">
            <w:pPr>
              <w:jc w:val="center"/>
            </w:pPr>
            <w:r>
              <w:rPr>
                <w:rFonts w:ascii="宋体" w:hAnsi="宋体" w:hint="eastAsia"/>
                <w:color w:val="000000"/>
                <w:kern w:val="0"/>
                <w:szCs w:val="21"/>
              </w:rPr>
              <w:t>2</w:t>
            </w:r>
          </w:p>
        </w:tc>
        <w:tc>
          <w:tcPr>
            <w:tcW w:w="1843" w:type="dxa"/>
            <w:vAlign w:val="center"/>
          </w:tcPr>
          <w:p w:rsidR="00AA18F6" w:rsidRDefault="000078A6">
            <w:pPr>
              <w:jc w:val="center"/>
            </w:pPr>
            <w:r>
              <w:rPr>
                <w:rFonts w:ascii="宋体" w:hAnsi="宋体" w:hint="eastAsia"/>
                <w:color w:val="000000"/>
                <w:kern w:val="0"/>
                <w:szCs w:val="21"/>
              </w:rPr>
              <w:t>2019/1/1-2019/3/31</w:t>
            </w:r>
          </w:p>
        </w:tc>
        <w:tc>
          <w:tcPr>
            <w:tcW w:w="851" w:type="dxa"/>
            <w:vAlign w:val="center"/>
          </w:tcPr>
          <w:p w:rsidR="00AA18F6" w:rsidRDefault="000078A6">
            <w:pPr>
              <w:jc w:val="center"/>
            </w:pPr>
            <w:r>
              <w:rPr>
                <w:rFonts w:ascii="宋体" w:hAnsi="宋体" w:hint="eastAsia"/>
                <w:color w:val="000000"/>
                <w:kern w:val="0"/>
                <w:szCs w:val="21"/>
              </w:rPr>
              <w:t>40,062,469.22</w:t>
            </w:r>
          </w:p>
        </w:tc>
        <w:tc>
          <w:tcPr>
            <w:tcW w:w="850" w:type="dxa"/>
            <w:vAlign w:val="center"/>
          </w:tcPr>
          <w:p w:rsidR="00AA18F6" w:rsidRDefault="000078A6">
            <w:pPr>
              <w:jc w:val="center"/>
            </w:pPr>
            <w:r>
              <w:rPr>
                <w:rFonts w:ascii="宋体" w:hAnsi="宋体" w:hint="eastAsia"/>
                <w:color w:val="000000"/>
                <w:kern w:val="0"/>
                <w:szCs w:val="21"/>
              </w:rPr>
              <w:t>25,055,727.96</w:t>
            </w:r>
          </w:p>
        </w:tc>
        <w:tc>
          <w:tcPr>
            <w:tcW w:w="1134" w:type="dxa"/>
            <w:vAlign w:val="center"/>
          </w:tcPr>
          <w:p w:rsidR="00AA18F6" w:rsidRDefault="000078A6">
            <w:pPr>
              <w:jc w:val="center"/>
            </w:pPr>
            <w:r>
              <w:rPr>
                <w:rFonts w:ascii="宋体" w:hAnsi="宋体" w:hint="eastAsia"/>
                <w:color w:val="000000"/>
                <w:kern w:val="0"/>
                <w:szCs w:val="21"/>
              </w:rPr>
              <w:t>40,114,117.47</w:t>
            </w:r>
          </w:p>
        </w:tc>
        <w:tc>
          <w:tcPr>
            <w:tcW w:w="1419" w:type="dxa"/>
            <w:vAlign w:val="center"/>
          </w:tcPr>
          <w:p w:rsidR="00AA18F6" w:rsidRDefault="000078A6">
            <w:pPr>
              <w:jc w:val="center"/>
            </w:pPr>
            <w:r>
              <w:rPr>
                <w:rFonts w:ascii="宋体" w:hAnsi="宋体" w:hint="eastAsia"/>
                <w:color w:val="000000"/>
                <w:kern w:val="0"/>
                <w:szCs w:val="21"/>
              </w:rPr>
              <w:t>25,004,079.71</w:t>
            </w:r>
          </w:p>
        </w:tc>
        <w:tc>
          <w:tcPr>
            <w:tcW w:w="1130" w:type="dxa"/>
            <w:vAlign w:val="center"/>
          </w:tcPr>
          <w:p w:rsidR="00AA18F6" w:rsidRDefault="000078A6">
            <w:pPr>
              <w:jc w:val="center"/>
            </w:pPr>
            <w:r>
              <w:rPr>
                <w:rFonts w:ascii="宋体" w:hAnsi="宋体" w:hint="eastAsia"/>
                <w:color w:val="000000"/>
                <w:kern w:val="0"/>
                <w:szCs w:val="21"/>
              </w:rPr>
              <w:t>29.72%</w:t>
            </w:r>
          </w:p>
        </w:tc>
      </w:tr>
      <w:tr w:rsidR="00AA18F6">
        <w:tc>
          <w:tcPr>
            <w:tcW w:w="992" w:type="dxa"/>
            <w:vMerge/>
          </w:tcPr>
          <w:p w:rsidR="00AA18F6" w:rsidRDefault="00AA18F6"/>
        </w:tc>
        <w:tc>
          <w:tcPr>
            <w:tcW w:w="991" w:type="dxa"/>
            <w:vAlign w:val="center"/>
          </w:tcPr>
          <w:p w:rsidR="00AA18F6" w:rsidRDefault="000078A6">
            <w:pPr>
              <w:jc w:val="center"/>
            </w:pPr>
            <w:r>
              <w:rPr>
                <w:rFonts w:ascii="宋体" w:hAnsi="宋体" w:hint="eastAsia"/>
                <w:color w:val="000000"/>
                <w:kern w:val="0"/>
                <w:szCs w:val="21"/>
              </w:rPr>
              <w:t>3</w:t>
            </w:r>
          </w:p>
        </w:tc>
        <w:tc>
          <w:tcPr>
            <w:tcW w:w="1843" w:type="dxa"/>
            <w:vAlign w:val="center"/>
          </w:tcPr>
          <w:p w:rsidR="00AA18F6" w:rsidRDefault="000078A6">
            <w:pPr>
              <w:jc w:val="center"/>
            </w:pPr>
            <w:r>
              <w:rPr>
                <w:rFonts w:ascii="宋体" w:hAnsi="宋体" w:hint="eastAsia"/>
                <w:color w:val="000000"/>
                <w:kern w:val="0"/>
                <w:szCs w:val="21"/>
              </w:rPr>
              <w:t>2019/1/1-2019/3/31</w:t>
            </w:r>
          </w:p>
        </w:tc>
        <w:tc>
          <w:tcPr>
            <w:tcW w:w="851" w:type="dxa"/>
            <w:vAlign w:val="center"/>
          </w:tcPr>
          <w:p w:rsidR="00AA18F6" w:rsidRDefault="000078A6">
            <w:pPr>
              <w:jc w:val="center"/>
            </w:pPr>
            <w:r>
              <w:rPr>
                <w:rFonts w:ascii="宋体" w:hAnsi="宋体" w:hint="eastAsia"/>
                <w:color w:val="000000"/>
                <w:kern w:val="0"/>
                <w:szCs w:val="21"/>
              </w:rPr>
              <w:t>-</w:t>
            </w:r>
          </w:p>
        </w:tc>
        <w:tc>
          <w:tcPr>
            <w:tcW w:w="850" w:type="dxa"/>
            <w:vAlign w:val="center"/>
          </w:tcPr>
          <w:p w:rsidR="00AA18F6" w:rsidRDefault="000078A6">
            <w:pPr>
              <w:jc w:val="center"/>
            </w:pPr>
            <w:r>
              <w:rPr>
                <w:rFonts w:ascii="宋体" w:hAnsi="宋体" w:hint="eastAsia"/>
                <w:color w:val="000000"/>
                <w:kern w:val="0"/>
                <w:szCs w:val="21"/>
              </w:rPr>
              <w:t>20,003,263.75</w:t>
            </w:r>
          </w:p>
        </w:tc>
        <w:tc>
          <w:tcPr>
            <w:tcW w:w="1134" w:type="dxa"/>
            <w:vAlign w:val="center"/>
          </w:tcPr>
          <w:p w:rsidR="00AA18F6" w:rsidRDefault="000078A6">
            <w:pPr>
              <w:jc w:val="center"/>
            </w:pPr>
            <w:r>
              <w:rPr>
                <w:rFonts w:ascii="宋体" w:hAnsi="宋体" w:hint="eastAsia"/>
                <w:color w:val="000000"/>
                <w:kern w:val="0"/>
                <w:szCs w:val="21"/>
              </w:rPr>
              <w:t>-</w:t>
            </w:r>
          </w:p>
        </w:tc>
        <w:tc>
          <w:tcPr>
            <w:tcW w:w="1419" w:type="dxa"/>
            <w:vAlign w:val="center"/>
          </w:tcPr>
          <w:p w:rsidR="00AA18F6" w:rsidRDefault="000078A6">
            <w:pPr>
              <w:jc w:val="center"/>
            </w:pPr>
            <w:r>
              <w:rPr>
                <w:rFonts w:ascii="宋体" w:hAnsi="宋体" w:hint="eastAsia"/>
                <w:color w:val="000000"/>
                <w:kern w:val="0"/>
                <w:szCs w:val="21"/>
              </w:rPr>
              <w:t>20,003,263.75</w:t>
            </w:r>
          </w:p>
        </w:tc>
        <w:tc>
          <w:tcPr>
            <w:tcW w:w="1130" w:type="dxa"/>
            <w:vAlign w:val="center"/>
          </w:tcPr>
          <w:p w:rsidR="00AA18F6" w:rsidRDefault="000078A6">
            <w:pPr>
              <w:jc w:val="center"/>
            </w:pPr>
            <w:r>
              <w:rPr>
                <w:rFonts w:ascii="宋体" w:hAnsi="宋体" w:hint="eastAsia"/>
                <w:color w:val="000000"/>
                <w:kern w:val="0"/>
                <w:szCs w:val="21"/>
              </w:rPr>
              <w:t>23.78%</w:t>
            </w:r>
          </w:p>
        </w:tc>
      </w:tr>
      <w:tr w:rsidR="00AA18F6">
        <w:tc>
          <w:tcPr>
            <w:tcW w:w="992" w:type="dxa"/>
            <w:vMerge/>
          </w:tcPr>
          <w:p w:rsidR="00AA18F6" w:rsidRDefault="00AA18F6"/>
        </w:tc>
        <w:tc>
          <w:tcPr>
            <w:tcW w:w="991" w:type="dxa"/>
            <w:vAlign w:val="center"/>
          </w:tcPr>
          <w:p w:rsidR="00AA18F6" w:rsidRDefault="000078A6">
            <w:pPr>
              <w:jc w:val="center"/>
            </w:pPr>
            <w:r>
              <w:rPr>
                <w:rFonts w:ascii="宋体" w:hAnsi="宋体" w:hint="eastAsia"/>
                <w:color w:val="000000"/>
                <w:kern w:val="0"/>
                <w:szCs w:val="21"/>
              </w:rPr>
              <w:t>4</w:t>
            </w:r>
          </w:p>
        </w:tc>
        <w:tc>
          <w:tcPr>
            <w:tcW w:w="1843" w:type="dxa"/>
            <w:vAlign w:val="center"/>
          </w:tcPr>
          <w:p w:rsidR="00AA18F6" w:rsidRDefault="000078A6">
            <w:pPr>
              <w:jc w:val="center"/>
            </w:pPr>
            <w:r>
              <w:rPr>
                <w:rFonts w:ascii="宋体" w:hAnsi="宋体" w:hint="eastAsia"/>
                <w:color w:val="000000"/>
                <w:kern w:val="0"/>
                <w:szCs w:val="21"/>
              </w:rPr>
              <w:t>2019/1/1-2019/3/31</w:t>
            </w:r>
          </w:p>
        </w:tc>
        <w:tc>
          <w:tcPr>
            <w:tcW w:w="851" w:type="dxa"/>
            <w:vAlign w:val="center"/>
          </w:tcPr>
          <w:p w:rsidR="00AA18F6" w:rsidRDefault="000078A6">
            <w:pPr>
              <w:jc w:val="center"/>
            </w:pPr>
            <w:r>
              <w:rPr>
                <w:rFonts w:ascii="宋体" w:hAnsi="宋体" w:hint="eastAsia"/>
                <w:color w:val="000000"/>
                <w:kern w:val="0"/>
                <w:szCs w:val="21"/>
              </w:rPr>
              <w:t>51,767,688.21</w:t>
            </w:r>
          </w:p>
        </w:tc>
        <w:tc>
          <w:tcPr>
            <w:tcW w:w="850" w:type="dxa"/>
            <w:vAlign w:val="center"/>
          </w:tcPr>
          <w:p w:rsidR="00AA18F6" w:rsidRDefault="000078A6">
            <w:pPr>
              <w:jc w:val="center"/>
            </w:pPr>
            <w:r>
              <w:rPr>
                <w:rFonts w:ascii="宋体" w:hAnsi="宋体" w:hint="eastAsia"/>
                <w:color w:val="000000"/>
                <w:kern w:val="0"/>
                <w:szCs w:val="21"/>
              </w:rPr>
              <w:t>353,905.07</w:t>
            </w:r>
          </w:p>
        </w:tc>
        <w:tc>
          <w:tcPr>
            <w:tcW w:w="1134" w:type="dxa"/>
            <w:vAlign w:val="center"/>
          </w:tcPr>
          <w:p w:rsidR="00AA18F6" w:rsidRDefault="000078A6">
            <w:pPr>
              <w:jc w:val="center"/>
            </w:pPr>
            <w:r>
              <w:rPr>
                <w:rFonts w:ascii="宋体" w:hAnsi="宋体" w:hint="eastAsia"/>
                <w:color w:val="000000"/>
                <w:kern w:val="0"/>
                <w:szCs w:val="21"/>
              </w:rPr>
              <w:t>52,121,593.28</w:t>
            </w:r>
          </w:p>
        </w:tc>
        <w:tc>
          <w:tcPr>
            <w:tcW w:w="1419" w:type="dxa"/>
            <w:vAlign w:val="center"/>
          </w:tcPr>
          <w:p w:rsidR="00AA18F6" w:rsidRDefault="000078A6">
            <w:pPr>
              <w:jc w:val="center"/>
            </w:pPr>
            <w:r>
              <w:rPr>
                <w:rFonts w:ascii="宋体" w:hAnsi="宋体" w:hint="eastAsia"/>
                <w:color w:val="000000"/>
                <w:kern w:val="0"/>
                <w:szCs w:val="21"/>
              </w:rPr>
              <w:t>-</w:t>
            </w:r>
          </w:p>
        </w:tc>
        <w:tc>
          <w:tcPr>
            <w:tcW w:w="1130" w:type="dxa"/>
            <w:vAlign w:val="center"/>
          </w:tcPr>
          <w:p w:rsidR="00AA18F6" w:rsidRDefault="000078A6">
            <w:pPr>
              <w:jc w:val="center"/>
            </w:pPr>
            <w:r>
              <w:rPr>
                <w:rFonts w:ascii="宋体" w:hAnsi="宋体" w:hint="eastAsia"/>
                <w:color w:val="000000"/>
                <w:kern w:val="0"/>
                <w:szCs w:val="21"/>
              </w:rPr>
              <w:t>-</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AA18F6" w:rsidRDefault="000078A6">
      <w:pPr>
        <w:spacing w:before="29" w:line="288" w:lineRule="auto"/>
        <w:ind w:firstLineChars="200" w:firstLine="480"/>
        <w:rPr>
          <w:color w:val="000000"/>
          <w:sz w:val="24"/>
        </w:rPr>
      </w:pPr>
      <w:r>
        <w:rPr>
          <w:color w:val="000000"/>
          <w:sz w:val="24"/>
        </w:rPr>
        <w:t>1</w:t>
      </w:r>
      <w:r>
        <w:rPr>
          <w:color w:val="000000"/>
          <w:sz w:val="24"/>
        </w:rPr>
        <w:t>、中国证监会准予交银施罗德天运宝货币市场基金募集注册的文件；</w:t>
      </w:r>
      <w:r>
        <w:rPr>
          <w:color w:val="000000"/>
          <w:sz w:val="24"/>
        </w:rPr>
        <w:t xml:space="preserve"> </w:t>
      </w:r>
    </w:p>
    <w:p w:rsidR="00AA18F6" w:rsidRDefault="000078A6">
      <w:pPr>
        <w:spacing w:before="29" w:line="288" w:lineRule="auto"/>
        <w:ind w:firstLineChars="200" w:firstLine="480"/>
        <w:rPr>
          <w:color w:val="000000"/>
          <w:sz w:val="24"/>
        </w:rPr>
      </w:pPr>
      <w:r>
        <w:rPr>
          <w:color w:val="000000"/>
          <w:sz w:val="24"/>
        </w:rPr>
        <w:t>2</w:t>
      </w:r>
      <w:r>
        <w:rPr>
          <w:color w:val="000000"/>
          <w:sz w:val="24"/>
        </w:rPr>
        <w:t>、《交银施罗德天运宝货币市场基金基金合同》；</w:t>
      </w:r>
      <w:r>
        <w:rPr>
          <w:color w:val="000000"/>
          <w:sz w:val="24"/>
        </w:rPr>
        <w:t xml:space="preserve"> </w:t>
      </w:r>
    </w:p>
    <w:p w:rsidR="00AA18F6" w:rsidRDefault="000078A6">
      <w:pPr>
        <w:spacing w:before="29" w:line="288" w:lineRule="auto"/>
        <w:ind w:firstLineChars="200" w:firstLine="480"/>
        <w:rPr>
          <w:color w:val="000000"/>
          <w:sz w:val="24"/>
        </w:rPr>
      </w:pPr>
      <w:r>
        <w:rPr>
          <w:color w:val="000000"/>
          <w:sz w:val="24"/>
        </w:rPr>
        <w:t>3</w:t>
      </w:r>
      <w:r>
        <w:rPr>
          <w:color w:val="000000"/>
          <w:sz w:val="24"/>
        </w:rPr>
        <w:t>、《交银施罗德天运宝货币市场基金招募说明书》；</w:t>
      </w:r>
      <w:r>
        <w:rPr>
          <w:color w:val="000000"/>
          <w:sz w:val="24"/>
        </w:rPr>
        <w:t xml:space="preserve"> </w:t>
      </w:r>
    </w:p>
    <w:p w:rsidR="00AA18F6" w:rsidRDefault="000078A6">
      <w:pPr>
        <w:spacing w:before="29" w:line="288" w:lineRule="auto"/>
        <w:ind w:firstLineChars="200" w:firstLine="480"/>
        <w:rPr>
          <w:color w:val="000000"/>
          <w:sz w:val="24"/>
        </w:rPr>
      </w:pPr>
      <w:r>
        <w:rPr>
          <w:color w:val="000000"/>
          <w:sz w:val="24"/>
        </w:rPr>
        <w:t>4</w:t>
      </w:r>
      <w:r>
        <w:rPr>
          <w:color w:val="000000"/>
          <w:sz w:val="24"/>
        </w:rPr>
        <w:t>、《交银施罗德天运宝货币市场基金托管协议》；</w:t>
      </w:r>
      <w:r>
        <w:rPr>
          <w:color w:val="000000"/>
          <w:sz w:val="24"/>
        </w:rPr>
        <w:t xml:space="preserve"> </w:t>
      </w:r>
    </w:p>
    <w:p w:rsidR="00AA18F6" w:rsidRDefault="000078A6">
      <w:pPr>
        <w:spacing w:before="29" w:line="288" w:lineRule="auto"/>
        <w:ind w:firstLineChars="200" w:firstLine="480"/>
        <w:rPr>
          <w:color w:val="000000"/>
          <w:sz w:val="24"/>
        </w:rPr>
      </w:pPr>
      <w:r>
        <w:rPr>
          <w:color w:val="000000"/>
          <w:sz w:val="24"/>
        </w:rPr>
        <w:t>5</w:t>
      </w:r>
      <w:r>
        <w:rPr>
          <w:color w:val="000000"/>
          <w:sz w:val="24"/>
        </w:rPr>
        <w:t>、关于申请募集注册交银施罗德天运宝货币市场基金的法律意见书；</w:t>
      </w:r>
      <w:r>
        <w:rPr>
          <w:color w:val="000000"/>
          <w:sz w:val="24"/>
        </w:rPr>
        <w:t xml:space="preserve"> </w:t>
      </w:r>
    </w:p>
    <w:p w:rsidR="00AA18F6" w:rsidRDefault="000078A6">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AA18F6" w:rsidRDefault="000078A6">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A18F6" w:rsidRDefault="000078A6">
      <w:pPr>
        <w:spacing w:before="29" w:line="288" w:lineRule="auto"/>
        <w:ind w:firstLineChars="200" w:firstLine="480"/>
        <w:rPr>
          <w:color w:val="000000"/>
          <w:sz w:val="24"/>
        </w:rPr>
      </w:pPr>
      <w:r>
        <w:rPr>
          <w:color w:val="000000"/>
          <w:sz w:val="24"/>
        </w:rPr>
        <w:t>8</w:t>
      </w:r>
      <w:r>
        <w:rPr>
          <w:color w:val="000000"/>
          <w:sz w:val="24"/>
        </w:rPr>
        <w:t>、报告期内交银施罗德天运宝货币市场基金在指定报刊上各项公告的原稿。</w:t>
      </w:r>
    </w:p>
    <w:p w:rsidR="00AB373C" w:rsidRPr="000E4C40" w:rsidRDefault="00AB373C" w:rsidP="00281564">
      <w:pPr>
        <w:spacing w:before="29" w:line="288" w:lineRule="auto"/>
        <w:ind w:firstLineChars="200" w:firstLine="480"/>
        <w:rPr>
          <w:color w:val="000000"/>
          <w:sz w:val="24"/>
        </w:rPr>
      </w:pP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AA18F6" w:rsidRDefault="000078A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5FF" w:rsidRDefault="006245FF">
      <w:r>
        <w:separator/>
      </w:r>
    </w:p>
  </w:endnote>
  <w:endnote w:type="continuationSeparator" w:id="0">
    <w:p w:rsidR="006245FF" w:rsidRDefault="0062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0078A6">
      <w:rPr>
        <w:noProof/>
        <w:kern w:val="0"/>
        <w:szCs w:val="21"/>
      </w:rPr>
      <w:t>14</w:t>
    </w:r>
    <w:r w:rsidR="00457CD3">
      <w:rPr>
        <w:kern w:val="0"/>
        <w:szCs w:val="21"/>
      </w:rPr>
      <w:fldChar w:fldCharType="end"/>
    </w:r>
    <w:proofErr w:type="gramStart"/>
    <w:r>
      <w:rPr>
        <w:rFonts w:hint="eastAsia"/>
        <w:kern w:val="0"/>
        <w:szCs w:val="21"/>
      </w:rPr>
      <w:t>页共</w:t>
    </w:r>
    <w:proofErr w:type="gramEnd"/>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0078A6">
      <w:rPr>
        <w:noProof/>
        <w:kern w:val="0"/>
        <w:szCs w:val="21"/>
      </w:rPr>
      <w:t>14</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5FF" w:rsidRDefault="006245FF">
      <w:r>
        <w:separator/>
      </w:r>
    </w:p>
  </w:footnote>
  <w:footnote w:type="continuationSeparator" w:id="0">
    <w:p w:rsidR="006245FF" w:rsidRDefault="0062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841EB4" w:rsidRDefault="00841EB4" w:rsidP="008379E2">
    <w:pPr>
      <w:pStyle w:val="a4"/>
      <w:pBdr>
        <w:bottom w:val="single" w:sz="6" w:space="0" w:color="auto"/>
      </w:pBdr>
      <w:jc w:val="right"/>
      <w:rPr>
        <w:sz w:val="24"/>
        <w:szCs w:val="24"/>
      </w:rPr>
    </w:pPr>
    <w:r w:rsidRPr="003E676C">
      <w:rPr>
        <w:sz w:val="24"/>
        <w:szCs w:val="24"/>
      </w:rPr>
      <w:t>交银施罗德天运宝货币市场基金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078A6"/>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14B"/>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8F6"/>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5:docId w15:val="{5A1F6BDD-25EC-4B46-97BB-1CDB699F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1EBB988-DA70-40D8-B248-5D89852F0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14</Pages>
  <Words>1215</Words>
  <Characters>6932</Characters>
  <Application>Microsoft Office Word</Application>
  <DocSecurity>0</DocSecurity>
  <Lines>57</Lines>
  <Paragraphs>16</Paragraphs>
  <ScaleCrop>false</ScaleCrop>
  <Company>jysld</Company>
  <LinksUpToDate>false</LinksUpToDate>
  <CharactersWithSpaces>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biz-sunbinglei</cp:lastModifiedBy>
  <cp:revision>316</cp:revision>
  <cp:lastPrinted>2009-01-22T10:11:00Z</cp:lastPrinted>
  <dcterms:created xsi:type="dcterms:W3CDTF">2012-11-21T05:49:00Z</dcterms:created>
  <dcterms:modified xsi:type="dcterms:W3CDTF">2019-04-15T03:04:00Z</dcterms:modified>
</cp:coreProperties>
</file>