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A0523" w:rsidRDefault="003F457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2,203,399,940.71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F457F" w:rsidRPr="00414345" w:rsidTr="003F457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F457F" w:rsidRPr="00414345" w:rsidTr="003F45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128,666,190.12</w:t>
            </w:r>
          </w:p>
        </w:tc>
      </w:tr>
      <w:tr w:rsidR="003F457F" w:rsidRPr="00414345" w:rsidTr="003F45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577,290,445.54</w:t>
            </w:r>
          </w:p>
        </w:tc>
      </w:tr>
      <w:tr w:rsidR="003F457F" w:rsidRPr="00414345" w:rsidTr="003F45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0.2369</w:t>
            </w:r>
          </w:p>
        </w:tc>
      </w:tr>
      <w:tr w:rsidR="003F457F" w:rsidRPr="00414345" w:rsidTr="003F45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2,318,097,760.96</w:t>
            </w:r>
          </w:p>
        </w:tc>
      </w:tr>
      <w:tr w:rsidR="003F457F" w:rsidRPr="00414345" w:rsidTr="003F457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1.0521</w:t>
            </w:r>
          </w:p>
        </w:tc>
      </w:tr>
    </w:tbl>
    <w:p w:rsidR="00CA0523" w:rsidRDefault="003F457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A0523">
        <w:trPr>
          <w:jc w:val="center"/>
        </w:trPr>
        <w:tc>
          <w:tcPr>
            <w:tcW w:w="1701" w:type="dxa"/>
            <w:vAlign w:val="center"/>
          </w:tcPr>
          <w:p w:rsidR="00CA0523" w:rsidRDefault="003F457F">
            <w:pPr>
              <w:jc w:val="left"/>
            </w:pPr>
            <w:r>
              <w:rPr>
                <w:color w:val="000000"/>
                <w:sz w:val="24"/>
                <w:szCs w:val="24"/>
              </w:rPr>
              <w:t>过去三个月</w:t>
            </w:r>
          </w:p>
        </w:tc>
        <w:tc>
          <w:tcPr>
            <w:tcW w:w="1045" w:type="dxa"/>
            <w:vAlign w:val="center"/>
          </w:tcPr>
          <w:p w:rsidR="00CA0523" w:rsidRDefault="003F457F">
            <w:pPr>
              <w:jc w:val="center"/>
            </w:pPr>
            <w:r>
              <w:rPr>
                <w:color w:val="000000"/>
                <w:sz w:val="24"/>
                <w:szCs w:val="24"/>
              </w:rPr>
              <w:t>28.82%</w:t>
            </w:r>
          </w:p>
        </w:tc>
        <w:tc>
          <w:tcPr>
            <w:tcW w:w="1344" w:type="dxa"/>
            <w:vAlign w:val="center"/>
          </w:tcPr>
          <w:p w:rsidR="00CA0523" w:rsidRDefault="003F457F">
            <w:pPr>
              <w:jc w:val="center"/>
            </w:pPr>
            <w:r>
              <w:rPr>
                <w:color w:val="000000"/>
                <w:sz w:val="24"/>
                <w:szCs w:val="24"/>
              </w:rPr>
              <w:t>1.44%</w:t>
            </w:r>
          </w:p>
        </w:tc>
        <w:tc>
          <w:tcPr>
            <w:tcW w:w="1194" w:type="dxa"/>
            <w:vAlign w:val="center"/>
          </w:tcPr>
          <w:p w:rsidR="00CA0523" w:rsidRDefault="003F457F">
            <w:pPr>
              <w:jc w:val="center"/>
            </w:pPr>
            <w:r>
              <w:rPr>
                <w:color w:val="000000"/>
                <w:sz w:val="24"/>
                <w:szCs w:val="24"/>
              </w:rPr>
              <w:t>19.80%</w:t>
            </w:r>
          </w:p>
        </w:tc>
        <w:tc>
          <w:tcPr>
            <w:tcW w:w="1492" w:type="dxa"/>
            <w:vAlign w:val="center"/>
          </w:tcPr>
          <w:p w:rsidR="00CA0523" w:rsidRDefault="003F457F">
            <w:pPr>
              <w:jc w:val="center"/>
            </w:pPr>
            <w:r>
              <w:rPr>
                <w:color w:val="000000"/>
                <w:sz w:val="24"/>
                <w:szCs w:val="24"/>
              </w:rPr>
              <w:t>1.18%</w:t>
            </w:r>
          </w:p>
        </w:tc>
        <w:tc>
          <w:tcPr>
            <w:tcW w:w="1194" w:type="dxa"/>
            <w:vAlign w:val="center"/>
          </w:tcPr>
          <w:p w:rsidR="00CA0523" w:rsidRDefault="003F457F">
            <w:pPr>
              <w:jc w:val="center"/>
            </w:pPr>
            <w:r>
              <w:rPr>
                <w:color w:val="000000"/>
                <w:sz w:val="24"/>
                <w:szCs w:val="24"/>
              </w:rPr>
              <w:t>9.02%</w:t>
            </w:r>
          </w:p>
        </w:tc>
        <w:tc>
          <w:tcPr>
            <w:tcW w:w="898" w:type="dxa"/>
            <w:vAlign w:val="center"/>
          </w:tcPr>
          <w:p w:rsidR="00CA0523" w:rsidRDefault="003F457F">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A0523">
        <w:trPr>
          <w:jc w:val="center"/>
        </w:trPr>
        <w:tc>
          <w:tcPr>
            <w:tcW w:w="846" w:type="dxa"/>
            <w:vAlign w:val="center"/>
          </w:tcPr>
          <w:p w:rsidR="00CA0523" w:rsidRDefault="003F457F">
            <w:pPr>
              <w:jc w:val="center"/>
            </w:pPr>
            <w:r>
              <w:rPr>
                <w:color w:val="000000"/>
                <w:sz w:val="24"/>
                <w:szCs w:val="24"/>
              </w:rPr>
              <w:t>陈孜铎</w:t>
            </w:r>
          </w:p>
        </w:tc>
        <w:tc>
          <w:tcPr>
            <w:tcW w:w="845" w:type="dxa"/>
            <w:vAlign w:val="center"/>
          </w:tcPr>
          <w:p w:rsidR="00CA0523" w:rsidRDefault="003F457F">
            <w:pPr>
              <w:jc w:val="center"/>
            </w:pPr>
            <w:r>
              <w:rPr>
                <w:color w:val="000000"/>
                <w:sz w:val="24"/>
                <w:szCs w:val="24"/>
              </w:rPr>
              <w:t>交银稳健配置混合的基金经理，公司研究部助理</w:t>
            </w:r>
            <w:r>
              <w:rPr>
                <w:color w:val="000000"/>
                <w:sz w:val="24"/>
                <w:szCs w:val="24"/>
              </w:rPr>
              <w:lastRenderedPageBreak/>
              <w:t>总经理</w:t>
            </w:r>
          </w:p>
        </w:tc>
        <w:tc>
          <w:tcPr>
            <w:tcW w:w="1549" w:type="dxa"/>
            <w:vAlign w:val="center"/>
          </w:tcPr>
          <w:p w:rsidR="00CA0523" w:rsidRDefault="003F457F">
            <w:pPr>
              <w:jc w:val="center"/>
            </w:pPr>
            <w:r>
              <w:rPr>
                <w:color w:val="000000"/>
                <w:sz w:val="24"/>
                <w:szCs w:val="24"/>
              </w:rPr>
              <w:lastRenderedPageBreak/>
              <w:t>2014-10-22</w:t>
            </w:r>
          </w:p>
        </w:tc>
        <w:tc>
          <w:tcPr>
            <w:tcW w:w="1548" w:type="dxa"/>
            <w:vAlign w:val="center"/>
          </w:tcPr>
          <w:p w:rsidR="00CA0523" w:rsidRDefault="003F457F">
            <w:pPr>
              <w:jc w:val="center"/>
            </w:pPr>
            <w:r>
              <w:rPr>
                <w:color w:val="000000"/>
                <w:sz w:val="24"/>
                <w:szCs w:val="24"/>
              </w:rPr>
              <w:t>2019-01-29</w:t>
            </w:r>
          </w:p>
        </w:tc>
        <w:tc>
          <w:tcPr>
            <w:tcW w:w="1407" w:type="dxa"/>
            <w:vAlign w:val="center"/>
          </w:tcPr>
          <w:p w:rsidR="00CA0523" w:rsidRDefault="003F457F">
            <w:pPr>
              <w:jc w:val="center"/>
            </w:pPr>
            <w:r>
              <w:rPr>
                <w:color w:val="000000"/>
                <w:sz w:val="24"/>
                <w:szCs w:val="24"/>
              </w:rPr>
              <w:t>11</w:t>
            </w:r>
            <w:r>
              <w:rPr>
                <w:color w:val="000000"/>
                <w:sz w:val="24"/>
                <w:szCs w:val="24"/>
              </w:rPr>
              <w:t>年</w:t>
            </w:r>
          </w:p>
        </w:tc>
        <w:tc>
          <w:tcPr>
            <w:tcW w:w="2673" w:type="dxa"/>
            <w:vAlign w:val="center"/>
          </w:tcPr>
          <w:p w:rsidR="00CA0523" w:rsidRDefault="003F457F">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日担任交银施罗德蓝筹混合型证券投资基金的基金经理。</w:t>
            </w:r>
          </w:p>
        </w:tc>
      </w:tr>
      <w:tr w:rsidR="00CA0523">
        <w:trPr>
          <w:jc w:val="center"/>
        </w:trPr>
        <w:tc>
          <w:tcPr>
            <w:tcW w:w="846" w:type="dxa"/>
            <w:vAlign w:val="center"/>
          </w:tcPr>
          <w:p w:rsidR="00CA0523" w:rsidRDefault="003F457F">
            <w:pPr>
              <w:jc w:val="center"/>
            </w:pPr>
            <w:r>
              <w:rPr>
                <w:color w:val="000000"/>
                <w:sz w:val="24"/>
                <w:szCs w:val="24"/>
              </w:rPr>
              <w:t>王少成</w:t>
            </w:r>
          </w:p>
        </w:tc>
        <w:tc>
          <w:tcPr>
            <w:tcW w:w="845" w:type="dxa"/>
            <w:vAlign w:val="center"/>
          </w:tcPr>
          <w:p w:rsidR="00CA0523" w:rsidRDefault="003F457F">
            <w:pPr>
              <w:jc w:val="center"/>
            </w:pPr>
            <w:r>
              <w:rPr>
                <w:color w:val="000000"/>
                <w:sz w:val="24"/>
                <w:szCs w:val="24"/>
              </w:rPr>
              <w:t>交银成长混合、交银蓝筹混合、交银成长</w:t>
            </w:r>
            <w:r>
              <w:rPr>
                <w:color w:val="000000"/>
                <w:sz w:val="24"/>
                <w:szCs w:val="24"/>
              </w:rPr>
              <w:t>30</w:t>
            </w:r>
            <w:r>
              <w:rPr>
                <w:color w:val="000000"/>
                <w:sz w:val="24"/>
                <w:szCs w:val="24"/>
              </w:rPr>
              <w:t>混合、交银恒益灵活配置混合的基金经理，公司权益投资总监</w:t>
            </w:r>
          </w:p>
        </w:tc>
        <w:tc>
          <w:tcPr>
            <w:tcW w:w="1549" w:type="dxa"/>
            <w:vAlign w:val="center"/>
          </w:tcPr>
          <w:p w:rsidR="00CA0523" w:rsidRDefault="003F457F">
            <w:pPr>
              <w:jc w:val="center"/>
            </w:pPr>
            <w:r>
              <w:rPr>
                <w:color w:val="000000"/>
                <w:sz w:val="24"/>
                <w:szCs w:val="24"/>
              </w:rPr>
              <w:t>2018-09-28</w:t>
            </w:r>
          </w:p>
        </w:tc>
        <w:tc>
          <w:tcPr>
            <w:tcW w:w="1548" w:type="dxa"/>
            <w:vAlign w:val="center"/>
          </w:tcPr>
          <w:p w:rsidR="00CA0523" w:rsidRDefault="003F457F">
            <w:pPr>
              <w:jc w:val="center"/>
            </w:pPr>
            <w:r>
              <w:rPr>
                <w:color w:val="000000"/>
                <w:sz w:val="24"/>
                <w:szCs w:val="24"/>
              </w:rPr>
              <w:t>-</w:t>
            </w:r>
          </w:p>
        </w:tc>
        <w:tc>
          <w:tcPr>
            <w:tcW w:w="1407" w:type="dxa"/>
            <w:vAlign w:val="center"/>
          </w:tcPr>
          <w:p w:rsidR="00CA0523" w:rsidRDefault="003F457F">
            <w:pPr>
              <w:jc w:val="center"/>
            </w:pPr>
            <w:r>
              <w:rPr>
                <w:color w:val="000000"/>
                <w:sz w:val="24"/>
                <w:szCs w:val="24"/>
              </w:rPr>
              <w:t>15</w:t>
            </w:r>
            <w:r>
              <w:rPr>
                <w:color w:val="000000"/>
                <w:sz w:val="24"/>
                <w:szCs w:val="24"/>
              </w:rPr>
              <w:t>年</w:t>
            </w:r>
          </w:p>
        </w:tc>
        <w:tc>
          <w:tcPr>
            <w:tcW w:w="2673" w:type="dxa"/>
            <w:vAlign w:val="center"/>
          </w:tcPr>
          <w:p w:rsidR="00CA0523" w:rsidRDefault="003F457F">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w:t>
            </w:r>
            <w:r>
              <w:rPr>
                <w:color w:val="000000"/>
                <w:sz w:val="24"/>
                <w:szCs w:val="24"/>
              </w:rPr>
              <w:t>。其中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w:t>
            </w:r>
            <w:r>
              <w:rPr>
                <w:color w:val="000000"/>
                <w:sz w:val="24"/>
                <w:szCs w:val="24"/>
              </w:rPr>
              <w:t>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w:t>
            </w:r>
            <w:r>
              <w:rPr>
                <w:color w:val="000000"/>
                <w:sz w:val="24"/>
                <w:szCs w:val="24"/>
              </w:rPr>
              <w:lastRenderedPageBreak/>
              <w:t>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A0523" w:rsidRDefault="003F457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A0523" w:rsidRDefault="003F457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A0523" w:rsidRDefault="003F457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A0523" w:rsidRDefault="003F457F">
      <w:pPr>
        <w:spacing w:before="29" w:line="288" w:lineRule="auto"/>
        <w:ind w:firstLineChars="200" w:firstLine="480"/>
        <w:rPr>
          <w:color w:val="000000"/>
          <w:sz w:val="24"/>
          <w:szCs w:val="24"/>
        </w:rPr>
      </w:pPr>
      <w:r>
        <w:rPr>
          <w:color w:val="000000"/>
          <w:sz w:val="24"/>
          <w:szCs w:val="24"/>
        </w:rPr>
        <w:t>2019</w:t>
      </w:r>
      <w:r>
        <w:rPr>
          <w:color w:val="000000"/>
          <w:sz w:val="24"/>
          <w:szCs w:val="24"/>
        </w:rPr>
        <w:t>年以来中国宏观经济逐步企稳。全球经济增长态势的持续恶化，正在倒逼各国央行的鸽派转变。过去全球央行长达十年量化宽松驱动了金融周期上升期，但实体经</w:t>
      </w:r>
      <w:r>
        <w:rPr>
          <w:color w:val="000000"/>
          <w:sz w:val="24"/>
          <w:szCs w:val="24"/>
        </w:rPr>
        <w:lastRenderedPageBreak/>
        <w:t>济不仅受益很少，更被严重的结构性扭曲。这种结构性扭曲最终的释放似乎只有通过剧烈的通胀来完成。美国的长期债券收益率提供了一个很好的观察视角：当下美国的情况还不那么糟糕。然而债券收益率比</w:t>
      </w:r>
      <w:r>
        <w:rPr>
          <w:color w:val="000000"/>
          <w:sz w:val="24"/>
          <w:szCs w:val="24"/>
        </w:rPr>
        <w:t>2016</w:t>
      </w:r>
      <w:r>
        <w:rPr>
          <w:color w:val="000000"/>
          <w:sz w:val="24"/>
          <w:szCs w:val="24"/>
        </w:rPr>
        <w:t>年的低点高出</w:t>
      </w:r>
      <w:r>
        <w:rPr>
          <w:color w:val="000000"/>
          <w:sz w:val="24"/>
          <w:szCs w:val="24"/>
        </w:rPr>
        <w:t>1%</w:t>
      </w:r>
      <w:r>
        <w:rPr>
          <w:color w:val="000000"/>
          <w:sz w:val="24"/>
          <w:szCs w:val="24"/>
        </w:rPr>
        <w:t>以上。在可预见的未来，不管名义还是实际，从长周期（</w:t>
      </w:r>
      <w:r>
        <w:rPr>
          <w:color w:val="000000"/>
          <w:sz w:val="24"/>
          <w:szCs w:val="24"/>
        </w:rPr>
        <w:t>5-10</w:t>
      </w:r>
      <w:r>
        <w:rPr>
          <w:color w:val="000000"/>
          <w:sz w:val="24"/>
          <w:szCs w:val="24"/>
        </w:rPr>
        <w:t>年）收益率</w:t>
      </w:r>
      <w:r>
        <w:rPr>
          <w:color w:val="000000"/>
          <w:sz w:val="24"/>
          <w:szCs w:val="24"/>
        </w:rPr>
        <w:t>呈上升趋势是大概率事件。国内的宏观高频数据显示，经济正在企稳。三月</w:t>
      </w:r>
      <w:r>
        <w:rPr>
          <w:color w:val="000000"/>
          <w:sz w:val="24"/>
          <w:szCs w:val="24"/>
        </w:rPr>
        <w:t>PMI</w:t>
      </w:r>
      <w:r>
        <w:rPr>
          <w:color w:val="000000"/>
          <w:sz w:val="24"/>
          <w:szCs w:val="24"/>
        </w:rPr>
        <w:t>符合季节性回暖趋势，但考虑到众多行业汇报由于增值税于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日下调使得需求后置，三月生产与订单修复已超预期，后续需求将继续放大，宏观经济企稳反弹的迹象越发明显，通缩压力让位于通胀的可能。预计三、四月调整后社融增速与一、二月相比出现明显的反弹。</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基金整体仓位保持在中性偏高的水平。年初以来全球风险资产价格同步持续反弹，其持续时间和同步性历史罕见，这预示着风险资产的反弹很大可能是基于同样的原因，风险偏好的提升而不是基本面的变化。</w:t>
      </w:r>
      <w:r w:rsidRPr="00414345">
        <w:rPr>
          <w:color w:val="000000"/>
          <w:sz w:val="24"/>
          <w:szCs w:val="24"/>
        </w:rPr>
        <w:t>A</w:t>
      </w:r>
      <w:r w:rsidRPr="00414345">
        <w:rPr>
          <w:color w:val="000000"/>
          <w:sz w:val="24"/>
          <w:szCs w:val="24"/>
        </w:rPr>
        <w:t>股也正在经历风险偏好快速提升的过程，超跌和主题板块个股涨幅明显。我们后续关注科创板相关和通胀受益的板块和个股。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2,026,884,501.96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87.07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2,026,884,501.96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87.07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116,403,300.00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116,403,300.00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160,334,357.13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24,189,033.17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2,327,811,192.26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183,067,064.60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7.90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89,989,498.35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1,453,073,326.22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101,716,425.44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30,192,012.75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168,711,831.60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2,026,884,501.96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87.44</w:t>
            </w:r>
          </w:p>
        </w:tc>
      </w:tr>
    </w:tbl>
    <w:p w:rsidR="00F51C4E" w:rsidRPr="003F457F" w:rsidRDefault="00F51C4E" w:rsidP="003F457F">
      <w:pPr>
        <w:autoSpaceDE w:val="0"/>
        <w:autoSpaceDN w:val="0"/>
        <w:adjustRightInd w:val="0"/>
        <w:spacing w:before="29" w:line="288" w:lineRule="auto"/>
        <w:jc w:val="left"/>
        <w:rPr>
          <w:b/>
          <w:bCs/>
          <w:color w:val="000000"/>
          <w:kern w:val="0"/>
          <w:sz w:val="24"/>
          <w:szCs w:val="24"/>
        </w:rPr>
      </w:pPr>
      <w:r w:rsidRPr="003F457F">
        <w:rPr>
          <w:rFonts w:hint="eastAsia"/>
          <w:b/>
          <w:bCs/>
          <w:color w:val="000000"/>
          <w:kern w:val="0"/>
          <w:sz w:val="24"/>
          <w:szCs w:val="24"/>
        </w:rPr>
        <w:t>5.2.2</w:t>
      </w:r>
      <w:r w:rsidRPr="003F457F">
        <w:rPr>
          <w:rFonts w:hint="eastAsia"/>
          <w:b/>
          <w:bCs/>
          <w:color w:val="000000"/>
          <w:kern w:val="0"/>
          <w:sz w:val="24"/>
          <w:szCs w:val="24"/>
        </w:rPr>
        <w:t>报告期末按行业分类的</w:t>
      </w:r>
      <w:r w:rsidR="00EE49FE" w:rsidRPr="003F457F">
        <w:rPr>
          <w:rFonts w:hint="eastAsia"/>
          <w:b/>
          <w:bCs/>
          <w:color w:val="000000"/>
          <w:kern w:val="0"/>
          <w:sz w:val="24"/>
          <w:szCs w:val="24"/>
        </w:rPr>
        <w:t>港股通</w:t>
      </w:r>
      <w:r w:rsidRPr="003F457F">
        <w:rPr>
          <w:rFonts w:hint="eastAsia"/>
          <w:b/>
          <w:bCs/>
          <w:color w:val="000000"/>
          <w:kern w:val="0"/>
          <w:sz w:val="24"/>
          <w:szCs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3F457F">
        <w:trPr>
          <w:jc w:val="center"/>
        </w:trPr>
        <w:tc>
          <w:tcPr>
            <w:tcW w:w="855"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24"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A0523">
        <w:trPr>
          <w:jc w:val="center"/>
        </w:trPr>
        <w:tc>
          <w:tcPr>
            <w:tcW w:w="855" w:type="dxa"/>
            <w:vAlign w:val="center"/>
          </w:tcPr>
          <w:p w:rsidR="00CA0523" w:rsidRDefault="003F457F">
            <w:pPr>
              <w:jc w:val="center"/>
            </w:pPr>
            <w:r>
              <w:rPr>
                <w:color w:val="000000"/>
                <w:sz w:val="24"/>
                <w:szCs w:val="24"/>
              </w:rPr>
              <w:t>1</w:t>
            </w:r>
          </w:p>
        </w:tc>
        <w:tc>
          <w:tcPr>
            <w:tcW w:w="1334" w:type="dxa"/>
            <w:vAlign w:val="center"/>
          </w:tcPr>
          <w:p w:rsidR="00CA0523" w:rsidRDefault="003F457F">
            <w:pPr>
              <w:jc w:val="center"/>
            </w:pPr>
            <w:r>
              <w:rPr>
                <w:color w:val="000000"/>
                <w:sz w:val="24"/>
                <w:szCs w:val="24"/>
              </w:rPr>
              <w:t>002180</w:t>
            </w:r>
          </w:p>
        </w:tc>
        <w:tc>
          <w:tcPr>
            <w:tcW w:w="1777" w:type="dxa"/>
            <w:vAlign w:val="center"/>
          </w:tcPr>
          <w:p w:rsidR="00CA0523" w:rsidRDefault="003F457F">
            <w:pPr>
              <w:jc w:val="center"/>
            </w:pPr>
            <w:r>
              <w:rPr>
                <w:color w:val="000000"/>
                <w:sz w:val="24"/>
                <w:szCs w:val="24"/>
              </w:rPr>
              <w:t>纳思达</w:t>
            </w:r>
          </w:p>
        </w:tc>
        <w:tc>
          <w:tcPr>
            <w:tcW w:w="1334" w:type="dxa"/>
            <w:vAlign w:val="center"/>
          </w:tcPr>
          <w:p w:rsidR="00CA0523" w:rsidRDefault="003F457F">
            <w:pPr>
              <w:jc w:val="right"/>
            </w:pPr>
            <w:r>
              <w:rPr>
                <w:color w:val="000000"/>
                <w:sz w:val="24"/>
                <w:szCs w:val="24"/>
              </w:rPr>
              <w:t>6,740,115</w:t>
            </w:r>
          </w:p>
        </w:tc>
        <w:tc>
          <w:tcPr>
            <w:tcW w:w="1924" w:type="dxa"/>
            <w:vAlign w:val="center"/>
          </w:tcPr>
          <w:p w:rsidR="00CA0523" w:rsidRDefault="003F457F">
            <w:pPr>
              <w:jc w:val="right"/>
            </w:pPr>
            <w:r>
              <w:rPr>
                <w:color w:val="000000"/>
                <w:sz w:val="24"/>
                <w:szCs w:val="24"/>
              </w:rPr>
              <w:t>212,381,023.65</w:t>
            </w:r>
          </w:p>
        </w:tc>
        <w:tc>
          <w:tcPr>
            <w:tcW w:w="1644" w:type="dxa"/>
            <w:vAlign w:val="center"/>
          </w:tcPr>
          <w:p w:rsidR="00CA0523" w:rsidRDefault="003F457F">
            <w:pPr>
              <w:jc w:val="right"/>
            </w:pPr>
            <w:r>
              <w:rPr>
                <w:color w:val="000000"/>
                <w:sz w:val="24"/>
                <w:szCs w:val="24"/>
              </w:rPr>
              <w:t>9.16</w:t>
            </w:r>
          </w:p>
        </w:tc>
      </w:tr>
      <w:tr w:rsidR="003F457F" w:rsidTr="006B5056">
        <w:trPr>
          <w:jc w:val="center"/>
        </w:trPr>
        <w:tc>
          <w:tcPr>
            <w:tcW w:w="855" w:type="dxa"/>
            <w:vAlign w:val="center"/>
          </w:tcPr>
          <w:p w:rsidR="003F457F" w:rsidRDefault="003F457F" w:rsidP="003F457F">
            <w:pPr>
              <w:jc w:val="center"/>
            </w:pPr>
            <w:r>
              <w:rPr>
                <w:color w:val="000000"/>
                <w:sz w:val="24"/>
                <w:szCs w:val="24"/>
              </w:rPr>
              <w:t>2</w:t>
            </w:r>
          </w:p>
        </w:tc>
        <w:tc>
          <w:tcPr>
            <w:tcW w:w="1334" w:type="dxa"/>
            <w:vAlign w:val="center"/>
          </w:tcPr>
          <w:p w:rsidR="003F457F" w:rsidRDefault="003F457F" w:rsidP="003F457F">
            <w:pPr>
              <w:jc w:val="center"/>
            </w:pPr>
            <w:r>
              <w:rPr>
                <w:color w:val="000000"/>
                <w:sz w:val="24"/>
                <w:szCs w:val="24"/>
              </w:rPr>
              <w:t>603707</w:t>
            </w:r>
          </w:p>
        </w:tc>
        <w:tc>
          <w:tcPr>
            <w:tcW w:w="1777" w:type="dxa"/>
            <w:vAlign w:val="center"/>
          </w:tcPr>
          <w:p w:rsidR="003F457F" w:rsidRDefault="003F457F" w:rsidP="003F457F">
            <w:pPr>
              <w:jc w:val="center"/>
            </w:pPr>
            <w:r>
              <w:rPr>
                <w:color w:val="000000"/>
                <w:sz w:val="24"/>
                <w:szCs w:val="24"/>
              </w:rPr>
              <w:t>健友股份</w:t>
            </w:r>
          </w:p>
        </w:tc>
        <w:tc>
          <w:tcPr>
            <w:tcW w:w="1334" w:type="dxa"/>
            <w:tcBorders>
              <w:top w:val="nil"/>
              <w:left w:val="nil"/>
              <w:bottom w:val="single" w:sz="8" w:space="0" w:color="auto"/>
              <w:right w:val="single" w:sz="8" w:space="0" w:color="auto"/>
            </w:tcBorders>
            <w:vAlign w:val="center"/>
          </w:tcPr>
          <w:p w:rsidR="003F457F" w:rsidRPr="003F457F" w:rsidRDefault="003F457F" w:rsidP="003F457F">
            <w:pPr>
              <w:jc w:val="right"/>
              <w:rPr>
                <w:szCs w:val="20"/>
              </w:rPr>
            </w:pPr>
            <w:r w:rsidRPr="003F457F">
              <w:rPr>
                <w:color w:val="000000"/>
                <w:sz w:val="24"/>
                <w:szCs w:val="24"/>
              </w:rPr>
              <w:t>5,700,845</w:t>
            </w:r>
          </w:p>
        </w:tc>
        <w:tc>
          <w:tcPr>
            <w:tcW w:w="1924" w:type="dxa"/>
            <w:tcBorders>
              <w:top w:val="nil"/>
              <w:left w:val="nil"/>
              <w:bottom w:val="single" w:sz="8" w:space="0" w:color="auto"/>
              <w:right w:val="single" w:sz="8" w:space="0" w:color="auto"/>
            </w:tcBorders>
            <w:vAlign w:val="center"/>
          </w:tcPr>
          <w:p w:rsidR="003F457F" w:rsidRPr="003F457F" w:rsidRDefault="003F457F" w:rsidP="003F457F">
            <w:pPr>
              <w:jc w:val="right"/>
              <w:rPr>
                <w:szCs w:val="20"/>
              </w:rPr>
            </w:pPr>
            <w:r w:rsidRPr="003F457F">
              <w:rPr>
                <w:color w:val="000000"/>
                <w:sz w:val="24"/>
                <w:szCs w:val="24"/>
              </w:rPr>
              <w:t>206,299,395.60</w:t>
            </w:r>
          </w:p>
        </w:tc>
        <w:tc>
          <w:tcPr>
            <w:tcW w:w="1644" w:type="dxa"/>
            <w:tcBorders>
              <w:top w:val="nil"/>
              <w:left w:val="nil"/>
              <w:bottom w:val="single" w:sz="8" w:space="0" w:color="auto"/>
              <w:right w:val="single" w:sz="8" w:space="0" w:color="auto"/>
            </w:tcBorders>
            <w:vAlign w:val="center"/>
          </w:tcPr>
          <w:p w:rsidR="003F457F" w:rsidRPr="003F457F" w:rsidRDefault="003F457F" w:rsidP="003F457F">
            <w:pPr>
              <w:jc w:val="right"/>
              <w:rPr>
                <w:szCs w:val="20"/>
              </w:rPr>
            </w:pPr>
            <w:r w:rsidRPr="003F457F">
              <w:rPr>
                <w:color w:val="000000"/>
                <w:sz w:val="24"/>
                <w:szCs w:val="24"/>
              </w:rPr>
              <w:t>8.90</w:t>
            </w:r>
            <w:bookmarkStart w:id="0" w:name="_GoBack"/>
            <w:bookmarkEnd w:id="0"/>
          </w:p>
        </w:tc>
      </w:tr>
      <w:tr w:rsidR="00CA0523">
        <w:trPr>
          <w:jc w:val="center"/>
        </w:trPr>
        <w:tc>
          <w:tcPr>
            <w:tcW w:w="855" w:type="dxa"/>
            <w:vAlign w:val="center"/>
          </w:tcPr>
          <w:p w:rsidR="00CA0523" w:rsidRDefault="003F457F">
            <w:pPr>
              <w:jc w:val="center"/>
            </w:pPr>
            <w:r>
              <w:rPr>
                <w:color w:val="000000"/>
                <w:sz w:val="24"/>
                <w:szCs w:val="24"/>
              </w:rPr>
              <w:t>3</w:t>
            </w:r>
          </w:p>
        </w:tc>
        <w:tc>
          <w:tcPr>
            <w:tcW w:w="1334" w:type="dxa"/>
            <w:vAlign w:val="center"/>
          </w:tcPr>
          <w:p w:rsidR="00CA0523" w:rsidRDefault="003F457F">
            <w:pPr>
              <w:jc w:val="center"/>
            </w:pPr>
            <w:r>
              <w:rPr>
                <w:color w:val="000000"/>
                <w:sz w:val="24"/>
                <w:szCs w:val="24"/>
              </w:rPr>
              <w:t>300498</w:t>
            </w:r>
          </w:p>
        </w:tc>
        <w:tc>
          <w:tcPr>
            <w:tcW w:w="1777" w:type="dxa"/>
            <w:vAlign w:val="center"/>
          </w:tcPr>
          <w:p w:rsidR="00CA0523" w:rsidRDefault="003F457F">
            <w:pPr>
              <w:jc w:val="center"/>
            </w:pPr>
            <w:r>
              <w:rPr>
                <w:color w:val="000000"/>
                <w:sz w:val="24"/>
                <w:szCs w:val="24"/>
              </w:rPr>
              <w:t>温氏股份</w:t>
            </w:r>
          </w:p>
        </w:tc>
        <w:tc>
          <w:tcPr>
            <w:tcW w:w="1334" w:type="dxa"/>
            <w:vAlign w:val="center"/>
          </w:tcPr>
          <w:p w:rsidR="00CA0523" w:rsidRDefault="003F457F">
            <w:pPr>
              <w:jc w:val="right"/>
            </w:pPr>
            <w:r>
              <w:rPr>
                <w:color w:val="000000"/>
                <w:sz w:val="24"/>
                <w:szCs w:val="24"/>
              </w:rPr>
              <w:t>4,509,041</w:t>
            </w:r>
          </w:p>
        </w:tc>
        <w:tc>
          <w:tcPr>
            <w:tcW w:w="1924" w:type="dxa"/>
            <w:vAlign w:val="center"/>
          </w:tcPr>
          <w:p w:rsidR="00CA0523" w:rsidRDefault="003F457F">
            <w:pPr>
              <w:jc w:val="right"/>
            </w:pPr>
            <w:r>
              <w:rPr>
                <w:color w:val="000000"/>
                <w:sz w:val="24"/>
                <w:szCs w:val="24"/>
              </w:rPr>
              <w:t>183,067,064.60</w:t>
            </w:r>
          </w:p>
        </w:tc>
        <w:tc>
          <w:tcPr>
            <w:tcW w:w="1644" w:type="dxa"/>
            <w:vAlign w:val="center"/>
          </w:tcPr>
          <w:p w:rsidR="00CA0523" w:rsidRDefault="003F457F">
            <w:pPr>
              <w:jc w:val="right"/>
            </w:pPr>
            <w:r>
              <w:rPr>
                <w:color w:val="000000"/>
                <w:sz w:val="24"/>
                <w:szCs w:val="24"/>
              </w:rPr>
              <w:t>7.90</w:t>
            </w:r>
          </w:p>
        </w:tc>
      </w:tr>
      <w:tr w:rsidR="00CA0523">
        <w:trPr>
          <w:jc w:val="center"/>
        </w:trPr>
        <w:tc>
          <w:tcPr>
            <w:tcW w:w="855" w:type="dxa"/>
            <w:vAlign w:val="center"/>
          </w:tcPr>
          <w:p w:rsidR="00CA0523" w:rsidRDefault="003F457F">
            <w:pPr>
              <w:jc w:val="center"/>
            </w:pPr>
            <w:r>
              <w:rPr>
                <w:color w:val="000000"/>
                <w:sz w:val="24"/>
                <w:szCs w:val="24"/>
              </w:rPr>
              <w:t>4</w:t>
            </w:r>
          </w:p>
        </w:tc>
        <w:tc>
          <w:tcPr>
            <w:tcW w:w="1334" w:type="dxa"/>
            <w:vAlign w:val="center"/>
          </w:tcPr>
          <w:p w:rsidR="00CA0523" w:rsidRDefault="003F457F">
            <w:pPr>
              <w:jc w:val="center"/>
            </w:pPr>
            <w:r>
              <w:rPr>
                <w:color w:val="000000"/>
                <w:sz w:val="24"/>
                <w:szCs w:val="24"/>
              </w:rPr>
              <w:t>300146</w:t>
            </w:r>
          </w:p>
        </w:tc>
        <w:tc>
          <w:tcPr>
            <w:tcW w:w="1777" w:type="dxa"/>
            <w:vAlign w:val="center"/>
          </w:tcPr>
          <w:p w:rsidR="00CA0523" w:rsidRDefault="003F457F">
            <w:pPr>
              <w:jc w:val="center"/>
            </w:pPr>
            <w:r>
              <w:rPr>
                <w:color w:val="000000"/>
                <w:sz w:val="24"/>
                <w:szCs w:val="24"/>
              </w:rPr>
              <w:t>汤臣倍健</w:t>
            </w:r>
          </w:p>
        </w:tc>
        <w:tc>
          <w:tcPr>
            <w:tcW w:w="1334" w:type="dxa"/>
            <w:vAlign w:val="center"/>
          </w:tcPr>
          <w:p w:rsidR="00CA0523" w:rsidRDefault="003F457F">
            <w:pPr>
              <w:jc w:val="right"/>
            </w:pPr>
            <w:r>
              <w:rPr>
                <w:color w:val="000000"/>
                <w:sz w:val="24"/>
                <w:szCs w:val="24"/>
              </w:rPr>
              <w:t>7,440,593</w:t>
            </w:r>
          </w:p>
        </w:tc>
        <w:tc>
          <w:tcPr>
            <w:tcW w:w="1924" w:type="dxa"/>
            <w:vAlign w:val="center"/>
          </w:tcPr>
          <w:p w:rsidR="00CA0523" w:rsidRDefault="003F457F">
            <w:pPr>
              <w:jc w:val="right"/>
            </w:pPr>
            <w:r>
              <w:rPr>
                <w:color w:val="000000"/>
                <w:sz w:val="24"/>
                <w:szCs w:val="24"/>
              </w:rPr>
              <w:t>170,017,550.05</w:t>
            </w:r>
          </w:p>
        </w:tc>
        <w:tc>
          <w:tcPr>
            <w:tcW w:w="1644" w:type="dxa"/>
            <w:vAlign w:val="center"/>
          </w:tcPr>
          <w:p w:rsidR="00CA0523" w:rsidRDefault="003F457F">
            <w:pPr>
              <w:jc w:val="right"/>
            </w:pPr>
            <w:r>
              <w:rPr>
                <w:color w:val="000000"/>
                <w:sz w:val="24"/>
                <w:szCs w:val="24"/>
              </w:rPr>
              <w:t>7.33</w:t>
            </w:r>
          </w:p>
        </w:tc>
      </w:tr>
      <w:tr w:rsidR="00CA0523">
        <w:trPr>
          <w:jc w:val="center"/>
        </w:trPr>
        <w:tc>
          <w:tcPr>
            <w:tcW w:w="855" w:type="dxa"/>
            <w:vAlign w:val="center"/>
          </w:tcPr>
          <w:p w:rsidR="00CA0523" w:rsidRDefault="003F457F">
            <w:pPr>
              <w:jc w:val="center"/>
            </w:pPr>
            <w:r>
              <w:rPr>
                <w:color w:val="000000"/>
                <w:sz w:val="24"/>
                <w:szCs w:val="24"/>
              </w:rPr>
              <w:t>5</w:t>
            </w:r>
          </w:p>
        </w:tc>
        <w:tc>
          <w:tcPr>
            <w:tcW w:w="1334" w:type="dxa"/>
            <w:vAlign w:val="center"/>
          </w:tcPr>
          <w:p w:rsidR="00CA0523" w:rsidRDefault="003F457F">
            <w:pPr>
              <w:jc w:val="center"/>
            </w:pPr>
            <w:r>
              <w:rPr>
                <w:color w:val="000000"/>
                <w:sz w:val="24"/>
                <w:szCs w:val="24"/>
              </w:rPr>
              <w:t>002271</w:t>
            </w:r>
          </w:p>
        </w:tc>
        <w:tc>
          <w:tcPr>
            <w:tcW w:w="1777" w:type="dxa"/>
            <w:vAlign w:val="center"/>
          </w:tcPr>
          <w:p w:rsidR="00CA0523" w:rsidRDefault="003F457F">
            <w:pPr>
              <w:jc w:val="center"/>
            </w:pPr>
            <w:r>
              <w:rPr>
                <w:color w:val="000000"/>
                <w:sz w:val="24"/>
                <w:szCs w:val="24"/>
              </w:rPr>
              <w:t>东方雨虹</w:t>
            </w:r>
          </w:p>
        </w:tc>
        <w:tc>
          <w:tcPr>
            <w:tcW w:w="1334" w:type="dxa"/>
            <w:vAlign w:val="center"/>
          </w:tcPr>
          <w:p w:rsidR="00CA0523" w:rsidRDefault="003F457F">
            <w:pPr>
              <w:jc w:val="right"/>
            </w:pPr>
            <w:r>
              <w:rPr>
                <w:color w:val="000000"/>
                <w:sz w:val="24"/>
                <w:szCs w:val="24"/>
              </w:rPr>
              <w:t>6,069,604</w:t>
            </w:r>
          </w:p>
        </w:tc>
        <w:tc>
          <w:tcPr>
            <w:tcW w:w="1924" w:type="dxa"/>
            <w:vAlign w:val="center"/>
          </w:tcPr>
          <w:p w:rsidR="00CA0523" w:rsidRDefault="003F457F">
            <w:pPr>
              <w:jc w:val="right"/>
            </w:pPr>
            <w:r>
              <w:rPr>
                <w:color w:val="000000"/>
                <w:sz w:val="24"/>
                <w:szCs w:val="24"/>
              </w:rPr>
              <w:t>127,886,556.28</w:t>
            </w:r>
          </w:p>
        </w:tc>
        <w:tc>
          <w:tcPr>
            <w:tcW w:w="1644" w:type="dxa"/>
            <w:vAlign w:val="center"/>
          </w:tcPr>
          <w:p w:rsidR="00CA0523" w:rsidRDefault="003F457F">
            <w:pPr>
              <w:jc w:val="right"/>
            </w:pPr>
            <w:r>
              <w:rPr>
                <w:color w:val="000000"/>
                <w:sz w:val="24"/>
                <w:szCs w:val="24"/>
              </w:rPr>
              <w:t>5.52</w:t>
            </w:r>
          </w:p>
        </w:tc>
      </w:tr>
      <w:tr w:rsidR="00CA0523">
        <w:trPr>
          <w:jc w:val="center"/>
        </w:trPr>
        <w:tc>
          <w:tcPr>
            <w:tcW w:w="855" w:type="dxa"/>
            <w:vAlign w:val="center"/>
          </w:tcPr>
          <w:p w:rsidR="00CA0523" w:rsidRDefault="003F457F">
            <w:pPr>
              <w:jc w:val="center"/>
            </w:pPr>
            <w:r>
              <w:rPr>
                <w:color w:val="000000"/>
                <w:sz w:val="24"/>
                <w:szCs w:val="24"/>
              </w:rPr>
              <w:t>6</w:t>
            </w:r>
          </w:p>
        </w:tc>
        <w:tc>
          <w:tcPr>
            <w:tcW w:w="1334" w:type="dxa"/>
            <w:vAlign w:val="center"/>
          </w:tcPr>
          <w:p w:rsidR="00CA0523" w:rsidRDefault="003F457F">
            <w:pPr>
              <w:jc w:val="center"/>
            </w:pPr>
            <w:r>
              <w:rPr>
                <w:color w:val="000000"/>
                <w:sz w:val="24"/>
                <w:szCs w:val="24"/>
              </w:rPr>
              <w:t>601100</w:t>
            </w:r>
          </w:p>
        </w:tc>
        <w:tc>
          <w:tcPr>
            <w:tcW w:w="1777" w:type="dxa"/>
            <w:vAlign w:val="center"/>
          </w:tcPr>
          <w:p w:rsidR="00CA0523" w:rsidRDefault="003F457F">
            <w:pPr>
              <w:jc w:val="center"/>
            </w:pPr>
            <w:r>
              <w:rPr>
                <w:color w:val="000000"/>
                <w:sz w:val="24"/>
                <w:szCs w:val="24"/>
              </w:rPr>
              <w:t>恒立液压</w:t>
            </w:r>
          </w:p>
        </w:tc>
        <w:tc>
          <w:tcPr>
            <w:tcW w:w="1334" w:type="dxa"/>
            <w:vAlign w:val="center"/>
          </w:tcPr>
          <w:p w:rsidR="00CA0523" w:rsidRDefault="003F457F">
            <w:pPr>
              <w:jc w:val="right"/>
            </w:pPr>
            <w:r>
              <w:rPr>
                <w:color w:val="000000"/>
                <w:sz w:val="24"/>
                <w:szCs w:val="24"/>
              </w:rPr>
              <w:t>3,927,505</w:t>
            </w:r>
          </w:p>
        </w:tc>
        <w:tc>
          <w:tcPr>
            <w:tcW w:w="1924" w:type="dxa"/>
            <w:vAlign w:val="center"/>
          </w:tcPr>
          <w:p w:rsidR="00CA0523" w:rsidRDefault="003F457F">
            <w:pPr>
              <w:jc w:val="right"/>
            </w:pPr>
            <w:r>
              <w:rPr>
                <w:color w:val="000000"/>
                <w:sz w:val="24"/>
                <w:szCs w:val="24"/>
              </w:rPr>
              <w:t>127,840,287.75</w:t>
            </w:r>
          </w:p>
        </w:tc>
        <w:tc>
          <w:tcPr>
            <w:tcW w:w="1644" w:type="dxa"/>
            <w:vAlign w:val="center"/>
          </w:tcPr>
          <w:p w:rsidR="00CA0523" w:rsidRDefault="003F457F">
            <w:pPr>
              <w:jc w:val="right"/>
            </w:pPr>
            <w:r>
              <w:rPr>
                <w:color w:val="000000"/>
                <w:sz w:val="24"/>
                <w:szCs w:val="24"/>
              </w:rPr>
              <w:t>5.51</w:t>
            </w:r>
          </w:p>
        </w:tc>
      </w:tr>
      <w:tr w:rsidR="00CA0523">
        <w:trPr>
          <w:jc w:val="center"/>
        </w:trPr>
        <w:tc>
          <w:tcPr>
            <w:tcW w:w="855" w:type="dxa"/>
            <w:vAlign w:val="center"/>
          </w:tcPr>
          <w:p w:rsidR="00CA0523" w:rsidRDefault="003F457F">
            <w:pPr>
              <w:jc w:val="center"/>
            </w:pPr>
            <w:r>
              <w:rPr>
                <w:color w:val="000000"/>
                <w:sz w:val="24"/>
                <w:szCs w:val="24"/>
              </w:rPr>
              <w:t>7</w:t>
            </w:r>
          </w:p>
        </w:tc>
        <w:tc>
          <w:tcPr>
            <w:tcW w:w="1334" w:type="dxa"/>
            <w:vAlign w:val="center"/>
          </w:tcPr>
          <w:p w:rsidR="00CA0523" w:rsidRDefault="003F457F">
            <w:pPr>
              <w:jc w:val="center"/>
            </w:pPr>
            <w:r>
              <w:rPr>
                <w:color w:val="000000"/>
                <w:sz w:val="24"/>
                <w:szCs w:val="24"/>
              </w:rPr>
              <w:t>002230</w:t>
            </w:r>
          </w:p>
        </w:tc>
        <w:tc>
          <w:tcPr>
            <w:tcW w:w="1777" w:type="dxa"/>
            <w:vAlign w:val="center"/>
          </w:tcPr>
          <w:p w:rsidR="00CA0523" w:rsidRDefault="003F457F">
            <w:pPr>
              <w:jc w:val="center"/>
            </w:pPr>
            <w:r>
              <w:rPr>
                <w:color w:val="000000"/>
                <w:sz w:val="24"/>
                <w:szCs w:val="24"/>
              </w:rPr>
              <w:t>科大讯飞</w:t>
            </w:r>
          </w:p>
        </w:tc>
        <w:tc>
          <w:tcPr>
            <w:tcW w:w="1334" w:type="dxa"/>
            <w:vAlign w:val="center"/>
          </w:tcPr>
          <w:p w:rsidR="00CA0523" w:rsidRDefault="003F457F">
            <w:pPr>
              <w:jc w:val="right"/>
            </w:pPr>
            <w:r>
              <w:rPr>
                <w:color w:val="000000"/>
                <w:sz w:val="24"/>
                <w:szCs w:val="24"/>
              </w:rPr>
              <w:t>3,106,554</w:t>
            </w:r>
          </w:p>
        </w:tc>
        <w:tc>
          <w:tcPr>
            <w:tcW w:w="1924" w:type="dxa"/>
            <w:vAlign w:val="center"/>
          </w:tcPr>
          <w:p w:rsidR="00CA0523" w:rsidRDefault="003F457F">
            <w:pPr>
              <w:jc w:val="right"/>
            </w:pPr>
            <w:r>
              <w:rPr>
                <w:color w:val="000000"/>
                <w:sz w:val="24"/>
                <w:szCs w:val="24"/>
              </w:rPr>
              <w:t>112,736,844.66</w:t>
            </w:r>
          </w:p>
        </w:tc>
        <w:tc>
          <w:tcPr>
            <w:tcW w:w="1644" w:type="dxa"/>
            <w:vAlign w:val="center"/>
          </w:tcPr>
          <w:p w:rsidR="00CA0523" w:rsidRDefault="003F457F">
            <w:pPr>
              <w:jc w:val="right"/>
            </w:pPr>
            <w:r>
              <w:rPr>
                <w:color w:val="000000"/>
                <w:sz w:val="24"/>
                <w:szCs w:val="24"/>
              </w:rPr>
              <w:t>4.86</w:t>
            </w:r>
          </w:p>
        </w:tc>
      </w:tr>
      <w:tr w:rsidR="00CA0523">
        <w:trPr>
          <w:jc w:val="center"/>
        </w:trPr>
        <w:tc>
          <w:tcPr>
            <w:tcW w:w="855" w:type="dxa"/>
            <w:vAlign w:val="center"/>
          </w:tcPr>
          <w:p w:rsidR="00CA0523" w:rsidRDefault="003F457F">
            <w:pPr>
              <w:jc w:val="center"/>
            </w:pPr>
            <w:r>
              <w:rPr>
                <w:color w:val="000000"/>
                <w:sz w:val="24"/>
                <w:szCs w:val="24"/>
              </w:rPr>
              <w:t>8</w:t>
            </w:r>
          </w:p>
        </w:tc>
        <w:tc>
          <w:tcPr>
            <w:tcW w:w="1334" w:type="dxa"/>
            <w:vAlign w:val="center"/>
          </w:tcPr>
          <w:p w:rsidR="00CA0523" w:rsidRDefault="003F457F">
            <w:pPr>
              <w:jc w:val="center"/>
            </w:pPr>
            <w:r>
              <w:rPr>
                <w:color w:val="000000"/>
                <w:sz w:val="24"/>
                <w:szCs w:val="24"/>
              </w:rPr>
              <w:t>002607</w:t>
            </w:r>
          </w:p>
        </w:tc>
        <w:tc>
          <w:tcPr>
            <w:tcW w:w="1777" w:type="dxa"/>
            <w:vAlign w:val="center"/>
          </w:tcPr>
          <w:p w:rsidR="00CA0523" w:rsidRDefault="003F457F">
            <w:pPr>
              <w:jc w:val="center"/>
            </w:pPr>
            <w:r>
              <w:rPr>
                <w:color w:val="000000"/>
                <w:sz w:val="24"/>
                <w:szCs w:val="24"/>
              </w:rPr>
              <w:t>中公教育</w:t>
            </w:r>
          </w:p>
        </w:tc>
        <w:tc>
          <w:tcPr>
            <w:tcW w:w="1334" w:type="dxa"/>
            <w:vAlign w:val="center"/>
          </w:tcPr>
          <w:p w:rsidR="00CA0523" w:rsidRDefault="003F457F">
            <w:pPr>
              <w:jc w:val="right"/>
            </w:pPr>
            <w:r>
              <w:rPr>
                <w:color w:val="000000"/>
                <w:sz w:val="24"/>
                <w:szCs w:val="24"/>
              </w:rPr>
              <w:t>7,897,238</w:t>
            </w:r>
          </w:p>
        </w:tc>
        <w:tc>
          <w:tcPr>
            <w:tcW w:w="1924" w:type="dxa"/>
            <w:vAlign w:val="center"/>
          </w:tcPr>
          <w:p w:rsidR="00CA0523" w:rsidRDefault="003F457F">
            <w:pPr>
              <w:jc w:val="right"/>
            </w:pPr>
            <w:r>
              <w:rPr>
                <w:color w:val="000000"/>
                <w:sz w:val="24"/>
                <w:szCs w:val="24"/>
              </w:rPr>
              <w:t>101,716,425.44</w:t>
            </w:r>
          </w:p>
        </w:tc>
        <w:tc>
          <w:tcPr>
            <w:tcW w:w="1644" w:type="dxa"/>
            <w:vAlign w:val="center"/>
          </w:tcPr>
          <w:p w:rsidR="00CA0523" w:rsidRDefault="003F457F">
            <w:pPr>
              <w:jc w:val="right"/>
            </w:pPr>
            <w:r>
              <w:rPr>
                <w:color w:val="000000"/>
                <w:sz w:val="24"/>
                <w:szCs w:val="24"/>
              </w:rPr>
              <w:t>4.39</w:t>
            </w:r>
          </w:p>
        </w:tc>
      </w:tr>
      <w:tr w:rsidR="00CA0523">
        <w:trPr>
          <w:jc w:val="center"/>
        </w:trPr>
        <w:tc>
          <w:tcPr>
            <w:tcW w:w="855" w:type="dxa"/>
            <w:vAlign w:val="center"/>
          </w:tcPr>
          <w:p w:rsidR="00CA0523" w:rsidRDefault="003F457F">
            <w:pPr>
              <w:jc w:val="center"/>
            </w:pPr>
            <w:r>
              <w:rPr>
                <w:color w:val="000000"/>
                <w:sz w:val="24"/>
                <w:szCs w:val="24"/>
              </w:rPr>
              <w:t>9</w:t>
            </w:r>
          </w:p>
        </w:tc>
        <w:tc>
          <w:tcPr>
            <w:tcW w:w="1334" w:type="dxa"/>
            <w:vAlign w:val="center"/>
          </w:tcPr>
          <w:p w:rsidR="00CA0523" w:rsidRDefault="003F457F">
            <w:pPr>
              <w:jc w:val="center"/>
            </w:pPr>
            <w:r>
              <w:rPr>
                <w:color w:val="000000"/>
                <w:sz w:val="24"/>
                <w:szCs w:val="24"/>
              </w:rPr>
              <w:t>600038</w:t>
            </w:r>
          </w:p>
        </w:tc>
        <w:tc>
          <w:tcPr>
            <w:tcW w:w="1777" w:type="dxa"/>
            <w:vAlign w:val="center"/>
          </w:tcPr>
          <w:p w:rsidR="00CA0523" w:rsidRDefault="003F457F">
            <w:pPr>
              <w:jc w:val="center"/>
            </w:pPr>
            <w:r>
              <w:rPr>
                <w:color w:val="000000"/>
                <w:sz w:val="24"/>
                <w:szCs w:val="24"/>
              </w:rPr>
              <w:t>中直股份</w:t>
            </w:r>
          </w:p>
        </w:tc>
        <w:tc>
          <w:tcPr>
            <w:tcW w:w="1334" w:type="dxa"/>
            <w:vAlign w:val="center"/>
          </w:tcPr>
          <w:p w:rsidR="00CA0523" w:rsidRDefault="003F457F">
            <w:pPr>
              <w:jc w:val="right"/>
            </w:pPr>
            <w:r>
              <w:rPr>
                <w:color w:val="000000"/>
                <w:sz w:val="24"/>
                <w:szCs w:val="24"/>
              </w:rPr>
              <w:t>2,059,036</w:t>
            </w:r>
          </w:p>
        </w:tc>
        <w:tc>
          <w:tcPr>
            <w:tcW w:w="1924" w:type="dxa"/>
            <w:vAlign w:val="center"/>
          </w:tcPr>
          <w:p w:rsidR="00CA0523" w:rsidRDefault="003F457F">
            <w:pPr>
              <w:jc w:val="right"/>
            </w:pPr>
            <w:r>
              <w:rPr>
                <w:color w:val="000000"/>
                <w:sz w:val="24"/>
                <w:szCs w:val="24"/>
              </w:rPr>
              <w:t>96,259,933.00</w:t>
            </w:r>
          </w:p>
        </w:tc>
        <w:tc>
          <w:tcPr>
            <w:tcW w:w="1644" w:type="dxa"/>
            <w:vAlign w:val="center"/>
          </w:tcPr>
          <w:p w:rsidR="00CA0523" w:rsidRDefault="003F457F">
            <w:pPr>
              <w:jc w:val="right"/>
            </w:pPr>
            <w:r>
              <w:rPr>
                <w:color w:val="000000"/>
                <w:sz w:val="24"/>
                <w:szCs w:val="24"/>
              </w:rPr>
              <w:t>4.15</w:t>
            </w:r>
          </w:p>
        </w:tc>
      </w:tr>
      <w:tr w:rsidR="00CA0523">
        <w:trPr>
          <w:jc w:val="center"/>
        </w:trPr>
        <w:tc>
          <w:tcPr>
            <w:tcW w:w="855" w:type="dxa"/>
            <w:vAlign w:val="center"/>
          </w:tcPr>
          <w:p w:rsidR="00CA0523" w:rsidRDefault="003F457F">
            <w:pPr>
              <w:jc w:val="center"/>
            </w:pPr>
            <w:r>
              <w:rPr>
                <w:color w:val="000000"/>
                <w:sz w:val="24"/>
                <w:szCs w:val="24"/>
              </w:rPr>
              <w:t>10</w:t>
            </w:r>
          </w:p>
        </w:tc>
        <w:tc>
          <w:tcPr>
            <w:tcW w:w="1334" w:type="dxa"/>
            <w:vAlign w:val="center"/>
          </w:tcPr>
          <w:p w:rsidR="00CA0523" w:rsidRDefault="003F457F">
            <w:pPr>
              <w:jc w:val="center"/>
            </w:pPr>
            <w:r>
              <w:rPr>
                <w:color w:val="000000"/>
                <w:sz w:val="24"/>
                <w:szCs w:val="24"/>
              </w:rPr>
              <w:t>600256</w:t>
            </w:r>
          </w:p>
        </w:tc>
        <w:tc>
          <w:tcPr>
            <w:tcW w:w="1777" w:type="dxa"/>
            <w:vAlign w:val="center"/>
          </w:tcPr>
          <w:p w:rsidR="00CA0523" w:rsidRDefault="003F457F">
            <w:pPr>
              <w:jc w:val="center"/>
            </w:pPr>
            <w:r>
              <w:rPr>
                <w:color w:val="000000"/>
                <w:sz w:val="24"/>
                <w:szCs w:val="24"/>
              </w:rPr>
              <w:t>广汇能源</w:t>
            </w:r>
          </w:p>
        </w:tc>
        <w:tc>
          <w:tcPr>
            <w:tcW w:w="1334" w:type="dxa"/>
            <w:vAlign w:val="center"/>
          </w:tcPr>
          <w:p w:rsidR="00CA0523" w:rsidRDefault="003F457F">
            <w:pPr>
              <w:jc w:val="right"/>
            </w:pPr>
            <w:r>
              <w:rPr>
                <w:color w:val="000000"/>
                <w:sz w:val="24"/>
                <w:szCs w:val="24"/>
              </w:rPr>
              <w:t>20,687,241</w:t>
            </w:r>
          </w:p>
        </w:tc>
        <w:tc>
          <w:tcPr>
            <w:tcW w:w="1924" w:type="dxa"/>
            <w:vAlign w:val="center"/>
          </w:tcPr>
          <w:p w:rsidR="00CA0523" w:rsidRDefault="003F457F">
            <w:pPr>
              <w:jc w:val="right"/>
            </w:pPr>
            <w:r>
              <w:rPr>
                <w:color w:val="000000"/>
                <w:sz w:val="24"/>
                <w:szCs w:val="24"/>
              </w:rPr>
              <w:t>89,989,498.35</w:t>
            </w:r>
          </w:p>
        </w:tc>
        <w:tc>
          <w:tcPr>
            <w:tcW w:w="1644" w:type="dxa"/>
            <w:vAlign w:val="center"/>
          </w:tcPr>
          <w:p w:rsidR="00CA0523" w:rsidRDefault="003F457F">
            <w:pPr>
              <w:jc w:val="right"/>
            </w:pPr>
            <w:r>
              <w:rPr>
                <w:color w:val="000000"/>
                <w:sz w:val="24"/>
                <w:szCs w:val="24"/>
              </w:rPr>
              <w:t>3.88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116,403,300.00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116,403,300.00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A0523">
        <w:trPr>
          <w:jc w:val="center"/>
        </w:trPr>
        <w:tc>
          <w:tcPr>
            <w:tcW w:w="850" w:type="dxa"/>
            <w:vAlign w:val="center"/>
          </w:tcPr>
          <w:p w:rsidR="00CA0523" w:rsidRDefault="003F457F">
            <w:pPr>
              <w:jc w:val="center"/>
            </w:pPr>
            <w:r>
              <w:rPr>
                <w:color w:val="000000"/>
                <w:sz w:val="24"/>
                <w:szCs w:val="24"/>
              </w:rPr>
              <w:t>1</w:t>
            </w:r>
          </w:p>
        </w:tc>
        <w:tc>
          <w:tcPr>
            <w:tcW w:w="1475" w:type="dxa"/>
            <w:vAlign w:val="center"/>
          </w:tcPr>
          <w:p w:rsidR="00CA0523" w:rsidRDefault="003F457F">
            <w:pPr>
              <w:jc w:val="center"/>
            </w:pPr>
            <w:r>
              <w:rPr>
                <w:color w:val="000000"/>
                <w:sz w:val="24"/>
                <w:szCs w:val="24"/>
              </w:rPr>
              <w:t>199908</w:t>
            </w:r>
          </w:p>
        </w:tc>
        <w:tc>
          <w:tcPr>
            <w:tcW w:w="1769" w:type="dxa"/>
            <w:vAlign w:val="center"/>
          </w:tcPr>
          <w:p w:rsidR="00CA0523" w:rsidRDefault="003F457F">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CA0523" w:rsidRDefault="003F457F">
            <w:pPr>
              <w:jc w:val="right"/>
            </w:pPr>
            <w:r>
              <w:rPr>
                <w:color w:val="000000"/>
                <w:sz w:val="24"/>
                <w:szCs w:val="24"/>
              </w:rPr>
              <w:t>1,170,000</w:t>
            </w:r>
          </w:p>
        </w:tc>
        <w:tc>
          <w:tcPr>
            <w:tcW w:w="2150" w:type="dxa"/>
            <w:vAlign w:val="center"/>
          </w:tcPr>
          <w:p w:rsidR="00CA0523" w:rsidRDefault="003F457F">
            <w:pPr>
              <w:jc w:val="right"/>
            </w:pPr>
            <w:r>
              <w:rPr>
                <w:color w:val="000000"/>
                <w:sz w:val="24"/>
                <w:szCs w:val="24"/>
              </w:rPr>
              <w:t>116,403,300.00</w:t>
            </w:r>
          </w:p>
        </w:tc>
        <w:tc>
          <w:tcPr>
            <w:tcW w:w="1237" w:type="dxa"/>
            <w:vAlign w:val="center"/>
          </w:tcPr>
          <w:p w:rsidR="00CA0523" w:rsidRDefault="003F457F">
            <w:pPr>
              <w:jc w:val="right"/>
            </w:pPr>
            <w:r>
              <w:rPr>
                <w:color w:val="000000"/>
                <w:sz w:val="24"/>
                <w:szCs w:val="24"/>
              </w:rPr>
              <w:t>5.02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854,109.97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22,570,144.48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210,090.34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554,688.38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24,189,033.17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A0523">
        <w:trPr>
          <w:jc w:val="center"/>
        </w:trPr>
        <w:tc>
          <w:tcPr>
            <w:tcW w:w="1129" w:type="dxa"/>
            <w:vAlign w:val="center"/>
          </w:tcPr>
          <w:p w:rsidR="00CA0523" w:rsidRDefault="003F457F">
            <w:pPr>
              <w:jc w:val="center"/>
            </w:pPr>
            <w:r>
              <w:rPr>
                <w:color w:val="000000"/>
                <w:sz w:val="24"/>
                <w:szCs w:val="24"/>
              </w:rPr>
              <w:t>1</w:t>
            </w:r>
          </w:p>
        </w:tc>
        <w:tc>
          <w:tcPr>
            <w:tcW w:w="1356" w:type="dxa"/>
            <w:vAlign w:val="center"/>
          </w:tcPr>
          <w:p w:rsidR="00CA0523" w:rsidRDefault="003F457F">
            <w:pPr>
              <w:jc w:val="center"/>
            </w:pPr>
            <w:r>
              <w:rPr>
                <w:color w:val="000000"/>
                <w:sz w:val="24"/>
                <w:szCs w:val="24"/>
              </w:rPr>
              <w:t>603707</w:t>
            </w:r>
          </w:p>
        </w:tc>
        <w:tc>
          <w:tcPr>
            <w:tcW w:w="1355" w:type="dxa"/>
            <w:vAlign w:val="center"/>
          </w:tcPr>
          <w:p w:rsidR="00CA0523" w:rsidRDefault="003F457F">
            <w:pPr>
              <w:jc w:val="center"/>
            </w:pPr>
            <w:r>
              <w:rPr>
                <w:color w:val="000000"/>
                <w:sz w:val="24"/>
                <w:szCs w:val="24"/>
              </w:rPr>
              <w:t>健友股份</w:t>
            </w:r>
          </w:p>
        </w:tc>
        <w:tc>
          <w:tcPr>
            <w:tcW w:w="1880" w:type="dxa"/>
            <w:vAlign w:val="center"/>
          </w:tcPr>
          <w:p w:rsidR="00CA0523" w:rsidRDefault="003F457F">
            <w:pPr>
              <w:jc w:val="right"/>
            </w:pPr>
            <w:r>
              <w:rPr>
                <w:color w:val="000000"/>
                <w:sz w:val="24"/>
                <w:szCs w:val="24"/>
              </w:rPr>
              <w:t>19,235,610.00</w:t>
            </w:r>
          </w:p>
        </w:tc>
        <w:tc>
          <w:tcPr>
            <w:tcW w:w="1724" w:type="dxa"/>
            <w:vAlign w:val="center"/>
          </w:tcPr>
          <w:p w:rsidR="00CA0523" w:rsidRDefault="003F457F">
            <w:pPr>
              <w:jc w:val="right"/>
            </w:pPr>
            <w:r>
              <w:rPr>
                <w:color w:val="000000"/>
                <w:sz w:val="24"/>
                <w:szCs w:val="24"/>
              </w:rPr>
              <w:t>0.83</w:t>
            </w:r>
          </w:p>
        </w:tc>
        <w:tc>
          <w:tcPr>
            <w:tcW w:w="1424" w:type="dxa"/>
            <w:vAlign w:val="center"/>
          </w:tcPr>
          <w:p w:rsidR="00CA0523" w:rsidRDefault="003F457F">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2,518,263,733.85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14,071,892.83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328,935,685.97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2,203,399,940.71</w:t>
            </w:r>
          </w:p>
        </w:tc>
      </w:tr>
    </w:tbl>
    <w:p w:rsidR="00CA0523" w:rsidRDefault="003F457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A0523" w:rsidRDefault="003F457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A0523" w:rsidRDefault="003F457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A0523" w:rsidRDefault="003F457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3F457F">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3F457F">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交银施罗德蓝筹混合型证券投资基金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457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0523"/>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B149FFA-26B4-4DFF-90AF-C7A57D92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B590C-E000-423A-9AF7-F6A8A511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13</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2019-04-18T09:13:00Z</dcterms:modified>
</cp:coreProperties>
</file>