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二〇一九年四月二十日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848A1" w:rsidRDefault="006D2A6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848A1" w:rsidRDefault="006D2A6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848A1" w:rsidRDefault="006D2A6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848A1" w:rsidRDefault="006D2A6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848A1" w:rsidRDefault="006D2A66">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345,524,362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D2A66" w:rsidRPr="0036023B" w:rsidTr="006D2A6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6D2A66" w:rsidRPr="0036023B" w:rsidTr="006D2A6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2,640,040.02</w:t>
            </w:r>
          </w:p>
        </w:tc>
      </w:tr>
      <w:tr w:rsidR="006D2A66" w:rsidRPr="0036023B" w:rsidTr="006D2A6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76,222,155.63</w:t>
            </w:r>
          </w:p>
        </w:tc>
      </w:tr>
      <w:tr w:rsidR="006D2A66" w:rsidRPr="0036023B" w:rsidTr="006D2A6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0.2109</w:t>
            </w:r>
          </w:p>
        </w:tc>
      </w:tr>
      <w:tr w:rsidR="006D2A66" w:rsidRPr="0036023B" w:rsidTr="006D2A6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403,728,709.93</w:t>
            </w:r>
          </w:p>
        </w:tc>
      </w:tr>
      <w:tr w:rsidR="006D2A66" w:rsidRPr="0036023B" w:rsidTr="006D2A6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1.168</w:t>
            </w:r>
          </w:p>
        </w:tc>
      </w:tr>
    </w:tbl>
    <w:p w:rsidR="004848A1" w:rsidRDefault="006D2A6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848A1">
        <w:trPr>
          <w:jc w:val="center"/>
        </w:trPr>
        <w:tc>
          <w:tcPr>
            <w:tcW w:w="1469" w:type="dxa"/>
            <w:vAlign w:val="center"/>
          </w:tcPr>
          <w:p w:rsidR="004848A1" w:rsidRDefault="006D2A66">
            <w:pPr>
              <w:jc w:val="left"/>
            </w:pPr>
            <w:r>
              <w:rPr>
                <w:color w:val="000000"/>
                <w:sz w:val="24"/>
              </w:rPr>
              <w:t>过去三个月</w:t>
            </w:r>
          </w:p>
        </w:tc>
        <w:tc>
          <w:tcPr>
            <w:tcW w:w="1150" w:type="dxa"/>
            <w:vAlign w:val="center"/>
          </w:tcPr>
          <w:p w:rsidR="004848A1" w:rsidRDefault="006D2A66">
            <w:pPr>
              <w:jc w:val="center"/>
            </w:pPr>
            <w:r>
              <w:rPr>
                <w:color w:val="000000"/>
                <w:sz w:val="24"/>
              </w:rPr>
              <w:t>21.79%</w:t>
            </w:r>
          </w:p>
        </w:tc>
        <w:tc>
          <w:tcPr>
            <w:tcW w:w="1223" w:type="dxa"/>
            <w:vAlign w:val="center"/>
          </w:tcPr>
          <w:p w:rsidR="004848A1" w:rsidRDefault="006D2A66">
            <w:pPr>
              <w:jc w:val="center"/>
            </w:pPr>
            <w:r>
              <w:rPr>
                <w:color w:val="000000"/>
                <w:sz w:val="24"/>
              </w:rPr>
              <w:t>1.53%</w:t>
            </w:r>
          </w:p>
        </w:tc>
        <w:tc>
          <w:tcPr>
            <w:tcW w:w="1244" w:type="dxa"/>
            <w:vAlign w:val="center"/>
          </w:tcPr>
          <w:p w:rsidR="004848A1" w:rsidRDefault="006D2A66">
            <w:pPr>
              <w:jc w:val="center"/>
            </w:pPr>
            <w:r>
              <w:rPr>
                <w:color w:val="000000"/>
                <w:sz w:val="24"/>
              </w:rPr>
              <w:t>21.65%</w:t>
            </w:r>
          </w:p>
        </w:tc>
        <w:tc>
          <w:tcPr>
            <w:tcW w:w="1251" w:type="dxa"/>
            <w:vAlign w:val="center"/>
          </w:tcPr>
          <w:p w:rsidR="004848A1" w:rsidRDefault="006D2A66">
            <w:pPr>
              <w:jc w:val="center"/>
            </w:pPr>
            <w:r>
              <w:rPr>
                <w:color w:val="000000"/>
                <w:sz w:val="24"/>
              </w:rPr>
              <w:t>1.52%</w:t>
            </w:r>
          </w:p>
        </w:tc>
        <w:tc>
          <w:tcPr>
            <w:tcW w:w="1263" w:type="dxa"/>
            <w:vAlign w:val="center"/>
          </w:tcPr>
          <w:p w:rsidR="004848A1" w:rsidRDefault="006D2A66">
            <w:pPr>
              <w:jc w:val="center"/>
            </w:pPr>
            <w:r>
              <w:rPr>
                <w:color w:val="000000"/>
                <w:sz w:val="24"/>
              </w:rPr>
              <w:t>0.14%</w:t>
            </w:r>
          </w:p>
        </w:tc>
        <w:tc>
          <w:tcPr>
            <w:tcW w:w="1268" w:type="dxa"/>
            <w:vAlign w:val="center"/>
          </w:tcPr>
          <w:p w:rsidR="004848A1" w:rsidRDefault="006D2A66">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848A1">
        <w:trPr>
          <w:jc w:val="center"/>
        </w:trPr>
        <w:tc>
          <w:tcPr>
            <w:tcW w:w="846" w:type="dxa"/>
            <w:vAlign w:val="center"/>
          </w:tcPr>
          <w:p w:rsidR="004848A1" w:rsidRDefault="006D2A66">
            <w:pPr>
              <w:jc w:val="center"/>
            </w:pPr>
            <w:r>
              <w:rPr>
                <w:color w:val="000000"/>
                <w:sz w:val="24"/>
              </w:rPr>
              <w:t>蔡铮</w:t>
            </w:r>
          </w:p>
        </w:tc>
        <w:tc>
          <w:tcPr>
            <w:tcW w:w="845" w:type="dxa"/>
            <w:vAlign w:val="center"/>
          </w:tcPr>
          <w:p w:rsidR="004848A1" w:rsidRDefault="006D2A6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4848A1" w:rsidRDefault="006D2A66">
            <w:pPr>
              <w:jc w:val="center"/>
            </w:pPr>
            <w:r>
              <w:rPr>
                <w:color w:val="000000"/>
                <w:sz w:val="24"/>
              </w:rPr>
              <w:lastRenderedPageBreak/>
              <w:t>2012-12-27</w:t>
            </w:r>
          </w:p>
        </w:tc>
        <w:tc>
          <w:tcPr>
            <w:tcW w:w="1548" w:type="dxa"/>
            <w:vAlign w:val="center"/>
          </w:tcPr>
          <w:p w:rsidR="004848A1" w:rsidRDefault="006D2A66">
            <w:pPr>
              <w:jc w:val="center"/>
            </w:pPr>
            <w:r>
              <w:rPr>
                <w:color w:val="000000"/>
                <w:sz w:val="24"/>
              </w:rPr>
              <w:t>-</w:t>
            </w:r>
          </w:p>
        </w:tc>
        <w:tc>
          <w:tcPr>
            <w:tcW w:w="1407" w:type="dxa"/>
            <w:vAlign w:val="center"/>
          </w:tcPr>
          <w:p w:rsidR="004848A1" w:rsidRDefault="006D2A66">
            <w:pPr>
              <w:jc w:val="center"/>
            </w:pPr>
            <w:r>
              <w:rPr>
                <w:color w:val="000000"/>
                <w:sz w:val="24"/>
              </w:rPr>
              <w:t>10</w:t>
            </w:r>
            <w:r>
              <w:rPr>
                <w:color w:val="000000"/>
                <w:sz w:val="24"/>
              </w:rPr>
              <w:t>年</w:t>
            </w:r>
          </w:p>
        </w:tc>
        <w:tc>
          <w:tcPr>
            <w:tcW w:w="2673" w:type="dxa"/>
            <w:vAlign w:val="center"/>
          </w:tcPr>
          <w:p w:rsidR="004848A1" w:rsidRDefault="006D2A6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4848A1" w:rsidRDefault="006D2A6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48A1" w:rsidRDefault="006D2A6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48A1" w:rsidRDefault="006D2A6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4848A1" w:rsidRDefault="006D2A66">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color w:val="000000"/>
          <w:sz w:val="24"/>
        </w:rPr>
        <w:t>A</w:t>
      </w:r>
      <w:r>
        <w:rPr>
          <w:color w:val="000000"/>
          <w:sz w:val="24"/>
        </w:rPr>
        <w:t>股市场风险偏好显著回升，市场点位大幅上行。作为跟踪基准指数的指数基金，一季度基金总体呈现稳步上行的趋势。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402,613,864.69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99.55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402,613,864.69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99.55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1,567,965.51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0.39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255,820.33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404,437,650.53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24,233,590.84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86,727,582.23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19,234,703.09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28,308,826.76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4,060,146.48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13,299,984.62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10,645,646.93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201,335,442.83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49.87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13,063,589.91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1,704,351.00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402,613,864.69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99.72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848A1">
        <w:trPr>
          <w:jc w:val="center"/>
        </w:trPr>
        <w:tc>
          <w:tcPr>
            <w:tcW w:w="850" w:type="dxa"/>
            <w:vAlign w:val="center"/>
          </w:tcPr>
          <w:p w:rsidR="004848A1" w:rsidRDefault="006D2A66">
            <w:pPr>
              <w:jc w:val="center"/>
            </w:pPr>
            <w:r>
              <w:rPr>
                <w:color w:val="000000"/>
                <w:sz w:val="24"/>
              </w:rPr>
              <w:t>1</w:t>
            </w:r>
          </w:p>
        </w:tc>
        <w:tc>
          <w:tcPr>
            <w:tcW w:w="1327" w:type="dxa"/>
            <w:vAlign w:val="center"/>
          </w:tcPr>
          <w:p w:rsidR="004848A1" w:rsidRDefault="006D2A66">
            <w:pPr>
              <w:jc w:val="center"/>
            </w:pPr>
            <w:r>
              <w:rPr>
                <w:color w:val="000000"/>
                <w:sz w:val="24"/>
              </w:rPr>
              <w:t>601318</w:t>
            </w:r>
          </w:p>
        </w:tc>
        <w:tc>
          <w:tcPr>
            <w:tcW w:w="1769" w:type="dxa"/>
            <w:vAlign w:val="center"/>
          </w:tcPr>
          <w:p w:rsidR="004848A1" w:rsidRDefault="006D2A66">
            <w:pPr>
              <w:jc w:val="center"/>
            </w:pPr>
            <w:r>
              <w:rPr>
                <w:color w:val="000000"/>
                <w:sz w:val="24"/>
              </w:rPr>
              <w:t>中国平安</w:t>
            </w:r>
          </w:p>
        </w:tc>
        <w:tc>
          <w:tcPr>
            <w:tcW w:w="1327" w:type="dxa"/>
            <w:vAlign w:val="center"/>
          </w:tcPr>
          <w:p w:rsidR="004848A1" w:rsidRDefault="006D2A66">
            <w:pPr>
              <w:jc w:val="right"/>
            </w:pPr>
            <w:r>
              <w:rPr>
                <w:color w:val="000000"/>
                <w:sz w:val="24"/>
              </w:rPr>
              <w:t>855,535</w:t>
            </w:r>
          </w:p>
        </w:tc>
        <w:tc>
          <w:tcPr>
            <w:tcW w:w="1915" w:type="dxa"/>
            <w:vAlign w:val="center"/>
          </w:tcPr>
          <w:p w:rsidR="004848A1" w:rsidRDefault="006D2A66">
            <w:pPr>
              <w:jc w:val="right"/>
            </w:pPr>
            <w:r>
              <w:rPr>
                <w:color w:val="000000"/>
                <w:sz w:val="24"/>
              </w:rPr>
              <w:t>65,961,748.50</w:t>
            </w:r>
          </w:p>
        </w:tc>
        <w:tc>
          <w:tcPr>
            <w:tcW w:w="1680" w:type="dxa"/>
            <w:vAlign w:val="center"/>
          </w:tcPr>
          <w:p w:rsidR="004848A1" w:rsidRDefault="006D2A66">
            <w:pPr>
              <w:jc w:val="right"/>
            </w:pPr>
            <w:r>
              <w:rPr>
                <w:color w:val="000000"/>
                <w:sz w:val="24"/>
              </w:rPr>
              <w:t>16.34</w:t>
            </w:r>
          </w:p>
        </w:tc>
      </w:tr>
      <w:tr w:rsidR="004848A1">
        <w:trPr>
          <w:jc w:val="center"/>
        </w:trPr>
        <w:tc>
          <w:tcPr>
            <w:tcW w:w="850" w:type="dxa"/>
            <w:vAlign w:val="center"/>
          </w:tcPr>
          <w:p w:rsidR="004848A1" w:rsidRDefault="006D2A66">
            <w:pPr>
              <w:jc w:val="center"/>
            </w:pPr>
            <w:r>
              <w:rPr>
                <w:color w:val="000000"/>
                <w:sz w:val="24"/>
              </w:rPr>
              <w:t>2</w:t>
            </w:r>
          </w:p>
        </w:tc>
        <w:tc>
          <w:tcPr>
            <w:tcW w:w="1327" w:type="dxa"/>
            <w:vAlign w:val="center"/>
          </w:tcPr>
          <w:p w:rsidR="004848A1" w:rsidRDefault="006D2A66">
            <w:pPr>
              <w:jc w:val="center"/>
            </w:pPr>
            <w:r>
              <w:rPr>
                <w:color w:val="000000"/>
                <w:sz w:val="24"/>
              </w:rPr>
              <w:t>600036</w:t>
            </w:r>
          </w:p>
        </w:tc>
        <w:tc>
          <w:tcPr>
            <w:tcW w:w="1769" w:type="dxa"/>
            <w:vAlign w:val="center"/>
          </w:tcPr>
          <w:p w:rsidR="004848A1" w:rsidRDefault="006D2A66">
            <w:pPr>
              <w:jc w:val="center"/>
            </w:pPr>
            <w:r>
              <w:rPr>
                <w:color w:val="000000"/>
                <w:sz w:val="24"/>
              </w:rPr>
              <w:t>招商银行</w:t>
            </w:r>
          </w:p>
        </w:tc>
        <w:tc>
          <w:tcPr>
            <w:tcW w:w="1327" w:type="dxa"/>
            <w:vAlign w:val="center"/>
          </w:tcPr>
          <w:p w:rsidR="004848A1" w:rsidRDefault="006D2A66">
            <w:pPr>
              <w:jc w:val="right"/>
            </w:pPr>
            <w:r>
              <w:rPr>
                <w:color w:val="000000"/>
                <w:sz w:val="24"/>
              </w:rPr>
              <w:t>814,182</w:t>
            </w:r>
          </w:p>
        </w:tc>
        <w:tc>
          <w:tcPr>
            <w:tcW w:w="1915" w:type="dxa"/>
            <w:vAlign w:val="center"/>
          </w:tcPr>
          <w:p w:rsidR="004848A1" w:rsidRDefault="006D2A66">
            <w:pPr>
              <w:jc w:val="right"/>
            </w:pPr>
            <w:r>
              <w:rPr>
                <w:color w:val="000000"/>
                <w:sz w:val="24"/>
              </w:rPr>
              <w:t>27,617,053.44</w:t>
            </w:r>
          </w:p>
        </w:tc>
        <w:tc>
          <w:tcPr>
            <w:tcW w:w="1680" w:type="dxa"/>
            <w:vAlign w:val="center"/>
          </w:tcPr>
          <w:p w:rsidR="004848A1" w:rsidRDefault="006D2A66">
            <w:pPr>
              <w:jc w:val="right"/>
            </w:pPr>
            <w:r>
              <w:rPr>
                <w:color w:val="000000"/>
                <w:sz w:val="24"/>
              </w:rPr>
              <w:t>6.84</w:t>
            </w:r>
          </w:p>
        </w:tc>
      </w:tr>
      <w:tr w:rsidR="004848A1">
        <w:trPr>
          <w:jc w:val="center"/>
        </w:trPr>
        <w:tc>
          <w:tcPr>
            <w:tcW w:w="850" w:type="dxa"/>
            <w:vAlign w:val="center"/>
          </w:tcPr>
          <w:p w:rsidR="004848A1" w:rsidRDefault="006D2A66">
            <w:pPr>
              <w:jc w:val="center"/>
            </w:pPr>
            <w:r>
              <w:rPr>
                <w:color w:val="000000"/>
                <w:sz w:val="24"/>
              </w:rPr>
              <w:t>3</w:t>
            </w:r>
          </w:p>
        </w:tc>
        <w:tc>
          <w:tcPr>
            <w:tcW w:w="1327" w:type="dxa"/>
            <w:vAlign w:val="center"/>
          </w:tcPr>
          <w:p w:rsidR="004848A1" w:rsidRDefault="006D2A66">
            <w:pPr>
              <w:jc w:val="center"/>
            </w:pPr>
            <w:r>
              <w:rPr>
                <w:color w:val="000000"/>
                <w:sz w:val="24"/>
              </w:rPr>
              <w:t>601166</w:t>
            </w:r>
          </w:p>
        </w:tc>
        <w:tc>
          <w:tcPr>
            <w:tcW w:w="1769" w:type="dxa"/>
            <w:vAlign w:val="center"/>
          </w:tcPr>
          <w:p w:rsidR="004848A1" w:rsidRDefault="006D2A66">
            <w:pPr>
              <w:jc w:val="center"/>
            </w:pPr>
            <w:r>
              <w:rPr>
                <w:color w:val="000000"/>
                <w:sz w:val="24"/>
              </w:rPr>
              <w:t>兴业银行</w:t>
            </w:r>
          </w:p>
        </w:tc>
        <w:tc>
          <w:tcPr>
            <w:tcW w:w="1327" w:type="dxa"/>
            <w:vAlign w:val="center"/>
          </w:tcPr>
          <w:p w:rsidR="004848A1" w:rsidRDefault="006D2A66">
            <w:pPr>
              <w:jc w:val="right"/>
            </w:pPr>
            <w:r>
              <w:rPr>
                <w:color w:val="000000"/>
                <w:sz w:val="24"/>
              </w:rPr>
              <w:t>983,862</w:t>
            </w:r>
          </w:p>
        </w:tc>
        <w:tc>
          <w:tcPr>
            <w:tcW w:w="1915" w:type="dxa"/>
            <w:vAlign w:val="center"/>
          </w:tcPr>
          <w:p w:rsidR="004848A1" w:rsidRDefault="006D2A66">
            <w:pPr>
              <w:jc w:val="right"/>
            </w:pPr>
            <w:r>
              <w:rPr>
                <w:color w:val="000000"/>
                <w:sz w:val="24"/>
              </w:rPr>
              <w:t>17,876,772.54</w:t>
            </w:r>
          </w:p>
        </w:tc>
        <w:tc>
          <w:tcPr>
            <w:tcW w:w="1680" w:type="dxa"/>
            <w:vAlign w:val="center"/>
          </w:tcPr>
          <w:p w:rsidR="004848A1" w:rsidRDefault="006D2A66">
            <w:pPr>
              <w:jc w:val="right"/>
            </w:pPr>
            <w:r>
              <w:rPr>
                <w:color w:val="000000"/>
                <w:sz w:val="24"/>
              </w:rPr>
              <w:t>4.43</w:t>
            </w:r>
          </w:p>
        </w:tc>
      </w:tr>
      <w:tr w:rsidR="004848A1">
        <w:trPr>
          <w:jc w:val="center"/>
        </w:trPr>
        <w:tc>
          <w:tcPr>
            <w:tcW w:w="850" w:type="dxa"/>
            <w:vAlign w:val="center"/>
          </w:tcPr>
          <w:p w:rsidR="004848A1" w:rsidRDefault="006D2A66">
            <w:pPr>
              <w:jc w:val="center"/>
            </w:pPr>
            <w:r>
              <w:rPr>
                <w:color w:val="000000"/>
                <w:sz w:val="24"/>
              </w:rPr>
              <w:t>4</w:t>
            </w:r>
          </w:p>
        </w:tc>
        <w:tc>
          <w:tcPr>
            <w:tcW w:w="1327" w:type="dxa"/>
            <w:vAlign w:val="center"/>
          </w:tcPr>
          <w:p w:rsidR="004848A1" w:rsidRDefault="006D2A66">
            <w:pPr>
              <w:jc w:val="center"/>
            </w:pPr>
            <w:r>
              <w:rPr>
                <w:color w:val="000000"/>
                <w:sz w:val="24"/>
              </w:rPr>
              <w:t>600000</w:t>
            </w:r>
          </w:p>
        </w:tc>
        <w:tc>
          <w:tcPr>
            <w:tcW w:w="1769" w:type="dxa"/>
            <w:vAlign w:val="center"/>
          </w:tcPr>
          <w:p w:rsidR="004848A1" w:rsidRDefault="006D2A66">
            <w:pPr>
              <w:jc w:val="center"/>
            </w:pPr>
            <w:r>
              <w:rPr>
                <w:color w:val="000000"/>
                <w:sz w:val="24"/>
              </w:rPr>
              <w:t>浦发银行</w:t>
            </w:r>
          </w:p>
        </w:tc>
        <w:tc>
          <w:tcPr>
            <w:tcW w:w="1327" w:type="dxa"/>
            <w:vAlign w:val="center"/>
          </w:tcPr>
          <w:p w:rsidR="004848A1" w:rsidRDefault="006D2A66">
            <w:pPr>
              <w:jc w:val="right"/>
            </w:pPr>
            <w:r>
              <w:rPr>
                <w:color w:val="000000"/>
                <w:sz w:val="24"/>
              </w:rPr>
              <w:t>927,445</w:t>
            </w:r>
          </w:p>
        </w:tc>
        <w:tc>
          <w:tcPr>
            <w:tcW w:w="1915" w:type="dxa"/>
            <w:vAlign w:val="center"/>
          </w:tcPr>
          <w:p w:rsidR="004848A1" w:rsidRDefault="006D2A66">
            <w:pPr>
              <w:jc w:val="right"/>
            </w:pPr>
            <w:r>
              <w:rPr>
                <w:color w:val="000000"/>
                <w:sz w:val="24"/>
              </w:rPr>
              <w:t>10,461,579.60</w:t>
            </w:r>
          </w:p>
        </w:tc>
        <w:tc>
          <w:tcPr>
            <w:tcW w:w="1680" w:type="dxa"/>
            <w:vAlign w:val="center"/>
          </w:tcPr>
          <w:p w:rsidR="004848A1" w:rsidRDefault="006D2A66">
            <w:pPr>
              <w:jc w:val="right"/>
            </w:pPr>
            <w:r>
              <w:rPr>
                <w:color w:val="000000"/>
                <w:sz w:val="24"/>
              </w:rPr>
              <w:t>2.59</w:t>
            </w:r>
          </w:p>
        </w:tc>
      </w:tr>
      <w:tr w:rsidR="004848A1">
        <w:trPr>
          <w:jc w:val="center"/>
        </w:trPr>
        <w:tc>
          <w:tcPr>
            <w:tcW w:w="850" w:type="dxa"/>
            <w:vAlign w:val="center"/>
          </w:tcPr>
          <w:p w:rsidR="004848A1" w:rsidRDefault="006D2A66">
            <w:pPr>
              <w:jc w:val="center"/>
            </w:pPr>
            <w:r>
              <w:rPr>
                <w:color w:val="000000"/>
                <w:sz w:val="24"/>
              </w:rPr>
              <w:t>5</w:t>
            </w:r>
          </w:p>
        </w:tc>
        <w:tc>
          <w:tcPr>
            <w:tcW w:w="1327" w:type="dxa"/>
            <w:vAlign w:val="center"/>
          </w:tcPr>
          <w:p w:rsidR="004848A1" w:rsidRDefault="006D2A66">
            <w:pPr>
              <w:jc w:val="center"/>
            </w:pPr>
            <w:r>
              <w:rPr>
                <w:color w:val="000000"/>
                <w:sz w:val="24"/>
              </w:rPr>
              <w:t>601668</w:t>
            </w:r>
          </w:p>
        </w:tc>
        <w:tc>
          <w:tcPr>
            <w:tcW w:w="1769" w:type="dxa"/>
            <w:vAlign w:val="center"/>
          </w:tcPr>
          <w:p w:rsidR="004848A1" w:rsidRDefault="006D2A66">
            <w:pPr>
              <w:jc w:val="center"/>
            </w:pPr>
            <w:r>
              <w:rPr>
                <w:color w:val="000000"/>
                <w:sz w:val="24"/>
              </w:rPr>
              <w:t>中国建筑</w:t>
            </w:r>
          </w:p>
        </w:tc>
        <w:tc>
          <w:tcPr>
            <w:tcW w:w="1327" w:type="dxa"/>
            <w:vAlign w:val="center"/>
          </w:tcPr>
          <w:p w:rsidR="004848A1" w:rsidRDefault="006D2A66">
            <w:pPr>
              <w:jc w:val="right"/>
            </w:pPr>
            <w:r>
              <w:rPr>
                <w:color w:val="000000"/>
                <w:sz w:val="24"/>
              </w:rPr>
              <w:t>1,658,825</w:t>
            </w:r>
          </w:p>
        </w:tc>
        <w:tc>
          <w:tcPr>
            <w:tcW w:w="1915" w:type="dxa"/>
            <w:vAlign w:val="center"/>
          </w:tcPr>
          <w:p w:rsidR="004848A1" w:rsidRDefault="006D2A66">
            <w:pPr>
              <w:jc w:val="right"/>
            </w:pPr>
            <w:r>
              <w:rPr>
                <w:color w:val="000000"/>
                <w:sz w:val="24"/>
              </w:rPr>
              <w:t>10,152,009.00</w:t>
            </w:r>
          </w:p>
        </w:tc>
        <w:tc>
          <w:tcPr>
            <w:tcW w:w="1680" w:type="dxa"/>
            <w:vAlign w:val="center"/>
          </w:tcPr>
          <w:p w:rsidR="004848A1" w:rsidRDefault="006D2A66">
            <w:pPr>
              <w:jc w:val="right"/>
            </w:pPr>
            <w:r>
              <w:rPr>
                <w:color w:val="000000"/>
                <w:sz w:val="24"/>
              </w:rPr>
              <w:t>2.51</w:t>
            </w:r>
          </w:p>
        </w:tc>
      </w:tr>
      <w:tr w:rsidR="004848A1">
        <w:trPr>
          <w:jc w:val="center"/>
        </w:trPr>
        <w:tc>
          <w:tcPr>
            <w:tcW w:w="850" w:type="dxa"/>
            <w:vAlign w:val="center"/>
          </w:tcPr>
          <w:p w:rsidR="004848A1" w:rsidRDefault="006D2A66">
            <w:pPr>
              <w:jc w:val="center"/>
            </w:pPr>
            <w:r>
              <w:rPr>
                <w:color w:val="000000"/>
                <w:sz w:val="24"/>
              </w:rPr>
              <w:t>6</w:t>
            </w:r>
          </w:p>
        </w:tc>
        <w:tc>
          <w:tcPr>
            <w:tcW w:w="1327" w:type="dxa"/>
            <w:vAlign w:val="center"/>
          </w:tcPr>
          <w:p w:rsidR="004848A1" w:rsidRDefault="006D2A66">
            <w:pPr>
              <w:jc w:val="center"/>
            </w:pPr>
            <w:r>
              <w:rPr>
                <w:color w:val="000000"/>
                <w:sz w:val="24"/>
              </w:rPr>
              <w:t>601398</w:t>
            </w:r>
          </w:p>
        </w:tc>
        <w:tc>
          <w:tcPr>
            <w:tcW w:w="1769" w:type="dxa"/>
            <w:vAlign w:val="center"/>
          </w:tcPr>
          <w:p w:rsidR="004848A1" w:rsidRDefault="006D2A66">
            <w:pPr>
              <w:jc w:val="center"/>
            </w:pPr>
            <w:r>
              <w:rPr>
                <w:color w:val="000000"/>
                <w:sz w:val="24"/>
              </w:rPr>
              <w:t>工商银行</w:t>
            </w:r>
          </w:p>
        </w:tc>
        <w:tc>
          <w:tcPr>
            <w:tcW w:w="1327" w:type="dxa"/>
            <w:vAlign w:val="center"/>
          </w:tcPr>
          <w:p w:rsidR="004848A1" w:rsidRDefault="006D2A66">
            <w:pPr>
              <w:jc w:val="right"/>
            </w:pPr>
            <w:r>
              <w:rPr>
                <w:color w:val="000000"/>
                <w:sz w:val="24"/>
              </w:rPr>
              <w:t>1,704,951</w:t>
            </w:r>
          </w:p>
        </w:tc>
        <w:tc>
          <w:tcPr>
            <w:tcW w:w="1915" w:type="dxa"/>
            <w:vAlign w:val="center"/>
          </w:tcPr>
          <w:p w:rsidR="004848A1" w:rsidRDefault="006D2A66">
            <w:pPr>
              <w:jc w:val="right"/>
            </w:pPr>
            <w:r>
              <w:rPr>
                <w:color w:val="000000"/>
                <w:sz w:val="24"/>
              </w:rPr>
              <w:t>9,496,577.07</w:t>
            </w:r>
          </w:p>
        </w:tc>
        <w:tc>
          <w:tcPr>
            <w:tcW w:w="1680" w:type="dxa"/>
            <w:vAlign w:val="center"/>
          </w:tcPr>
          <w:p w:rsidR="004848A1" w:rsidRDefault="006D2A66">
            <w:pPr>
              <w:jc w:val="right"/>
            </w:pPr>
            <w:r>
              <w:rPr>
                <w:color w:val="000000"/>
                <w:sz w:val="24"/>
              </w:rPr>
              <w:t>2.35</w:t>
            </w:r>
          </w:p>
        </w:tc>
      </w:tr>
      <w:tr w:rsidR="004848A1">
        <w:trPr>
          <w:jc w:val="center"/>
        </w:trPr>
        <w:tc>
          <w:tcPr>
            <w:tcW w:w="850" w:type="dxa"/>
            <w:vAlign w:val="center"/>
          </w:tcPr>
          <w:p w:rsidR="004848A1" w:rsidRDefault="006D2A66">
            <w:pPr>
              <w:jc w:val="center"/>
            </w:pPr>
            <w:r>
              <w:rPr>
                <w:color w:val="000000"/>
                <w:sz w:val="24"/>
              </w:rPr>
              <w:t>7</w:t>
            </w:r>
          </w:p>
        </w:tc>
        <w:tc>
          <w:tcPr>
            <w:tcW w:w="1327" w:type="dxa"/>
            <w:vAlign w:val="center"/>
          </w:tcPr>
          <w:p w:rsidR="004848A1" w:rsidRDefault="006D2A66">
            <w:pPr>
              <w:jc w:val="center"/>
            </w:pPr>
            <w:r>
              <w:rPr>
                <w:color w:val="000000"/>
                <w:sz w:val="24"/>
              </w:rPr>
              <w:t>600900</w:t>
            </w:r>
          </w:p>
        </w:tc>
        <w:tc>
          <w:tcPr>
            <w:tcW w:w="1769" w:type="dxa"/>
            <w:vAlign w:val="center"/>
          </w:tcPr>
          <w:p w:rsidR="004848A1" w:rsidRDefault="006D2A66">
            <w:pPr>
              <w:jc w:val="center"/>
            </w:pPr>
            <w:r>
              <w:rPr>
                <w:color w:val="000000"/>
                <w:sz w:val="24"/>
              </w:rPr>
              <w:t>长江电力</w:t>
            </w:r>
          </w:p>
        </w:tc>
        <w:tc>
          <w:tcPr>
            <w:tcW w:w="1327" w:type="dxa"/>
            <w:vAlign w:val="center"/>
          </w:tcPr>
          <w:p w:rsidR="004848A1" w:rsidRDefault="006D2A66">
            <w:pPr>
              <w:jc w:val="right"/>
            </w:pPr>
            <w:r>
              <w:rPr>
                <w:color w:val="000000"/>
                <w:sz w:val="24"/>
              </w:rPr>
              <w:t>521,740</w:t>
            </w:r>
          </w:p>
        </w:tc>
        <w:tc>
          <w:tcPr>
            <w:tcW w:w="1915" w:type="dxa"/>
            <w:vAlign w:val="center"/>
          </w:tcPr>
          <w:p w:rsidR="004848A1" w:rsidRDefault="006D2A66">
            <w:pPr>
              <w:jc w:val="right"/>
            </w:pPr>
            <w:r>
              <w:rPr>
                <w:color w:val="000000"/>
                <w:sz w:val="24"/>
              </w:rPr>
              <w:t>8,801,753.80</w:t>
            </w:r>
          </w:p>
        </w:tc>
        <w:tc>
          <w:tcPr>
            <w:tcW w:w="1680" w:type="dxa"/>
            <w:vAlign w:val="center"/>
          </w:tcPr>
          <w:p w:rsidR="004848A1" w:rsidRDefault="006D2A66">
            <w:pPr>
              <w:jc w:val="right"/>
            </w:pPr>
            <w:r>
              <w:rPr>
                <w:color w:val="000000"/>
                <w:sz w:val="24"/>
              </w:rPr>
              <w:t>2.18</w:t>
            </w:r>
          </w:p>
        </w:tc>
      </w:tr>
      <w:tr w:rsidR="004848A1">
        <w:trPr>
          <w:jc w:val="center"/>
        </w:trPr>
        <w:tc>
          <w:tcPr>
            <w:tcW w:w="850" w:type="dxa"/>
            <w:vAlign w:val="center"/>
          </w:tcPr>
          <w:p w:rsidR="004848A1" w:rsidRDefault="006D2A66">
            <w:pPr>
              <w:jc w:val="center"/>
            </w:pPr>
            <w:r>
              <w:rPr>
                <w:color w:val="000000"/>
                <w:sz w:val="24"/>
              </w:rPr>
              <w:t>8</w:t>
            </w:r>
          </w:p>
        </w:tc>
        <w:tc>
          <w:tcPr>
            <w:tcW w:w="1327" w:type="dxa"/>
            <w:vAlign w:val="center"/>
          </w:tcPr>
          <w:p w:rsidR="004848A1" w:rsidRDefault="006D2A66">
            <w:pPr>
              <w:jc w:val="center"/>
            </w:pPr>
            <w:r>
              <w:rPr>
                <w:color w:val="000000"/>
                <w:sz w:val="24"/>
              </w:rPr>
              <w:t>601601</w:t>
            </w:r>
          </w:p>
        </w:tc>
        <w:tc>
          <w:tcPr>
            <w:tcW w:w="1769" w:type="dxa"/>
            <w:vAlign w:val="center"/>
          </w:tcPr>
          <w:p w:rsidR="004848A1" w:rsidRDefault="006D2A66">
            <w:pPr>
              <w:jc w:val="center"/>
            </w:pPr>
            <w:r>
              <w:rPr>
                <w:color w:val="000000"/>
                <w:sz w:val="24"/>
              </w:rPr>
              <w:t>中国太保</w:t>
            </w:r>
          </w:p>
        </w:tc>
        <w:tc>
          <w:tcPr>
            <w:tcW w:w="1327" w:type="dxa"/>
            <w:vAlign w:val="center"/>
          </w:tcPr>
          <w:p w:rsidR="004848A1" w:rsidRDefault="006D2A66">
            <w:pPr>
              <w:jc w:val="right"/>
            </w:pPr>
            <w:r>
              <w:rPr>
                <w:color w:val="000000"/>
                <w:sz w:val="24"/>
              </w:rPr>
              <w:t>248,799</w:t>
            </w:r>
          </w:p>
        </w:tc>
        <w:tc>
          <w:tcPr>
            <w:tcW w:w="1915" w:type="dxa"/>
            <w:vAlign w:val="center"/>
          </w:tcPr>
          <w:p w:rsidR="004848A1" w:rsidRDefault="006D2A66">
            <w:pPr>
              <w:jc w:val="right"/>
            </w:pPr>
            <w:r>
              <w:rPr>
                <w:color w:val="000000"/>
                <w:sz w:val="24"/>
              </w:rPr>
              <w:t>8,469,117.96</w:t>
            </w:r>
          </w:p>
        </w:tc>
        <w:tc>
          <w:tcPr>
            <w:tcW w:w="1680" w:type="dxa"/>
            <w:vAlign w:val="center"/>
          </w:tcPr>
          <w:p w:rsidR="004848A1" w:rsidRDefault="006D2A66">
            <w:pPr>
              <w:jc w:val="right"/>
            </w:pPr>
            <w:r>
              <w:rPr>
                <w:color w:val="000000"/>
                <w:sz w:val="24"/>
              </w:rPr>
              <w:t>2.10</w:t>
            </w:r>
          </w:p>
        </w:tc>
      </w:tr>
      <w:tr w:rsidR="004848A1">
        <w:trPr>
          <w:jc w:val="center"/>
        </w:trPr>
        <w:tc>
          <w:tcPr>
            <w:tcW w:w="850" w:type="dxa"/>
            <w:vAlign w:val="center"/>
          </w:tcPr>
          <w:p w:rsidR="004848A1" w:rsidRDefault="006D2A66">
            <w:pPr>
              <w:jc w:val="center"/>
            </w:pPr>
            <w:r>
              <w:rPr>
                <w:color w:val="000000"/>
                <w:sz w:val="24"/>
              </w:rPr>
              <w:t>9</w:t>
            </w:r>
          </w:p>
        </w:tc>
        <w:tc>
          <w:tcPr>
            <w:tcW w:w="1327" w:type="dxa"/>
            <w:vAlign w:val="center"/>
          </w:tcPr>
          <w:p w:rsidR="004848A1" w:rsidRDefault="006D2A66">
            <w:pPr>
              <w:jc w:val="center"/>
            </w:pPr>
            <w:r>
              <w:rPr>
                <w:color w:val="000000"/>
                <w:sz w:val="24"/>
              </w:rPr>
              <w:t>600048</w:t>
            </w:r>
          </w:p>
        </w:tc>
        <w:tc>
          <w:tcPr>
            <w:tcW w:w="1769" w:type="dxa"/>
            <w:vAlign w:val="center"/>
          </w:tcPr>
          <w:p w:rsidR="004848A1" w:rsidRDefault="006D2A66">
            <w:pPr>
              <w:jc w:val="center"/>
            </w:pPr>
            <w:r>
              <w:rPr>
                <w:color w:val="000000"/>
                <w:sz w:val="24"/>
              </w:rPr>
              <w:t>保利地产</w:t>
            </w:r>
          </w:p>
        </w:tc>
        <w:tc>
          <w:tcPr>
            <w:tcW w:w="1327" w:type="dxa"/>
            <w:vAlign w:val="center"/>
          </w:tcPr>
          <w:p w:rsidR="004848A1" w:rsidRDefault="006D2A66">
            <w:pPr>
              <w:jc w:val="right"/>
            </w:pPr>
            <w:r>
              <w:rPr>
                <w:color w:val="000000"/>
                <w:sz w:val="24"/>
              </w:rPr>
              <w:t>564,559</w:t>
            </w:r>
          </w:p>
        </w:tc>
        <w:tc>
          <w:tcPr>
            <w:tcW w:w="1915" w:type="dxa"/>
            <w:vAlign w:val="center"/>
          </w:tcPr>
          <w:p w:rsidR="004848A1" w:rsidRDefault="006D2A66">
            <w:pPr>
              <w:jc w:val="right"/>
            </w:pPr>
            <w:r>
              <w:rPr>
                <w:color w:val="000000"/>
                <w:sz w:val="24"/>
              </w:rPr>
              <w:t>8,039,320.16</w:t>
            </w:r>
          </w:p>
        </w:tc>
        <w:tc>
          <w:tcPr>
            <w:tcW w:w="1680" w:type="dxa"/>
            <w:vAlign w:val="center"/>
          </w:tcPr>
          <w:p w:rsidR="004848A1" w:rsidRDefault="006D2A66">
            <w:pPr>
              <w:jc w:val="right"/>
            </w:pPr>
            <w:r>
              <w:rPr>
                <w:color w:val="000000"/>
                <w:sz w:val="24"/>
              </w:rPr>
              <w:t>1.99</w:t>
            </w:r>
          </w:p>
        </w:tc>
      </w:tr>
      <w:tr w:rsidR="004848A1">
        <w:trPr>
          <w:jc w:val="center"/>
        </w:trPr>
        <w:tc>
          <w:tcPr>
            <w:tcW w:w="850" w:type="dxa"/>
            <w:vAlign w:val="center"/>
          </w:tcPr>
          <w:p w:rsidR="004848A1" w:rsidRDefault="006D2A66">
            <w:pPr>
              <w:jc w:val="center"/>
            </w:pPr>
            <w:r>
              <w:rPr>
                <w:color w:val="000000"/>
                <w:sz w:val="24"/>
              </w:rPr>
              <w:t>10</w:t>
            </w:r>
          </w:p>
        </w:tc>
        <w:tc>
          <w:tcPr>
            <w:tcW w:w="1327" w:type="dxa"/>
            <w:vAlign w:val="center"/>
          </w:tcPr>
          <w:p w:rsidR="004848A1" w:rsidRDefault="006D2A66">
            <w:pPr>
              <w:jc w:val="center"/>
            </w:pPr>
            <w:r>
              <w:rPr>
                <w:color w:val="000000"/>
                <w:sz w:val="24"/>
              </w:rPr>
              <w:t>600104</w:t>
            </w:r>
          </w:p>
        </w:tc>
        <w:tc>
          <w:tcPr>
            <w:tcW w:w="1769" w:type="dxa"/>
            <w:vAlign w:val="center"/>
          </w:tcPr>
          <w:p w:rsidR="004848A1" w:rsidRDefault="006D2A66">
            <w:pPr>
              <w:jc w:val="center"/>
            </w:pPr>
            <w:r>
              <w:rPr>
                <w:color w:val="000000"/>
                <w:sz w:val="24"/>
              </w:rPr>
              <w:t>上汽集团</w:t>
            </w:r>
          </w:p>
        </w:tc>
        <w:tc>
          <w:tcPr>
            <w:tcW w:w="1327" w:type="dxa"/>
            <w:vAlign w:val="center"/>
          </w:tcPr>
          <w:p w:rsidR="004848A1" w:rsidRDefault="006D2A66">
            <w:pPr>
              <w:jc w:val="right"/>
            </w:pPr>
            <w:r>
              <w:rPr>
                <w:color w:val="000000"/>
                <w:sz w:val="24"/>
              </w:rPr>
              <w:t>277,016</w:t>
            </w:r>
          </w:p>
        </w:tc>
        <w:tc>
          <w:tcPr>
            <w:tcW w:w="1915" w:type="dxa"/>
            <w:vAlign w:val="center"/>
          </w:tcPr>
          <w:p w:rsidR="004848A1" w:rsidRDefault="006D2A66">
            <w:pPr>
              <w:jc w:val="right"/>
            </w:pPr>
            <w:r>
              <w:rPr>
                <w:color w:val="000000"/>
                <w:sz w:val="24"/>
              </w:rPr>
              <w:t>7,221,807.12</w:t>
            </w:r>
          </w:p>
        </w:tc>
        <w:tc>
          <w:tcPr>
            <w:tcW w:w="1680" w:type="dxa"/>
            <w:vAlign w:val="center"/>
          </w:tcPr>
          <w:p w:rsidR="004848A1" w:rsidRDefault="006D2A66">
            <w:pPr>
              <w:jc w:val="right"/>
            </w:pPr>
            <w:r>
              <w:rPr>
                <w:color w:val="000000"/>
                <w:sz w:val="24"/>
              </w:rPr>
              <w:t>1.79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W w:w="0" w:type="dxa"/>
        <w:jc w:val="center"/>
        <w:tblCellMar>
          <w:left w:w="0" w:type="dxa"/>
          <w:right w:w="0" w:type="dxa"/>
        </w:tblCellMar>
        <w:tblLook w:val="04A0" w:firstRow="1" w:lastRow="0" w:firstColumn="1" w:lastColumn="0" w:noHBand="0" w:noVBand="1"/>
      </w:tblPr>
      <w:tblGrid>
        <w:gridCol w:w="944"/>
        <w:gridCol w:w="2761"/>
        <w:gridCol w:w="4808"/>
      </w:tblGrid>
      <w:tr w:rsidR="000D2427" w:rsidTr="000D2427">
        <w:trPr>
          <w:jc w:val="center"/>
        </w:trPr>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7"/>
              <w:jc w:val="center"/>
              <w:rPr>
                <w:color w:val="000000"/>
                <w:kern w:val="0"/>
                <w:sz w:val="24"/>
              </w:rPr>
            </w:pPr>
            <w:r>
              <w:rPr>
                <w:rFonts w:ascii="宋体" w:hAnsi="宋体" w:hint="eastAsia"/>
                <w:color w:val="000000"/>
                <w:sz w:val="24"/>
              </w:rPr>
              <w:t>序号</w:t>
            </w:r>
          </w:p>
        </w:tc>
        <w:tc>
          <w:tcPr>
            <w:tcW w:w="27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7"/>
              <w:jc w:val="center"/>
              <w:rPr>
                <w:color w:val="000000"/>
                <w:sz w:val="24"/>
              </w:rPr>
            </w:pPr>
            <w:r>
              <w:rPr>
                <w:rFonts w:ascii="宋体" w:hAnsi="宋体" w:hint="eastAsia"/>
                <w:color w:val="000000"/>
                <w:sz w:val="24"/>
              </w:rPr>
              <w:t>名称</w:t>
            </w:r>
          </w:p>
        </w:tc>
        <w:tc>
          <w:tcPr>
            <w:tcW w:w="48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7"/>
              <w:jc w:val="center"/>
              <w:rPr>
                <w:color w:val="000000"/>
                <w:sz w:val="24"/>
              </w:rPr>
            </w:pPr>
            <w:r>
              <w:rPr>
                <w:rFonts w:ascii="宋体" w:hAnsi="宋体" w:hint="eastAsia"/>
                <w:color w:val="000000"/>
                <w:sz w:val="24"/>
              </w:rPr>
              <w:t>金额（元）</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1</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存出保证金</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1,479.31</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2</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应收证券清算款</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253,995.25</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3</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应收股利</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4</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应收利息</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345.77</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5</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应收申购款</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6</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其他应收款</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7</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待摊费用</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8</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其他</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w:t>
            </w:r>
          </w:p>
        </w:tc>
      </w:tr>
      <w:tr w:rsidR="000D2427" w:rsidTr="000D2427">
        <w:trPr>
          <w:jc w:val="center"/>
        </w:trPr>
        <w:tc>
          <w:tcPr>
            <w:tcW w:w="9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center"/>
              <w:rPr>
                <w:color w:val="000000"/>
                <w:sz w:val="24"/>
              </w:rPr>
            </w:pPr>
            <w:r>
              <w:rPr>
                <w:color w:val="000000"/>
                <w:sz w:val="24"/>
              </w:rPr>
              <w:t>9</w:t>
            </w:r>
          </w:p>
        </w:tc>
        <w:tc>
          <w:tcPr>
            <w:tcW w:w="2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left"/>
              <w:rPr>
                <w:color w:val="000000"/>
                <w:sz w:val="24"/>
              </w:rPr>
            </w:pPr>
            <w:r>
              <w:rPr>
                <w:rFonts w:ascii="宋体" w:hAnsi="宋体" w:hint="eastAsia"/>
                <w:color w:val="000000"/>
                <w:sz w:val="24"/>
              </w:rPr>
              <w:t>合计</w:t>
            </w:r>
          </w:p>
        </w:tc>
        <w:tc>
          <w:tcPr>
            <w:tcW w:w="48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D2427" w:rsidRDefault="000D2427">
            <w:pPr>
              <w:autoSpaceDE w:val="0"/>
              <w:autoSpaceDN w:val="0"/>
              <w:spacing w:before="29" w:line="288" w:lineRule="auto"/>
              <w:ind w:left="15"/>
              <w:jc w:val="right"/>
              <w:rPr>
                <w:color w:val="000000"/>
                <w:sz w:val="24"/>
              </w:rPr>
            </w:pPr>
            <w:r>
              <w:rPr>
                <w:color w:val="000000"/>
                <w:sz w:val="24"/>
              </w:rPr>
              <w:t>255,820.33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lastRenderedPageBreak/>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w:t>
      </w:r>
      <w:r w:rsidR="006D2A66" w:rsidRPr="0036023B">
        <w:rPr>
          <w:sz w:val="24"/>
        </w:rPr>
        <w:t>指数投资</w:t>
      </w:r>
      <w:r w:rsidRPr="0036023B">
        <w:rPr>
          <w:color w:val="000000"/>
          <w:sz w:val="24"/>
        </w:rPr>
        <w:t>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6D2A66" w:rsidP="0099526C">
      <w:pPr>
        <w:autoSpaceDE w:val="0"/>
        <w:autoSpaceDN w:val="0"/>
        <w:adjustRightInd w:val="0"/>
        <w:spacing w:before="29" w:line="288" w:lineRule="auto"/>
        <w:jc w:val="left"/>
        <w:rPr>
          <w:color w:val="000000"/>
          <w:sz w:val="24"/>
        </w:rPr>
      </w:pPr>
      <w:r w:rsidRPr="006D2A66">
        <w:rPr>
          <w:rFonts w:hint="eastAsia"/>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366,524,362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345,524,362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lastRenderedPageBreak/>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2B7CE9">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2B7CE9">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B7CE9" w:rsidTr="002B7CE9">
        <w:tc>
          <w:tcPr>
            <w:tcW w:w="992" w:type="dxa"/>
            <w:vMerge w:val="restart"/>
            <w:vAlign w:val="center"/>
          </w:tcPr>
          <w:p w:rsidR="002B7CE9" w:rsidRPr="002B7CE9" w:rsidRDefault="002B7CE9" w:rsidP="002B7CE9"/>
          <w:p w:rsidR="002B7CE9" w:rsidRDefault="002B7CE9" w:rsidP="002B7CE9">
            <w:r>
              <w:rPr>
                <w:rFonts w:ascii="宋体" w:hAnsi="宋体" w:hint="eastAsia"/>
                <w:kern w:val="0"/>
                <w:szCs w:val="21"/>
              </w:rPr>
              <w:t>交银施罗德上证180公司治理交易型开放式指数证券投资基金联接基金</w:t>
            </w:r>
          </w:p>
        </w:tc>
        <w:tc>
          <w:tcPr>
            <w:tcW w:w="991" w:type="dxa"/>
            <w:vAlign w:val="center"/>
          </w:tcPr>
          <w:p w:rsidR="002B7CE9" w:rsidRDefault="002B7CE9" w:rsidP="002B7CE9">
            <w:pPr>
              <w:jc w:val="center"/>
            </w:pPr>
            <w:r>
              <w:rPr>
                <w:rFonts w:ascii="宋体" w:hAnsi="宋体" w:hint="eastAsia"/>
                <w:bCs/>
                <w:color w:val="000000"/>
                <w:kern w:val="0"/>
                <w:szCs w:val="21"/>
              </w:rPr>
              <w:t>1</w:t>
            </w:r>
          </w:p>
        </w:tc>
        <w:tc>
          <w:tcPr>
            <w:tcW w:w="1843" w:type="dxa"/>
            <w:vAlign w:val="center"/>
          </w:tcPr>
          <w:p w:rsidR="002B7CE9" w:rsidRDefault="002B7CE9" w:rsidP="002B7CE9">
            <w:pPr>
              <w:jc w:val="center"/>
            </w:pPr>
            <w:r>
              <w:rPr>
                <w:rFonts w:ascii="宋体" w:hAnsi="宋体" w:hint="eastAsia"/>
                <w:bCs/>
                <w:color w:val="000000"/>
                <w:kern w:val="0"/>
                <w:szCs w:val="21"/>
              </w:rPr>
              <w:t>2019/1/1-2019/3/31</w:t>
            </w:r>
          </w:p>
        </w:tc>
        <w:tc>
          <w:tcPr>
            <w:tcW w:w="851" w:type="dxa"/>
            <w:vAlign w:val="center"/>
          </w:tcPr>
          <w:p w:rsidR="002B7CE9" w:rsidRPr="00A4079B" w:rsidRDefault="002B7CE9" w:rsidP="002B7CE9">
            <w:r w:rsidRPr="00A4079B">
              <w:t>342,424,699.00</w:t>
            </w:r>
          </w:p>
        </w:tc>
        <w:tc>
          <w:tcPr>
            <w:tcW w:w="850" w:type="dxa"/>
            <w:vAlign w:val="center"/>
          </w:tcPr>
          <w:p w:rsidR="002B7CE9" w:rsidRPr="00A4079B" w:rsidRDefault="002B7CE9" w:rsidP="002B7CE9">
            <w:r w:rsidRPr="00A4079B">
              <w:t>0.00</w:t>
            </w:r>
          </w:p>
        </w:tc>
        <w:tc>
          <w:tcPr>
            <w:tcW w:w="1134" w:type="dxa"/>
            <w:vAlign w:val="center"/>
          </w:tcPr>
          <w:p w:rsidR="002B7CE9" w:rsidRPr="00A4079B" w:rsidRDefault="002B7CE9" w:rsidP="002B7CE9">
            <w:r w:rsidRPr="00A4079B">
              <w:t>18,000,000.00</w:t>
            </w:r>
          </w:p>
        </w:tc>
        <w:tc>
          <w:tcPr>
            <w:tcW w:w="1419" w:type="dxa"/>
            <w:vAlign w:val="center"/>
          </w:tcPr>
          <w:p w:rsidR="002B7CE9" w:rsidRPr="00A4079B" w:rsidRDefault="002B7CE9" w:rsidP="002B7CE9">
            <w:r w:rsidRPr="00A4079B">
              <w:t>324,4</w:t>
            </w:r>
            <w:bookmarkStart w:id="0" w:name="_GoBack"/>
            <w:bookmarkEnd w:id="0"/>
            <w:r w:rsidRPr="00A4079B">
              <w:t>24,699.00</w:t>
            </w:r>
          </w:p>
        </w:tc>
        <w:tc>
          <w:tcPr>
            <w:tcW w:w="1130" w:type="dxa"/>
            <w:vAlign w:val="center"/>
          </w:tcPr>
          <w:p w:rsidR="002B7CE9" w:rsidRDefault="002B7CE9" w:rsidP="002B7CE9">
            <w:r w:rsidRPr="00A4079B">
              <w:t>93.89%</w:t>
            </w:r>
          </w:p>
        </w:tc>
      </w:tr>
      <w:tr w:rsidR="00BF00F0" w:rsidTr="002B7CE9">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2B7CE9">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4848A1" w:rsidRDefault="006D2A6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4848A1" w:rsidRDefault="006D2A6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4848A1" w:rsidRDefault="006D2A66">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4848A1" w:rsidRDefault="006D2A6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4848A1" w:rsidRDefault="006D2A6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4848A1" w:rsidRDefault="006D2A6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848A1" w:rsidRDefault="006D2A66">
      <w:pPr>
        <w:spacing w:before="29" w:line="288" w:lineRule="auto"/>
        <w:ind w:firstLineChars="200" w:firstLine="480"/>
        <w:rPr>
          <w:color w:val="000000"/>
          <w:sz w:val="24"/>
        </w:rPr>
      </w:pPr>
      <w:r>
        <w:rPr>
          <w:color w:val="000000"/>
          <w:sz w:val="24"/>
        </w:rPr>
        <w:lastRenderedPageBreak/>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4848A1" w:rsidRDefault="006D2A6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77" w:rsidRDefault="00C92F77">
      <w:r>
        <w:separator/>
      </w:r>
    </w:p>
  </w:endnote>
  <w:endnote w:type="continuationSeparator" w:id="0">
    <w:p w:rsidR="00C92F77" w:rsidRDefault="00C9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2B7CE9">
      <w:rPr>
        <w:noProof/>
        <w:kern w:val="0"/>
        <w:szCs w:val="21"/>
      </w:rPr>
      <w:t>12</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2B7CE9">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77" w:rsidRDefault="00C92F77">
      <w:r>
        <w:separator/>
      </w:r>
    </w:p>
  </w:footnote>
  <w:footnote w:type="continuationSeparator" w:id="0">
    <w:p w:rsidR="00C92F77" w:rsidRDefault="00C92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242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07C74"/>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B7CE9"/>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48A1"/>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A6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2F77"/>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D740ABA-9C07-42A8-8608-D3DFC14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3522951">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13</Pages>
  <Words>1077</Words>
  <Characters>6145</Characters>
  <Application>Microsoft Office Word</Application>
  <DocSecurity>0</DocSecurity>
  <Lines>51</Lines>
  <Paragraphs>14</Paragraphs>
  <ScaleCrop>false</ScaleCrop>
  <Company>TRT. Ltd. Co.</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397</cp:revision>
  <cp:lastPrinted>2007-07-19T00:46:00Z</cp:lastPrinted>
  <dcterms:created xsi:type="dcterms:W3CDTF">2012-11-21T04:46:00Z</dcterms:created>
  <dcterms:modified xsi:type="dcterms:W3CDTF">2019-04-16T11:10:00Z</dcterms:modified>
</cp:coreProperties>
</file>