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667,044,292.59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666,848,955.63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195,336.96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-17,253,195.39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-7,016.04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589,836,399.69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196,824.13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0.8767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0.8084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2,622,442,712.04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772,287.49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3.9326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3.9536</w:t>
            </w:r>
          </w:p>
        </w:tc>
      </w:tr>
    </w:tbl>
    <w:p w:rsidR="00B76788" w:rsidRDefault="00D1609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76788">
        <w:trPr>
          <w:jc w:val="center"/>
        </w:trPr>
        <w:tc>
          <w:tcPr>
            <w:tcW w:w="1266" w:type="dxa"/>
            <w:vAlign w:val="center"/>
          </w:tcPr>
          <w:p w:rsidR="00B76788" w:rsidRDefault="00D16094">
            <w:pPr>
              <w:jc w:val="left"/>
            </w:pPr>
            <w:r>
              <w:rPr>
                <w:color w:val="000000"/>
                <w:sz w:val="24"/>
              </w:rPr>
              <w:t>过去三个月</w:t>
            </w:r>
          </w:p>
        </w:tc>
        <w:tc>
          <w:tcPr>
            <w:tcW w:w="1267" w:type="dxa"/>
            <w:vAlign w:val="center"/>
          </w:tcPr>
          <w:p w:rsidR="00B76788" w:rsidRDefault="00D16094">
            <w:pPr>
              <w:jc w:val="center"/>
            </w:pPr>
            <w:r>
              <w:rPr>
                <w:color w:val="000000"/>
                <w:sz w:val="24"/>
              </w:rPr>
              <w:t>28.66%</w:t>
            </w:r>
          </w:p>
        </w:tc>
        <w:tc>
          <w:tcPr>
            <w:tcW w:w="1267" w:type="dxa"/>
            <w:vAlign w:val="center"/>
          </w:tcPr>
          <w:p w:rsidR="00B76788" w:rsidRDefault="00D16094">
            <w:pPr>
              <w:jc w:val="center"/>
            </w:pPr>
            <w:r>
              <w:rPr>
                <w:color w:val="000000"/>
                <w:sz w:val="24"/>
              </w:rPr>
              <w:t>1.44%</w:t>
            </w:r>
          </w:p>
        </w:tc>
        <w:tc>
          <w:tcPr>
            <w:tcW w:w="1267" w:type="dxa"/>
            <w:vAlign w:val="center"/>
          </w:tcPr>
          <w:p w:rsidR="00B76788" w:rsidRDefault="00D16094">
            <w:pPr>
              <w:jc w:val="center"/>
            </w:pPr>
            <w:r>
              <w:rPr>
                <w:color w:val="000000"/>
                <w:sz w:val="24"/>
              </w:rPr>
              <w:t>26.19%</w:t>
            </w:r>
          </w:p>
        </w:tc>
        <w:tc>
          <w:tcPr>
            <w:tcW w:w="1267" w:type="dxa"/>
            <w:vAlign w:val="center"/>
          </w:tcPr>
          <w:p w:rsidR="00B76788" w:rsidRDefault="00D16094">
            <w:pPr>
              <w:jc w:val="center"/>
            </w:pPr>
            <w:r>
              <w:rPr>
                <w:color w:val="000000"/>
                <w:sz w:val="24"/>
              </w:rPr>
              <w:t>1.23%</w:t>
            </w:r>
          </w:p>
        </w:tc>
        <w:tc>
          <w:tcPr>
            <w:tcW w:w="1267" w:type="dxa"/>
            <w:vAlign w:val="center"/>
          </w:tcPr>
          <w:p w:rsidR="00B76788" w:rsidRDefault="00D16094">
            <w:pPr>
              <w:jc w:val="center"/>
            </w:pPr>
            <w:r>
              <w:rPr>
                <w:color w:val="000000"/>
                <w:sz w:val="24"/>
              </w:rPr>
              <w:t>2.47%</w:t>
            </w:r>
          </w:p>
        </w:tc>
        <w:tc>
          <w:tcPr>
            <w:tcW w:w="1267" w:type="dxa"/>
            <w:vAlign w:val="center"/>
          </w:tcPr>
          <w:p w:rsidR="00B76788" w:rsidRDefault="00D16094">
            <w:pPr>
              <w:jc w:val="center"/>
            </w:pPr>
            <w:r>
              <w:rPr>
                <w:color w:val="000000"/>
                <w:sz w:val="24"/>
              </w:rPr>
              <w:t>0.21%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76788">
        <w:trPr>
          <w:jc w:val="center"/>
        </w:trPr>
        <w:tc>
          <w:tcPr>
            <w:tcW w:w="1266" w:type="dxa"/>
            <w:vAlign w:val="center"/>
          </w:tcPr>
          <w:p w:rsidR="00B76788" w:rsidRDefault="00D16094">
            <w:pPr>
              <w:jc w:val="left"/>
            </w:pPr>
            <w:r>
              <w:rPr>
                <w:color w:val="000000"/>
                <w:sz w:val="24"/>
              </w:rPr>
              <w:t>过去三个月</w:t>
            </w:r>
          </w:p>
        </w:tc>
        <w:tc>
          <w:tcPr>
            <w:tcW w:w="1267" w:type="dxa"/>
            <w:vAlign w:val="center"/>
          </w:tcPr>
          <w:p w:rsidR="00B76788" w:rsidRDefault="00D16094">
            <w:pPr>
              <w:jc w:val="center"/>
            </w:pPr>
            <w:r>
              <w:rPr>
                <w:color w:val="000000"/>
                <w:sz w:val="24"/>
              </w:rPr>
              <w:t>28.73%</w:t>
            </w:r>
          </w:p>
        </w:tc>
        <w:tc>
          <w:tcPr>
            <w:tcW w:w="1267" w:type="dxa"/>
            <w:vAlign w:val="center"/>
          </w:tcPr>
          <w:p w:rsidR="00B76788" w:rsidRDefault="00D16094">
            <w:pPr>
              <w:jc w:val="center"/>
            </w:pPr>
            <w:r>
              <w:rPr>
                <w:color w:val="000000"/>
                <w:sz w:val="24"/>
              </w:rPr>
              <w:t>1.44%</w:t>
            </w:r>
          </w:p>
        </w:tc>
        <w:tc>
          <w:tcPr>
            <w:tcW w:w="1267" w:type="dxa"/>
            <w:vAlign w:val="center"/>
          </w:tcPr>
          <w:p w:rsidR="00B76788" w:rsidRDefault="00D16094">
            <w:pPr>
              <w:jc w:val="center"/>
            </w:pPr>
            <w:r>
              <w:rPr>
                <w:color w:val="000000"/>
                <w:sz w:val="24"/>
              </w:rPr>
              <w:t>26.19%</w:t>
            </w:r>
          </w:p>
        </w:tc>
        <w:tc>
          <w:tcPr>
            <w:tcW w:w="1267" w:type="dxa"/>
            <w:vAlign w:val="center"/>
          </w:tcPr>
          <w:p w:rsidR="00B76788" w:rsidRDefault="00D16094">
            <w:pPr>
              <w:jc w:val="center"/>
            </w:pPr>
            <w:r>
              <w:rPr>
                <w:color w:val="000000"/>
                <w:sz w:val="24"/>
              </w:rPr>
              <w:t>1.23%</w:t>
            </w:r>
          </w:p>
        </w:tc>
        <w:tc>
          <w:tcPr>
            <w:tcW w:w="1267" w:type="dxa"/>
            <w:vAlign w:val="center"/>
          </w:tcPr>
          <w:p w:rsidR="00B76788" w:rsidRDefault="00D16094">
            <w:pPr>
              <w:jc w:val="center"/>
            </w:pPr>
            <w:r>
              <w:rPr>
                <w:color w:val="000000"/>
                <w:sz w:val="24"/>
              </w:rPr>
              <w:t>2.54%</w:t>
            </w:r>
          </w:p>
        </w:tc>
        <w:tc>
          <w:tcPr>
            <w:tcW w:w="1267" w:type="dxa"/>
            <w:vAlign w:val="center"/>
          </w:tcPr>
          <w:p w:rsidR="00B76788" w:rsidRDefault="00D16094">
            <w:pPr>
              <w:jc w:val="center"/>
            </w:pPr>
            <w:r>
              <w:rPr>
                <w:color w:val="000000"/>
                <w:sz w:val="24"/>
              </w:rPr>
              <w:t>0.21%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w:t>
      </w:r>
      <w:r w:rsidRPr="007F52FA">
        <w:rPr>
          <w:color w:val="000000"/>
          <w:sz w:val="24"/>
        </w:rPr>
        <w:lastRenderedPageBreak/>
        <w:t>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76788">
        <w:trPr>
          <w:jc w:val="center"/>
        </w:trPr>
        <w:tc>
          <w:tcPr>
            <w:tcW w:w="946" w:type="dxa"/>
            <w:vAlign w:val="center"/>
          </w:tcPr>
          <w:p w:rsidR="00B76788" w:rsidRDefault="00D16094">
            <w:pPr>
              <w:jc w:val="center"/>
            </w:pPr>
            <w:r>
              <w:rPr>
                <w:color w:val="000000"/>
                <w:sz w:val="24"/>
              </w:rPr>
              <w:t>王少成</w:t>
            </w:r>
          </w:p>
        </w:tc>
        <w:tc>
          <w:tcPr>
            <w:tcW w:w="924" w:type="dxa"/>
            <w:vAlign w:val="center"/>
          </w:tcPr>
          <w:p w:rsidR="00B76788" w:rsidRDefault="00D16094">
            <w:pPr>
              <w:jc w:val="center"/>
            </w:pPr>
            <w:r>
              <w:rPr>
                <w:color w:val="000000"/>
                <w:sz w:val="24"/>
              </w:rPr>
              <w:t>交银成长混合、交银蓝筹混合、交银成长</w:t>
            </w:r>
            <w:r>
              <w:rPr>
                <w:color w:val="000000"/>
                <w:sz w:val="24"/>
              </w:rPr>
              <w:t>30</w:t>
            </w:r>
            <w:r>
              <w:rPr>
                <w:color w:val="000000"/>
                <w:sz w:val="24"/>
              </w:rPr>
              <w:t>混</w:t>
            </w:r>
            <w:r>
              <w:rPr>
                <w:color w:val="000000"/>
                <w:sz w:val="24"/>
              </w:rPr>
              <w:lastRenderedPageBreak/>
              <w:t>合、交银恒益灵活配置混合的基金经理，公司权益投资总监</w:t>
            </w:r>
          </w:p>
        </w:tc>
        <w:tc>
          <w:tcPr>
            <w:tcW w:w="1202" w:type="dxa"/>
            <w:vAlign w:val="center"/>
          </w:tcPr>
          <w:p w:rsidR="00B76788" w:rsidRDefault="00D16094">
            <w:pPr>
              <w:jc w:val="center"/>
            </w:pPr>
            <w:r>
              <w:rPr>
                <w:color w:val="000000"/>
                <w:sz w:val="24"/>
              </w:rPr>
              <w:lastRenderedPageBreak/>
              <w:t>2015-03-24</w:t>
            </w:r>
          </w:p>
        </w:tc>
        <w:tc>
          <w:tcPr>
            <w:tcW w:w="1300" w:type="dxa"/>
            <w:vAlign w:val="center"/>
          </w:tcPr>
          <w:p w:rsidR="00B76788" w:rsidRDefault="00D16094">
            <w:pPr>
              <w:jc w:val="center"/>
            </w:pPr>
            <w:r>
              <w:rPr>
                <w:color w:val="000000"/>
                <w:sz w:val="24"/>
              </w:rPr>
              <w:t>-</w:t>
            </w:r>
          </w:p>
        </w:tc>
        <w:tc>
          <w:tcPr>
            <w:tcW w:w="1245" w:type="dxa"/>
            <w:vAlign w:val="center"/>
          </w:tcPr>
          <w:p w:rsidR="00B76788" w:rsidRDefault="00D16094">
            <w:pPr>
              <w:jc w:val="center"/>
            </w:pPr>
            <w:r>
              <w:rPr>
                <w:color w:val="000000"/>
                <w:sz w:val="24"/>
              </w:rPr>
              <w:t>15</w:t>
            </w:r>
            <w:r>
              <w:rPr>
                <w:color w:val="000000"/>
                <w:sz w:val="24"/>
              </w:rPr>
              <w:t>年</w:t>
            </w:r>
          </w:p>
        </w:tc>
        <w:tc>
          <w:tcPr>
            <w:tcW w:w="3251" w:type="dxa"/>
            <w:vAlign w:val="center"/>
          </w:tcPr>
          <w:p w:rsidR="00B76788" w:rsidRDefault="00D16094">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w:t>
            </w:r>
            <w:r>
              <w:rPr>
                <w:color w:val="000000"/>
                <w:sz w:val="24"/>
              </w:rPr>
              <w:lastRenderedPageBreak/>
              <w:t>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76788" w:rsidRDefault="00D1609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6788" w:rsidRDefault="00D16094">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6788" w:rsidRDefault="00D1609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76788" w:rsidRDefault="00D16094">
      <w:pPr>
        <w:spacing w:before="29" w:line="288" w:lineRule="auto"/>
        <w:ind w:firstLineChars="200" w:firstLine="480"/>
        <w:rPr>
          <w:color w:val="000000"/>
          <w:sz w:val="24"/>
        </w:rPr>
      </w:pPr>
      <w:r>
        <w:rPr>
          <w:color w:val="000000"/>
          <w:sz w:val="24"/>
        </w:rPr>
        <w:t>2019</w:t>
      </w:r>
      <w:r>
        <w:rPr>
          <w:color w:val="000000"/>
          <w:sz w:val="24"/>
        </w:rPr>
        <w:t>年以来中国宏观经济逐步企稳。全球经济增长态势的持续恶化，正在倒逼各国央行的鸽派转变。市场预期美联储较大概率在今年二、三季度出现一次</w:t>
      </w:r>
      <w:r>
        <w:rPr>
          <w:color w:val="000000"/>
          <w:sz w:val="24"/>
        </w:rPr>
        <w:t>25</w:t>
      </w:r>
      <w:r>
        <w:rPr>
          <w:color w:val="000000"/>
          <w:sz w:val="24"/>
        </w:rPr>
        <w:t>基点的降息。最近美国国债收益率曲线的反转，加剧了投资者对美国经济陷入衰退的担忧。过去十年全球央行的非常规货币政策面临困境，原因在于让资产价格持续膨胀驱动的财富效应，并不能有效地转化为预期中的实体经济投资。越来越多的国内宏观数据显示宏观经济正在企稳。一、二月投资虽有分化，但地产投资意外走强。从三大分项来看，制造业投资同比增长</w:t>
      </w:r>
      <w:r>
        <w:rPr>
          <w:color w:val="000000"/>
          <w:sz w:val="24"/>
        </w:rPr>
        <w:t>5.9%</w:t>
      </w:r>
      <w:r>
        <w:rPr>
          <w:color w:val="000000"/>
          <w:sz w:val="24"/>
        </w:rPr>
        <w:t>，回落</w:t>
      </w:r>
      <w:r>
        <w:rPr>
          <w:color w:val="000000"/>
          <w:sz w:val="24"/>
        </w:rPr>
        <w:t>3.6</w:t>
      </w:r>
      <w:r>
        <w:rPr>
          <w:color w:val="000000"/>
          <w:sz w:val="24"/>
        </w:rPr>
        <w:t>个百分点，基建（不含电力）增速为</w:t>
      </w:r>
      <w:r>
        <w:rPr>
          <w:color w:val="000000"/>
          <w:sz w:val="24"/>
        </w:rPr>
        <w:t>4.3%</w:t>
      </w:r>
      <w:r>
        <w:rPr>
          <w:color w:val="000000"/>
          <w:sz w:val="24"/>
        </w:rPr>
        <w:t>，提升</w:t>
      </w:r>
      <w:r>
        <w:rPr>
          <w:color w:val="000000"/>
          <w:sz w:val="24"/>
        </w:rPr>
        <w:t>0.5</w:t>
      </w:r>
      <w:r>
        <w:rPr>
          <w:color w:val="000000"/>
          <w:sz w:val="24"/>
        </w:rPr>
        <w:t>个百分点，自十月以来持续改善。超预期的在于地产投资，未披露土地购置费，但倒算出来估计还有</w:t>
      </w:r>
      <w:r>
        <w:rPr>
          <w:color w:val="000000"/>
          <w:sz w:val="24"/>
        </w:rPr>
        <w:t>10-20%</w:t>
      </w:r>
      <w:r>
        <w:rPr>
          <w:color w:val="000000"/>
          <w:sz w:val="24"/>
        </w:rPr>
        <w:t>的增长，这可能部分归因于融资条件的边际放松。宏观经济企稳反弹的迹象越发明显，通缩压力让位于通胀的可能。</w:t>
      </w:r>
    </w:p>
    <w:p w:rsidR="00952A72" w:rsidRPr="007F52FA" w:rsidRDefault="00323F25" w:rsidP="007C14DF">
      <w:pPr>
        <w:spacing w:before="29" w:line="288" w:lineRule="auto"/>
        <w:ind w:firstLineChars="200" w:firstLine="480"/>
        <w:rPr>
          <w:color w:val="000000"/>
          <w:sz w:val="24"/>
        </w:rPr>
      </w:pPr>
      <w:r w:rsidRPr="007F52FA">
        <w:rPr>
          <w:color w:val="000000"/>
          <w:sz w:val="24"/>
        </w:rPr>
        <w:t>基金整体仓位保持在中性偏高的水平。年初以来全球风险资产价格持续反弹，主要为中美贸易谈判进入正轨和美联储政策转向所驱动。但问题在于目前只有美国国债开始反映美国经济增长快速走弱的变化，其他风险资产当下更多受到风险偏好上升的影响。</w:t>
      </w:r>
      <w:r w:rsidRPr="007F52FA">
        <w:rPr>
          <w:color w:val="000000"/>
          <w:sz w:val="24"/>
        </w:rPr>
        <w:t>A</w:t>
      </w:r>
      <w:r w:rsidRPr="007F52FA">
        <w:rPr>
          <w:color w:val="000000"/>
          <w:sz w:val="24"/>
        </w:rPr>
        <w:t>股也正在经历风险偏好快速提升的过程，超跌和主题板块个股涨幅明显。当下时间点，需要持续思考</w:t>
      </w:r>
      <w:r w:rsidRPr="007F52FA">
        <w:rPr>
          <w:color w:val="000000"/>
          <w:sz w:val="24"/>
        </w:rPr>
        <w:t>A</w:t>
      </w:r>
      <w:r w:rsidRPr="007F52FA">
        <w:rPr>
          <w:color w:val="000000"/>
          <w:sz w:val="24"/>
        </w:rPr>
        <w:t>股出现流动性牛市的可能。考虑到经济企稳通胀的可能在回升。宽货币背景下的适度增长和通胀，有利于流动性牛市的形成和发展。我们后续关注科创板相关和通胀受益的板块和个股。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2,287,147,362.01</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86.89</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2,287,147,362.01</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86.89</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127,126,304.20</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4.83</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127,126,304.20</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4.83</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4C4FF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4C4FF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190,520,343.87</w:t>
            </w:r>
          </w:p>
        </w:tc>
        <w:tc>
          <w:tcPr>
            <w:tcW w:w="2801" w:type="dxa"/>
            <w:vAlign w:val="center"/>
          </w:tcPr>
          <w:p w:rsidR="00C51B4E" w:rsidRPr="0028293E" w:rsidRDefault="00C51B4E" w:rsidP="004C4FF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7.24</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4C4FF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4C4FF1">
            <w:pPr>
              <w:spacing w:line="360" w:lineRule="auto"/>
              <w:jc w:val="right"/>
              <w:rPr>
                <w:rFonts w:eastAsiaTheme="minorEastAsia"/>
                <w:color w:val="000000" w:themeColor="text1"/>
                <w:sz w:val="24"/>
              </w:rPr>
            </w:pPr>
            <w:r w:rsidRPr="0028293E">
              <w:rPr>
                <w:rFonts w:eastAsiaTheme="minorEastAsia"/>
                <w:color w:val="000000" w:themeColor="text1"/>
                <w:sz w:val="24"/>
              </w:rPr>
              <w:t>27,408,517.74</w:t>
            </w:r>
          </w:p>
        </w:tc>
        <w:tc>
          <w:tcPr>
            <w:tcW w:w="2801" w:type="dxa"/>
            <w:vAlign w:val="center"/>
          </w:tcPr>
          <w:p w:rsidR="00C51B4E" w:rsidRPr="0028293E" w:rsidRDefault="00C51B4E" w:rsidP="004C4FF1">
            <w:pPr>
              <w:spacing w:line="360" w:lineRule="auto"/>
              <w:jc w:val="right"/>
              <w:rPr>
                <w:rFonts w:eastAsiaTheme="minorEastAsia"/>
                <w:color w:val="000000" w:themeColor="text1"/>
                <w:sz w:val="24"/>
              </w:rPr>
            </w:pPr>
            <w:r w:rsidRPr="0028293E">
              <w:rPr>
                <w:rFonts w:eastAsiaTheme="minorEastAsia"/>
                <w:color w:val="000000" w:themeColor="text1"/>
                <w:sz w:val="24"/>
              </w:rPr>
              <w:t>1.04</w:t>
            </w:r>
          </w:p>
        </w:tc>
      </w:tr>
      <w:tr w:rsidR="00C51B4E" w:rsidRPr="0028293E" w:rsidTr="004C4FF1">
        <w:tc>
          <w:tcPr>
            <w:tcW w:w="720" w:type="dxa"/>
            <w:vAlign w:val="center"/>
          </w:tcPr>
          <w:p w:rsidR="00C51B4E" w:rsidRPr="0028293E" w:rsidRDefault="00C51B4E" w:rsidP="004C4FF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4C4FF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4C4FF1">
            <w:pPr>
              <w:spacing w:line="360" w:lineRule="auto"/>
              <w:jc w:val="right"/>
              <w:rPr>
                <w:rFonts w:eastAsiaTheme="minorEastAsia"/>
                <w:color w:val="000000" w:themeColor="text1"/>
                <w:sz w:val="24"/>
              </w:rPr>
            </w:pPr>
            <w:r w:rsidRPr="0028293E">
              <w:rPr>
                <w:rFonts w:eastAsiaTheme="minorEastAsia"/>
                <w:color w:val="000000" w:themeColor="text1"/>
                <w:sz w:val="24"/>
              </w:rPr>
              <w:t>2,632,202,527.82</w:t>
            </w:r>
          </w:p>
        </w:tc>
        <w:tc>
          <w:tcPr>
            <w:tcW w:w="2801" w:type="dxa"/>
            <w:vAlign w:val="center"/>
          </w:tcPr>
          <w:p w:rsidR="00C51B4E" w:rsidRPr="0028293E" w:rsidRDefault="00C51B4E" w:rsidP="004C4FF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w:t>
            </w:r>
            <w:r w:rsidRPr="007F52FA">
              <w:rPr>
                <w:sz w:val="24"/>
              </w:rPr>
              <w:lastRenderedPageBreak/>
              <w:t>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237,438,950.00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9.05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91,554,210.75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3.49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1,515,169,567.12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57.76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121,938,824.00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4.65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29,207,445.00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191,902,658.94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134,343.00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99,801,363.20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2,287,147,362.01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87.19</w:t>
            </w:r>
          </w:p>
        </w:tc>
      </w:tr>
    </w:tbl>
    <w:p w:rsidR="004C4FF1" w:rsidRDefault="004C4FF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76788">
        <w:trPr>
          <w:jc w:val="center"/>
        </w:trPr>
        <w:tc>
          <w:tcPr>
            <w:tcW w:w="850" w:type="dxa"/>
            <w:vAlign w:val="center"/>
          </w:tcPr>
          <w:p w:rsidR="00B76788" w:rsidRDefault="00D16094">
            <w:pPr>
              <w:jc w:val="center"/>
            </w:pPr>
            <w:r>
              <w:rPr>
                <w:color w:val="000000"/>
                <w:sz w:val="24"/>
              </w:rPr>
              <w:t>1</w:t>
            </w:r>
          </w:p>
        </w:tc>
        <w:tc>
          <w:tcPr>
            <w:tcW w:w="1327" w:type="dxa"/>
            <w:vAlign w:val="center"/>
          </w:tcPr>
          <w:p w:rsidR="00B76788" w:rsidRDefault="00D16094">
            <w:pPr>
              <w:jc w:val="center"/>
            </w:pPr>
            <w:r>
              <w:rPr>
                <w:color w:val="000000"/>
                <w:sz w:val="24"/>
              </w:rPr>
              <w:t>002180</w:t>
            </w:r>
          </w:p>
        </w:tc>
        <w:tc>
          <w:tcPr>
            <w:tcW w:w="1769" w:type="dxa"/>
            <w:vAlign w:val="center"/>
          </w:tcPr>
          <w:p w:rsidR="00B76788" w:rsidRDefault="00D16094">
            <w:pPr>
              <w:jc w:val="center"/>
            </w:pPr>
            <w:r>
              <w:rPr>
                <w:color w:val="000000"/>
                <w:sz w:val="24"/>
              </w:rPr>
              <w:t>纳思达</w:t>
            </w:r>
          </w:p>
        </w:tc>
        <w:tc>
          <w:tcPr>
            <w:tcW w:w="1327" w:type="dxa"/>
            <w:vAlign w:val="center"/>
          </w:tcPr>
          <w:p w:rsidR="00B76788" w:rsidRDefault="00D16094">
            <w:pPr>
              <w:jc w:val="right"/>
            </w:pPr>
            <w:r>
              <w:rPr>
                <w:color w:val="000000"/>
                <w:sz w:val="24"/>
              </w:rPr>
              <w:t>7,608,879</w:t>
            </w:r>
          </w:p>
        </w:tc>
        <w:tc>
          <w:tcPr>
            <w:tcW w:w="1915" w:type="dxa"/>
            <w:vAlign w:val="center"/>
          </w:tcPr>
          <w:p w:rsidR="00B76788" w:rsidRDefault="00D16094">
            <w:pPr>
              <w:jc w:val="right"/>
            </w:pPr>
            <w:r>
              <w:rPr>
                <w:color w:val="000000"/>
                <w:sz w:val="24"/>
              </w:rPr>
              <w:t>239,755,777.29</w:t>
            </w:r>
          </w:p>
        </w:tc>
        <w:tc>
          <w:tcPr>
            <w:tcW w:w="1680" w:type="dxa"/>
            <w:vAlign w:val="center"/>
          </w:tcPr>
          <w:p w:rsidR="00B76788" w:rsidRDefault="00D16094">
            <w:pPr>
              <w:jc w:val="right"/>
            </w:pPr>
            <w:r>
              <w:rPr>
                <w:color w:val="000000"/>
                <w:sz w:val="24"/>
              </w:rPr>
              <w:t>9.14</w:t>
            </w:r>
          </w:p>
        </w:tc>
      </w:tr>
      <w:tr w:rsidR="00B76788">
        <w:trPr>
          <w:jc w:val="center"/>
        </w:trPr>
        <w:tc>
          <w:tcPr>
            <w:tcW w:w="850" w:type="dxa"/>
            <w:vAlign w:val="center"/>
          </w:tcPr>
          <w:p w:rsidR="00B76788" w:rsidRDefault="00D16094">
            <w:pPr>
              <w:jc w:val="center"/>
            </w:pPr>
            <w:r>
              <w:rPr>
                <w:color w:val="000000"/>
                <w:sz w:val="24"/>
              </w:rPr>
              <w:t>2</w:t>
            </w:r>
          </w:p>
        </w:tc>
        <w:tc>
          <w:tcPr>
            <w:tcW w:w="1327" w:type="dxa"/>
            <w:vAlign w:val="center"/>
          </w:tcPr>
          <w:p w:rsidR="00B76788" w:rsidRDefault="00D16094">
            <w:pPr>
              <w:jc w:val="center"/>
            </w:pPr>
            <w:r>
              <w:rPr>
                <w:color w:val="000000"/>
                <w:sz w:val="24"/>
              </w:rPr>
              <w:t>300498</w:t>
            </w:r>
          </w:p>
        </w:tc>
        <w:tc>
          <w:tcPr>
            <w:tcW w:w="1769" w:type="dxa"/>
            <w:vAlign w:val="center"/>
          </w:tcPr>
          <w:p w:rsidR="00B76788" w:rsidRDefault="00D16094">
            <w:pPr>
              <w:jc w:val="center"/>
            </w:pPr>
            <w:r>
              <w:rPr>
                <w:color w:val="000000"/>
                <w:sz w:val="24"/>
              </w:rPr>
              <w:t>温氏股份</w:t>
            </w:r>
          </w:p>
        </w:tc>
        <w:tc>
          <w:tcPr>
            <w:tcW w:w="1327" w:type="dxa"/>
            <w:vAlign w:val="center"/>
          </w:tcPr>
          <w:p w:rsidR="00B76788" w:rsidRDefault="00D16094">
            <w:pPr>
              <w:jc w:val="right"/>
            </w:pPr>
            <w:r>
              <w:rPr>
                <w:color w:val="000000"/>
                <w:sz w:val="24"/>
              </w:rPr>
              <w:t>5,848,250</w:t>
            </w:r>
          </w:p>
        </w:tc>
        <w:tc>
          <w:tcPr>
            <w:tcW w:w="1915" w:type="dxa"/>
            <w:vAlign w:val="center"/>
          </w:tcPr>
          <w:p w:rsidR="00B76788" w:rsidRDefault="00D16094">
            <w:pPr>
              <w:jc w:val="right"/>
            </w:pPr>
            <w:r>
              <w:rPr>
                <w:color w:val="000000"/>
                <w:sz w:val="24"/>
              </w:rPr>
              <w:t>237,438,950.00</w:t>
            </w:r>
          </w:p>
        </w:tc>
        <w:tc>
          <w:tcPr>
            <w:tcW w:w="1680" w:type="dxa"/>
            <w:vAlign w:val="center"/>
          </w:tcPr>
          <w:p w:rsidR="00B76788" w:rsidRDefault="00D16094">
            <w:pPr>
              <w:jc w:val="right"/>
            </w:pPr>
            <w:r>
              <w:rPr>
                <w:color w:val="000000"/>
                <w:sz w:val="24"/>
              </w:rPr>
              <w:t>9.05</w:t>
            </w:r>
          </w:p>
        </w:tc>
      </w:tr>
      <w:tr w:rsidR="00B76788">
        <w:trPr>
          <w:jc w:val="center"/>
        </w:trPr>
        <w:tc>
          <w:tcPr>
            <w:tcW w:w="850" w:type="dxa"/>
            <w:vAlign w:val="center"/>
          </w:tcPr>
          <w:p w:rsidR="00B76788" w:rsidRDefault="00D16094">
            <w:pPr>
              <w:jc w:val="center"/>
            </w:pPr>
            <w:r>
              <w:rPr>
                <w:color w:val="000000"/>
                <w:sz w:val="24"/>
              </w:rPr>
              <w:t>3</w:t>
            </w:r>
          </w:p>
        </w:tc>
        <w:tc>
          <w:tcPr>
            <w:tcW w:w="1327" w:type="dxa"/>
            <w:vAlign w:val="center"/>
          </w:tcPr>
          <w:p w:rsidR="00B76788" w:rsidRDefault="00D16094">
            <w:pPr>
              <w:jc w:val="center"/>
            </w:pPr>
            <w:r>
              <w:rPr>
                <w:color w:val="000000"/>
                <w:sz w:val="24"/>
              </w:rPr>
              <w:t>603707</w:t>
            </w:r>
          </w:p>
        </w:tc>
        <w:tc>
          <w:tcPr>
            <w:tcW w:w="1769" w:type="dxa"/>
            <w:vAlign w:val="center"/>
          </w:tcPr>
          <w:p w:rsidR="00B76788" w:rsidRDefault="00D16094">
            <w:pPr>
              <w:jc w:val="center"/>
            </w:pPr>
            <w:r>
              <w:rPr>
                <w:color w:val="000000"/>
                <w:sz w:val="24"/>
              </w:rPr>
              <w:t>健友股份</w:t>
            </w:r>
          </w:p>
        </w:tc>
        <w:tc>
          <w:tcPr>
            <w:tcW w:w="1327" w:type="dxa"/>
            <w:vAlign w:val="center"/>
          </w:tcPr>
          <w:p w:rsidR="00B76788" w:rsidRDefault="00D16094">
            <w:pPr>
              <w:jc w:val="right"/>
            </w:pPr>
            <w:r>
              <w:rPr>
                <w:color w:val="000000"/>
                <w:sz w:val="24"/>
              </w:rPr>
              <w:t>5,999,160</w:t>
            </w:r>
          </w:p>
        </w:tc>
        <w:tc>
          <w:tcPr>
            <w:tcW w:w="1915" w:type="dxa"/>
            <w:vAlign w:val="center"/>
          </w:tcPr>
          <w:p w:rsidR="00B76788" w:rsidRDefault="00D16094">
            <w:pPr>
              <w:jc w:val="right"/>
            </w:pPr>
            <w:r>
              <w:rPr>
                <w:color w:val="000000"/>
                <w:sz w:val="24"/>
              </w:rPr>
              <w:t>217,155,096.60</w:t>
            </w:r>
          </w:p>
        </w:tc>
        <w:tc>
          <w:tcPr>
            <w:tcW w:w="1680" w:type="dxa"/>
            <w:vAlign w:val="center"/>
          </w:tcPr>
          <w:p w:rsidR="00B76788" w:rsidRDefault="00D16094">
            <w:pPr>
              <w:jc w:val="right"/>
            </w:pPr>
            <w:r>
              <w:rPr>
                <w:color w:val="000000"/>
                <w:sz w:val="24"/>
              </w:rPr>
              <w:t>8.28</w:t>
            </w:r>
          </w:p>
        </w:tc>
      </w:tr>
      <w:tr w:rsidR="00B76788">
        <w:trPr>
          <w:jc w:val="center"/>
        </w:trPr>
        <w:tc>
          <w:tcPr>
            <w:tcW w:w="850" w:type="dxa"/>
            <w:vAlign w:val="center"/>
          </w:tcPr>
          <w:p w:rsidR="00B76788" w:rsidRDefault="00D16094">
            <w:pPr>
              <w:jc w:val="center"/>
            </w:pPr>
            <w:r>
              <w:rPr>
                <w:color w:val="000000"/>
                <w:sz w:val="24"/>
              </w:rPr>
              <w:lastRenderedPageBreak/>
              <w:t>4</w:t>
            </w:r>
          </w:p>
        </w:tc>
        <w:tc>
          <w:tcPr>
            <w:tcW w:w="1327" w:type="dxa"/>
            <w:vAlign w:val="center"/>
          </w:tcPr>
          <w:p w:rsidR="00B76788" w:rsidRDefault="00D16094">
            <w:pPr>
              <w:jc w:val="center"/>
            </w:pPr>
            <w:r>
              <w:rPr>
                <w:color w:val="000000"/>
                <w:sz w:val="24"/>
              </w:rPr>
              <w:t>300146</w:t>
            </w:r>
          </w:p>
        </w:tc>
        <w:tc>
          <w:tcPr>
            <w:tcW w:w="1769" w:type="dxa"/>
            <w:vAlign w:val="center"/>
          </w:tcPr>
          <w:p w:rsidR="00B76788" w:rsidRDefault="00D16094">
            <w:pPr>
              <w:jc w:val="center"/>
            </w:pPr>
            <w:r>
              <w:rPr>
                <w:color w:val="000000"/>
                <w:sz w:val="24"/>
              </w:rPr>
              <w:t>汤臣倍健</w:t>
            </w:r>
          </w:p>
        </w:tc>
        <w:tc>
          <w:tcPr>
            <w:tcW w:w="1327" w:type="dxa"/>
            <w:vAlign w:val="center"/>
          </w:tcPr>
          <w:p w:rsidR="00B76788" w:rsidRDefault="00D16094">
            <w:pPr>
              <w:jc w:val="right"/>
            </w:pPr>
            <w:r>
              <w:rPr>
                <w:color w:val="000000"/>
                <w:sz w:val="24"/>
              </w:rPr>
              <w:t>7,041,977</w:t>
            </w:r>
          </w:p>
        </w:tc>
        <w:tc>
          <w:tcPr>
            <w:tcW w:w="1915" w:type="dxa"/>
            <w:vAlign w:val="center"/>
          </w:tcPr>
          <w:p w:rsidR="00B76788" w:rsidRDefault="00D16094">
            <w:pPr>
              <w:jc w:val="right"/>
            </w:pPr>
            <w:r>
              <w:rPr>
                <w:color w:val="000000"/>
                <w:sz w:val="24"/>
              </w:rPr>
              <w:t>160,909,174.45</w:t>
            </w:r>
          </w:p>
        </w:tc>
        <w:tc>
          <w:tcPr>
            <w:tcW w:w="1680" w:type="dxa"/>
            <w:vAlign w:val="center"/>
          </w:tcPr>
          <w:p w:rsidR="00B76788" w:rsidRDefault="00D16094">
            <w:pPr>
              <w:jc w:val="right"/>
            </w:pPr>
            <w:r>
              <w:rPr>
                <w:color w:val="000000"/>
                <w:sz w:val="24"/>
              </w:rPr>
              <w:t>6.13</w:t>
            </w:r>
          </w:p>
        </w:tc>
      </w:tr>
      <w:tr w:rsidR="00B76788">
        <w:trPr>
          <w:jc w:val="center"/>
        </w:trPr>
        <w:tc>
          <w:tcPr>
            <w:tcW w:w="850" w:type="dxa"/>
            <w:vAlign w:val="center"/>
          </w:tcPr>
          <w:p w:rsidR="00B76788" w:rsidRDefault="00D16094">
            <w:pPr>
              <w:jc w:val="center"/>
            </w:pPr>
            <w:r>
              <w:rPr>
                <w:color w:val="000000"/>
                <w:sz w:val="24"/>
              </w:rPr>
              <w:t>5</w:t>
            </w:r>
          </w:p>
        </w:tc>
        <w:tc>
          <w:tcPr>
            <w:tcW w:w="1327" w:type="dxa"/>
            <w:vAlign w:val="center"/>
          </w:tcPr>
          <w:p w:rsidR="00B76788" w:rsidRDefault="00D16094">
            <w:pPr>
              <w:jc w:val="center"/>
            </w:pPr>
            <w:r>
              <w:rPr>
                <w:color w:val="000000"/>
                <w:sz w:val="24"/>
              </w:rPr>
              <w:t>601100</w:t>
            </w:r>
          </w:p>
        </w:tc>
        <w:tc>
          <w:tcPr>
            <w:tcW w:w="1769" w:type="dxa"/>
            <w:vAlign w:val="center"/>
          </w:tcPr>
          <w:p w:rsidR="00B76788" w:rsidRDefault="00D16094">
            <w:pPr>
              <w:jc w:val="center"/>
            </w:pPr>
            <w:r>
              <w:rPr>
                <w:color w:val="000000"/>
                <w:sz w:val="24"/>
              </w:rPr>
              <w:t>恒立液压</w:t>
            </w:r>
          </w:p>
        </w:tc>
        <w:tc>
          <w:tcPr>
            <w:tcW w:w="1327" w:type="dxa"/>
            <w:vAlign w:val="center"/>
          </w:tcPr>
          <w:p w:rsidR="00B76788" w:rsidRDefault="00D16094">
            <w:pPr>
              <w:jc w:val="right"/>
            </w:pPr>
            <w:r>
              <w:rPr>
                <w:color w:val="000000"/>
                <w:sz w:val="24"/>
              </w:rPr>
              <w:t>4,348,397</w:t>
            </w:r>
          </w:p>
        </w:tc>
        <w:tc>
          <w:tcPr>
            <w:tcW w:w="1915" w:type="dxa"/>
            <w:vAlign w:val="center"/>
          </w:tcPr>
          <w:p w:rsidR="00B76788" w:rsidRDefault="00D16094">
            <w:pPr>
              <w:jc w:val="right"/>
            </w:pPr>
            <w:r>
              <w:rPr>
                <w:color w:val="000000"/>
                <w:sz w:val="24"/>
              </w:rPr>
              <w:t>141,540,322.35</w:t>
            </w:r>
          </w:p>
        </w:tc>
        <w:tc>
          <w:tcPr>
            <w:tcW w:w="1680" w:type="dxa"/>
            <w:vAlign w:val="center"/>
          </w:tcPr>
          <w:p w:rsidR="00B76788" w:rsidRDefault="00D16094">
            <w:pPr>
              <w:jc w:val="right"/>
            </w:pPr>
            <w:r>
              <w:rPr>
                <w:color w:val="000000"/>
                <w:sz w:val="24"/>
              </w:rPr>
              <w:t>5.40</w:t>
            </w:r>
          </w:p>
        </w:tc>
      </w:tr>
      <w:tr w:rsidR="00B76788">
        <w:trPr>
          <w:jc w:val="center"/>
        </w:trPr>
        <w:tc>
          <w:tcPr>
            <w:tcW w:w="850" w:type="dxa"/>
            <w:vAlign w:val="center"/>
          </w:tcPr>
          <w:p w:rsidR="00B76788" w:rsidRDefault="00D16094">
            <w:pPr>
              <w:jc w:val="center"/>
            </w:pPr>
            <w:r>
              <w:rPr>
                <w:color w:val="000000"/>
                <w:sz w:val="24"/>
              </w:rPr>
              <w:t>6</w:t>
            </w:r>
          </w:p>
        </w:tc>
        <w:tc>
          <w:tcPr>
            <w:tcW w:w="1327" w:type="dxa"/>
            <w:vAlign w:val="center"/>
          </w:tcPr>
          <w:p w:rsidR="00B76788" w:rsidRDefault="00D16094">
            <w:pPr>
              <w:jc w:val="center"/>
            </w:pPr>
            <w:r>
              <w:rPr>
                <w:color w:val="000000"/>
                <w:sz w:val="24"/>
              </w:rPr>
              <w:t>002230</w:t>
            </w:r>
          </w:p>
        </w:tc>
        <w:tc>
          <w:tcPr>
            <w:tcW w:w="1769" w:type="dxa"/>
            <w:vAlign w:val="center"/>
          </w:tcPr>
          <w:p w:rsidR="00B76788" w:rsidRDefault="00D16094">
            <w:pPr>
              <w:jc w:val="center"/>
            </w:pPr>
            <w:r>
              <w:rPr>
                <w:color w:val="000000"/>
                <w:sz w:val="24"/>
              </w:rPr>
              <w:t>科大讯飞</w:t>
            </w:r>
          </w:p>
        </w:tc>
        <w:tc>
          <w:tcPr>
            <w:tcW w:w="1327" w:type="dxa"/>
            <w:vAlign w:val="center"/>
          </w:tcPr>
          <w:p w:rsidR="00B76788" w:rsidRDefault="00D16094">
            <w:pPr>
              <w:jc w:val="right"/>
            </w:pPr>
            <w:r>
              <w:rPr>
                <w:color w:val="000000"/>
                <w:sz w:val="24"/>
              </w:rPr>
              <w:t>3,686,000</w:t>
            </w:r>
          </w:p>
        </w:tc>
        <w:tc>
          <w:tcPr>
            <w:tcW w:w="1915" w:type="dxa"/>
            <w:vAlign w:val="center"/>
          </w:tcPr>
          <w:p w:rsidR="00B76788" w:rsidRDefault="00D16094">
            <w:pPr>
              <w:jc w:val="right"/>
            </w:pPr>
            <w:r>
              <w:rPr>
                <w:color w:val="000000"/>
                <w:sz w:val="24"/>
              </w:rPr>
              <w:t>133,764,940.00</w:t>
            </w:r>
          </w:p>
        </w:tc>
        <w:tc>
          <w:tcPr>
            <w:tcW w:w="1680" w:type="dxa"/>
            <w:vAlign w:val="center"/>
          </w:tcPr>
          <w:p w:rsidR="00B76788" w:rsidRDefault="00D16094">
            <w:pPr>
              <w:jc w:val="right"/>
            </w:pPr>
            <w:r>
              <w:rPr>
                <w:color w:val="000000"/>
                <w:sz w:val="24"/>
              </w:rPr>
              <w:t>5.10</w:t>
            </w:r>
          </w:p>
        </w:tc>
      </w:tr>
      <w:tr w:rsidR="00B76788">
        <w:trPr>
          <w:jc w:val="center"/>
        </w:trPr>
        <w:tc>
          <w:tcPr>
            <w:tcW w:w="850" w:type="dxa"/>
            <w:vAlign w:val="center"/>
          </w:tcPr>
          <w:p w:rsidR="00B76788" w:rsidRDefault="00D16094">
            <w:pPr>
              <w:jc w:val="center"/>
            </w:pPr>
            <w:r>
              <w:rPr>
                <w:color w:val="000000"/>
                <w:sz w:val="24"/>
              </w:rPr>
              <w:t>7</w:t>
            </w:r>
          </w:p>
        </w:tc>
        <w:tc>
          <w:tcPr>
            <w:tcW w:w="1327" w:type="dxa"/>
            <w:vAlign w:val="center"/>
          </w:tcPr>
          <w:p w:rsidR="00B76788" w:rsidRDefault="00D16094">
            <w:pPr>
              <w:jc w:val="center"/>
            </w:pPr>
            <w:r>
              <w:rPr>
                <w:color w:val="000000"/>
                <w:sz w:val="24"/>
              </w:rPr>
              <w:t>600038</w:t>
            </w:r>
          </w:p>
        </w:tc>
        <w:tc>
          <w:tcPr>
            <w:tcW w:w="1769" w:type="dxa"/>
            <w:vAlign w:val="center"/>
          </w:tcPr>
          <w:p w:rsidR="00B76788" w:rsidRDefault="00D16094">
            <w:pPr>
              <w:jc w:val="center"/>
            </w:pPr>
            <w:r>
              <w:rPr>
                <w:color w:val="000000"/>
                <w:sz w:val="24"/>
              </w:rPr>
              <w:t>中直股份</w:t>
            </w:r>
          </w:p>
        </w:tc>
        <w:tc>
          <w:tcPr>
            <w:tcW w:w="1327" w:type="dxa"/>
            <w:vAlign w:val="center"/>
          </w:tcPr>
          <w:p w:rsidR="00B76788" w:rsidRDefault="00D16094">
            <w:pPr>
              <w:jc w:val="right"/>
            </w:pPr>
            <w:r>
              <w:rPr>
                <w:color w:val="000000"/>
                <w:sz w:val="24"/>
              </w:rPr>
              <w:t>2,852,852</w:t>
            </w:r>
          </w:p>
        </w:tc>
        <w:tc>
          <w:tcPr>
            <w:tcW w:w="1915" w:type="dxa"/>
            <w:vAlign w:val="center"/>
          </w:tcPr>
          <w:p w:rsidR="00B76788" w:rsidRDefault="00D16094">
            <w:pPr>
              <w:jc w:val="right"/>
            </w:pPr>
            <w:r>
              <w:rPr>
                <w:color w:val="000000"/>
                <w:sz w:val="24"/>
              </w:rPr>
              <w:t>133,370,831.00</w:t>
            </w:r>
          </w:p>
        </w:tc>
        <w:tc>
          <w:tcPr>
            <w:tcW w:w="1680" w:type="dxa"/>
            <w:vAlign w:val="center"/>
          </w:tcPr>
          <w:p w:rsidR="00B76788" w:rsidRDefault="00D16094">
            <w:pPr>
              <w:jc w:val="right"/>
            </w:pPr>
            <w:r>
              <w:rPr>
                <w:color w:val="000000"/>
                <w:sz w:val="24"/>
              </w:rPr>
              <w:t>5.08</w:t>
            </w:r>
          </w:p>
        </w:tc>
      </w:tr>
      <w:tr w:rsidR="00B76788">
        <w:trPr>
          <w:jc w:val="center"/>
        </w:trPr>
        <w:tc>
          <w:tcPr>
            <w:tcW w:w="850" w:type="dxa"/>
            <w:vAlign w:val="center"/>
          </w:tcPr>
          <w:p w:rsidR="00B76788" w:rsidRDefault="00D16094">
            <w:pPr>
              <w:jc w:val="center"/>
            </w:pPr>
            <w:r>
              <w:rPr>
                <w:color w:val="000000"/>
                <w:sz w:val="24"/>
              </w:rPr>
              <w:t>8</w:t>
            </w:r>
          </w:p>
        </w:tc>
        <w:tc>
          <w:tcPr>
            <w:tcW w:w="1327" w:type="dxa"/>
            <w:vAlign w:val="center"/>
          </w:tcPr>
          <w:p w:rsidR="00B76788" w:rsidRDefault="00D16094">
            <w:pPr>
              <w:jc w:val="center"/>
            </w:pPr>
            <w:r>
              <w:rPr>
                <w:color w:val="000000"/>
                <w:sz w:val="24"/>
              </w:rPr>
              <w:t>002271</w:t>
            </w:r>
          </w:p>
        </w:tc>
        <w:tc>
          <w:tcPr>
            <w:tcW w:w="1769" w:type="dxa"/>
            <w:vAlign w:val="center"/>
          </w:tcPr>
          <w:p w:rsidR="00B76788" w:rsidRDefault="00D16094">
            <w:pPr>
              <w:jc w:val="center"/>
            </w:pPr>
            <w:r>
              <w:rPr>
                <w:color w:val="000000"/>
                <w:sz w:val="24"/>
              </w:rPr>
              <w:t>东方雨虹</w:t>
            </w:r>
          </w:p>
        </w:tc>
        <w:tc>
          <w:tcPr>
            <w:tcW w:w="1327" w:type="dxa"/>
            <w:vAlign w:val="center"/>
          </w:tcPr>
          <w:p w:rsidR="00B76788" w:rsidRDefault="00D16094">
            <w:pPr>
              <w:jc w:val="right"/>
            </w:pPr>
            <w:r>
              <w:rPr>
                <w:color w:val="000000"/>
                <w:sz w:val="24"/>
              </w:rPr>
              <w:t>5,820,927</w:t>
            </w:r>
          </w:p>
        </w:tc>
        <w:tc>
          <w:tcPr>
            <w:tcW w:w="1915" w:type="dxa"/>
            <w:vAlign w:val="center"/>
          </w:tcPr>
          <w:p w:rsidR="00B76788" w:rsidRDefault="00D16094">
            <w:pPr>
              <w:jc w:val="right"/>
            </w:pPr>
            <w:r>
              <w:rPr>
                <w:color w:val="000000"/>
                <w:sz w:val="24"/>
              </w:rPr>
              <w:t>122,646,931.89</w:t>
            </w:r>
          </w:p>
        </w:tc>
        <w:tc>
          <w:tcPr>
            <w:tcW w:w="1680" w:type="dxa"/>
            <w:vAlign w:val="center"/>
          </w:tcPr>
          <w:p w:rsidR="00B76788" w:rsidRDefault="00D16094">
            <w:pPr>
              <w:jc w:val="right"/>
            </w:pPr>
            <w:r>
              <w:rPr>
                <w:color w:val="000000"/>
                <w:sz w:val="24"/>
              </w:rPr>
              <w:t>4.68</w:t>
            </w:r>
          </w:p>
        </w:tc>
      </w:tr>
      <w:tr w:rsidR="00B76788">
        <w:trPr>
          <w:jc w:val="center"/>
        </w:trPr>
        <w:tc>
          <w:tcPr>
            <w:tcW w:w="850" w:type="dxa"/>
            <w:vAlign w:val="center"/>
          </w:tcPr>
          <w:p w:rsidR="00B76788" w:rsidRDefault="00D16094">
            <w:pPr>
              <w:jc w:val="center"/>
            </w:pPr>
            <w:r>
              <w:rPr>
                <w:color w:val="000000"/>
                <w:sz w:val="24"/>
              </w:rPr>
              <w:t>9</w:t>
            </w:r>
          </w:p>
        </w:tc>
        <w:tc>
          <w:tcPr>
            <w:tcW w:w="1327" w:type="dxa"/>
            <w:vAlign w:val="center"/>
          </w:tcPr>
          <w:p w:rsidR="00B76788" w:rsidRDefault="00D16094">
            <w:pPr>
              <w:jc w:val="center"/>
            </w:pPr>
            <w:r>
              <w:rPr>
                <w:color w:val="000000"/>
                <w:sz w:val="24"/>
              </w:rPr>
              <w:t>002607</w:t>
            </w:r>
          </w:p>
        </w:tc>
        <w:tc>
          <w:tcPr>
            <w:tcW w:w="1769" w:type="dxa"/>
            <w:vAlign w:val="center"/>
          </w:tcPr>
          <w:p w:rsidR="00B76788" w:rsidRDefault="00D16094">
            <w:pPr>
              <w:jc w:val="center"/>
            </w:pPr>
            <w:r>
              <w:rPr>
                <w:color w:val="000000"/>
                <w:sz w:val="24"/>
              </w:rPr>
              <w:t>中公教育</w:t>
            </w:r>
          </w:p>
        </w:tc>
        <w:tc>
          <w:tcPr>
            <w:tcW w:w="1327" w:type="dxa"/>
            <w:vAlign w:val="center"/>
          </w:tcPr>
          <w:p w:rsidR="00B76788" w:rsidRDefault="00D16094">
            <w:pPr>
              <w:jc w:val="right"/>
            </w:pPr>
            <w:r>
              <w:rPr>
                <w:color w:val="000000"/>
                <w:sz w:val="24"/>
              </w:rPr>
              <w:t>9,467,300</w:t>
            </w:r>
          </w:p>
        </w:tc>
        <w:tc>
          <w:tcPr>
            <w:tcW w:w="1915" w:type="dxa"/>
            <w:vAlign w:val="center"/>
          </w:tcPr>
          <w:p w:rsidR="00B76788" w:rsidRDefault="00D16094">
            <w:pPr>
              <w:jc w:val="right"/>
            </w:pPr>
            <w:r>
              <w:rPr>
                <w:color w:val="000000"/>
                <w:sz w:val="24"/>
              </w:rPr>
              <w:t>121,938,824.00</w:t>
            </w:r>
          </w:p>
        </w:tc>
        <w:tc>
          <w:tcPr>
            <w:tcW w:w="1680" w:type="dxa"/>
            <w:vAlign w:val="center"/>
          </w:tcPr>
          <w:p w:rsidR="00B76788" w:rsidRDefault="00D16094">
            <w:pPr>
              <w:jc w:val="right"/>
            </w:pPr>
            <w:r>
              <w:rPr>
                <w:color w:val="000000"/>
                <w:sz w:val="24"/>
              </w:rPr>
              <w:t>4.65</w:t>
            </w:r>
          </w:p>
        </w:tc>
      </w:tr>
      <w:tr w:rsidR="00B76788">
        <w:trPr>
          <w:jc w:val="center"/>
        </w:trPr>
        <w:tc>
          <w:tcPr>
            <w:tcW w:w="850" w:type="dxa"/>
            <w:vAlign w:val="center"/>
          </w:tcPr>
          <w:p w:rsidR="00B76788" w:rsidRDefault="00D16094">
            <w:pPr>
              <w:jc w:val="center"/>
            </w:pPr>
            <w:r>
              <w:rPr>
                <w:color w:val="000000"/>
                <w:sz w:val="24"/>
              </w:rPr>
              <w:t>10</w:t>
            </w:r>
          </w:p>
        </w:tc>
        <w:tc>
          <w:tcPr>
            <w:tcW w:w="1327" w:type="dxa"/>
            <w:vAlign w:val="center"/>
          </w:tcPr>
          <w:p w:rsidR="00B76788" w:rsidRDefault="00D16094">
            <w:pPr>
              <w:jc w:val="center"/>
            </w:pPr>
            <w:r>
              <w:rPr>
                <w:color w:val="000000"/>
                <w:sz w:val="24"/>
              </w:rPr>
              <w:t>600480</w:t>
            </w:r>
          </w:p>
        </w:tc>
        <w:tc>
          <w:tcPr>
            <w:tcW w:w="1769" w:type="dxa"/>
            <w:vAlign w:val="center"/>
          </w:tcPr>
          <w:p w:rsidR="00B76788" w:rsidRDefault="00D16094">
            <w:pPr>
              <w:jc w:val="center"/>
            </w:pPr>
            <w:r>
              <w:rPr>
                <w:color w:val="000000"/>
                <w:sz w:val="24"/>
              </w:rPr>
              <w:t>凌云股份</w:t>
            </w:r>
          </w:p>
        </w:tc>
        <w:tc>
          <w:tcPr>
            <w:tcW w:w="1327" w:type="dxa"/>
            <w:vAlign w:val="center"/>
          </w:tcPr>
          <w:p w:rsidR="00B76788" w:rsidRDefault="00D16094">
            <w:pPr>
              <w:jc w:val="right"/>
            </w:pPr>
            <w:r>
              <w:rPr>
                <w:color w:val="000000"/>
                <w:sz w:val="24"/>
              </w:rPr>
              <w:t>8,202,298</w:t>
            </w:r>
          </w:p>
        </w:tc>
        <w:tc>
          <w:tcPr>
            <w:tcW w:w="1915" w:type="dxa"/>
            <w:vAlign w:val="center"/>
          </w:tcPr>
          <w:p w:rsidR="00B76788" w:rsidRDefault="00D16094">
            <w:pPr>
              <w:jc w:val="right"/>
            </w:pPr>
            <w:r>
              <w:rPr>
                <w:color w:val="000000"/>
                <w:sz w:val="24"/>
              </w:rPr>
              <w:t>101,708,495.20</w:t>
            </w:r>
          </w:p>
        </w:tc>
        <w:tc>
          <w:tcPr>
            <w:tcW w:w="1680" w:type="dxa"/>
            <w:vAlign w:val="center"/>
          </w:tcPr>
          <w:p w:rsidR="00B76788" w:rsidRDefault="00D16094">
            <w:pPr>
              <w:jc w:val="right"/>
            </w:pPr>
            <w:r>
              <w:rPr>
                <w:color w:val="000000"/>
                <w:sz w:val="24"/>
              </w:rPr>
              <w:t>3.88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118,393,100.00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8,733,204.20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127,126,304.20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76788">
        <w:trPr>
          <w:jc w:val="center"/>
        </w:trPr>
        <w:tc>
          <w:tcPr>
            <w:tcW w:w="1075" w:type="dxa"/>
            <w:vAlign w:val="center"/>
          </w:tcPr>
          <w:p w:rsidR="00B76788" w:rsidRDefault="00D16094">
            <w:pPr>
              <w:jc w:val="center"/>
            </w:pPr>
            <w:r>
              <w:rPr>
                <w:color w:val="000000"/>
                <w:sz w:val="24"/>
              </w:rPr>
              <w:t>1</w:t>
            </w:r>
          </w:p>
        </w:tc>
        <w:tc>
          <w:tcPr>
            <w:tcW w:w="1533" w:type="dxa"/>
            <w:vAlign w:val="center"/>
          </w:tcPr>
          <w:p w:rsidR="00B76788" w:rsidRDefault="00D16094">
            <w:pPr>
              <w:jc w:val="center"/>
            </w:pPr>
            <w:r>
              <w:rPr>
                <w:color w:val="000000"/>
                <w:sz w:val="24"/>
              </w:rPr>
              <w:t>199908</w:t>
            </w:r>
          </w:p>
        </w:tc>
        <w:tc>
          <w:tcPr>
            <w:tcW w:w="1533" w:type="dxa"/>
            <w:vAlign w:val="center"/>
          </w:tcPr>
          <w:p w:rsidR="00B76788" w:rsidRDefault="00D16094">
            <w:pPr>
              <w:jc w:val="center"/>
            </w:pPr>
            <w:r>
              <w:rPr>
                <w:color w:val="000000"/>
                <w:sz w:val="24"/>
              </w:rPr>
              <w:t>19</w:t>
            </w:r>
            <w:r>
              <w:rPr>
                <w:color w:val="000000"/>
                <w:sz w:val="24"/>
              </w:rPr>
              <w:t>贴现国债</w:t>
            </w:r>
            <w:r>
              <w:rPr>
                <w:color w:val="000000"/>
                <w:sz w:val="24"/>
              </w:rPr>
              <w:t>08</w:t>
            </w:r>
          </w:p>
        </w:tc>
        <w:tc>
          <w:tcPr>
            <w:tcW w:w="1394" w:type="dxa"/>
            <w:vAlign w:val="center"/>
          </w:tcPr>
          <w:p w:rsidR="00B76788" w:rsidRDefault="00D16094">
            <w:pPr>
              <w:jc w:val="right"/>
            </w:pPr>
            <w:r>
              <w:rPr>
                <w:color w:val="000000"/>
                <w:sz w:val="24"/>
              </w:rPr>
              <w:t>1,190,000</w:t>
            </w:r>
          </w:p>
        </w:tc>
        <w:tc>
          <w:tcPr>
            <w:tcW w:w="1944" w:type="dxa"/>
            <w:vAlign w:val="center"/>
          </w:tcPr>
          <w:p w:rsidR="00B76788" w:rsidRDefault="00D16094">
            <w:pPr>
              <w:jc w:val="right"/>
            </w:pPr>
            <w:r>
              <w:rPr>
                <w:color w:val="000000"/>
                <w:sz w:val="24"/>
              </w:rPr>
              <w:t>118,393,100.00</w:t>
            </w:r>
          </w:p>
        </w:tc>
        <w:tc>
          <w:tcPr>
            <w:tcW w:w="1389" w:type="dxa"/>
            <w:vAlign w:val="center"/>
          </w:tcPr>
          <w:p w:rsidR="00B76788" w:rsidRDefault="00D16094">
            <w:pPr>
              <w:jc w:val="right"/>
            </w:pPr>
            <w:r>
              <w:rPr>
                <w:color w:val="000000"/>
                <w:sz w:val="24"/>
              </w:rPr>
              <w:t>4.51</w:t>
            </w:r>
          </w:p>
        </w:tc>
      </w:tr>
      <w:tr w:rsidR="00B76788">
        <w:trPr>
          <w:jc w:val="center"/>
        </w:trPr>
        <w:tc>
          <w:tcPr>
            <w:tcW w:w="1075" w:type="dxa"/>
            <w:vAlign w:val="center"/>
          </w:tcPr>
          <w:p w:rsidR="00B76788" w:rsidRDefault="00D16094">
            <w:pPr>
              <w:jc w:val="center"/>
            </w:pPr>
            <w:r>
              <w:rPr>
                <w:color w:val="000000"/>
                <w:sz w:val="24"/>
              </w:rPr>
              <w:t>2</w:t>
            </w:r>
          </w:p>
        </w:tc>
        <w:tc>
          <w:tcPr>
            <w:tcW w:w="1533" w:type="dxa"/>
            <w:vAlign w:val="center"/>
          </w:tcPr>
          <w:p w:rsidR="00B76788" w:rsidRDefault="00D16094">
            <w:pPr>
              <w:jc w:val="center"/>
            </w:pPr>
            <w:r>
              <w:rPr>
                <w:color w:val="000000"/>
                <w:sz w:val="24"/>
              </w:rPr>
              <w:t>110046</w:t>
            </w:r>
          </w:p>
        </w:tc>
        <w:tc>
          <w:tcPr>
            <w:tcW w:w="1533" w:type="dxa"/>
            <w:vAlign w:val="center"/>
          </w:tcPr>
          <w:p w:rsidR="00B76788" w:rsidRDefault="00D16094">
            <w:pPr>
              <w:jc w:val="center"/>
            </w:pPr>
            <w:r>
              <w:rPr>
                <w:color w:val="000000"/>
                <w:sz w:val="24"/>
              </w:rPr>
              <w:t>圆通转债</w:t>
            </w:r>
          </w:p>
        </w:tc>
        <w:tc>
          <w:tcPr>
            <w:tcW w:w="1394" w:type="dxa"/>
            <w:vAlign w:val="center"/>
          </w:tcPr>
          <w:p w:rsidR="00B76788" w:rsidRDefault="00D16094">
            <w:pPr>
              <w:jc w:val="right"/>
            </w:pPr>
            <w:r>
              <w:rPr>
                <w:color w:val="000000"/>
                <w:sz w:val="24"/>
              </w:rPr>
              <w:t>71,660</w:t>
            </w:r>
          </w:p>
        </w:tc>
        <w:tc>
          <w:tcPr>
            <w:tcW w:w="1944" w:type="dxa"/>
            <w:vAlign w:val="center"/>
          </w:tcPr>
          <w:p w:rsidR="00B76788" w:rsidRDefault="00D16094">
            <w:pPr>
              <w:jc w:val="right"/>
            </w:pPr>
            <w:r>
              <w:rPr>
                <w:color w:val="000000"/>
                <w:sz w:val="24"/>
              </w:rPr>
              <w:t>8,733,204.20</w:t>
            </w:r>
          </w:p>
        </w:tc>
        <w:tc>
          <w:tcPr>
            <w:tcW w:w="1389" w:type="dxa"/>
            <w:vAlign w:val="center"/>
          </w:tcPr>
          <w:p w:rsidR="00B76788" w:rsidRDefault="00D16094">
            <w:pPr>
              <w:jc w:val="right"/>
            </w:pPr>
            <w:r>
              <w:rPr>
                <w:color w:val="000000"/>
                <w:sz w:val="24"/>
              </w:rPr>
              <w:t>0.33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4C4FF1">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918,856.13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25,474,695.36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228,806.88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786,159.37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27,408,517.74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76788">
        <w:trPr>
          <w:jc w:val="center"/>
        </w:trPr>
        <w:tc>
          <w:tcPr>
            <w:tcW w:w="1129" w:type="dxa"/>
            <w:vAlign w:val="center"/>
          </w:tcPr>
          <w:p w:rsidR="00B76788" w:rsidRDefault="00D16094">
            <w:pPr>
              <w:jc w:val="center"/>
            </w:pPr>
            <w:r>
              <w:rPr>
                <w:rFonts w:eastAsiaTheme="minorEastAsia"/>
                <w:color w:val="000000"/>
                <w:sz w:val="24"/>
              </w:rPr>
              <w:t>1</w:t>
            </w:r>
          </w:p>
        </w:tc>
        <w:tc>
          <w:tcPr>
            <w:tcW w:w="1356" w:type="dxa"/>
            <w:vAlign w:val="center"/>
          </w:tcPr>
          <w:p w:rsidR="00B76788" w:rsidRDefault="00D16094">
            <w:pPr>
              <w:jc w:val="center"/>
            </w:pPr>
            <w:r>
              <w:rPr>
                <w:rFonts w:eastAsiaTheme="minorEastAsia"/>
                <w:color w:val="000000"/>
                <w:sz w:val="24"/>
              </w:rPr>
              <w:t>603707</w:t>
            </w:r>
          </w:p>
        </w:tc>
        <w:tc>
          <w:tcPr>
            <w:tcW w:w="1355" w:type="dxa"/>
            <w:vAlign w:val="center"/>
          </w:tcPr>
          <w:p w:rsidR="00B76788" w:rsidRDefault="00D16094">
            <w:pPr>
              <w:jc w:val="center"/>
            </w:pPr>
            <w:r>
              <w:rPr>
                <w:rFonts w:eastAsiaTheme="minorEastAsia"/>
                <w:color w:val="000000"/>
                <w:sz w:val="24"/>
              </w:rPr>
              <w:t>健友股份</w:t>
            </w:r>
          </w:p>
        </w:tc>
        <w:tc>
          <w:tcPr>
            <w:tcW w:w="1880" w:type="dxa"/>
            <w:vAlign w:val="center"/>
          </w:tcPr>
          <w:p w:rsidR="00B76788" w:rsidRDefault="00D16094">
            <w:pPr>
              <w:jc w:val="right"/>
            </w:pPr>
            <w:r>
              <w:rPr>
                <w:rFonts w:eastAsiaTheme="minorEastAsia"/>
                <w:color w:val="000000"/>
                <w:sz w:val="24"/>
              </w:rPr>
              <w:t>19,545,125.40</w:t>
            </w:r>
          </w:p>
        </w:tc>
        <w:tc>
          <w:tcPr>
            <w:tcW w:w="1724" w:type="dxa"/>
            <w:vAlign w:val="center"/>
          </w:tcPr>
          <w:p w:rsidR="00B76788" w:rsidRDefault="00D16094">
            <w:pPr>
              <w:jc w:val="right"/>
            </w:pPr>
            <w:r>
              <w:rPr>
                <w:rFonts w:eastAsiaTheme="minorEastAsia"/>
                <w:color w:val="000000"/>
                <w:sz w:val="24"/>
              </w:rPr>
              <w:t>0.75</w:t>
            </w:r>
          </w:p>
        </w:tc>
        <w:tc>
          <w:tcPr>
            <w:tcW w:w="1424" w:type="dxa"/>
            <w:vAlign w:val="center"/>
          </w:tcPr>
          <w:p w:rsidR="00B76788" w:rsidRDefault="00D16094">
            <w:pPr>
              <w:jc w:val="right"/>
            </w:pPr>
            <w:r>
              <w:rPr>
                <w:rFonts w:hint="eastAsia"/>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4C4FF1"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4C4FF1">
        <w:rPr>
          <w:rFonts w:eastAsiaTheme="minorEastAsia"/>
          <w:color w:val="000000" w:themeColor="text1"/>
          <w:kern w:val="0"/>
          <w:sz w:val="24"/>
          <w:szCs w:val="24"/>
        </w:rPr>
        <w:t>§6</w:t>
      </w:r>
      <w:r w:rsidRPr="004C4FF1">
        <w:rPr>
          <w:rFonts w:eastAsiaTheme="minorEastAsia" w:hint="eastAsia"/>
          <w:color w:val="000000" w:themeColor="text1"/>
          <w:kern w:val="0"/>
          <w:sz w:val="24"/>
          <w:szCs w:val="24"/>
        </w:rPr>
        <w:t xml:space="preserve">  </w:t>
      </w:r>
      <w:r w:rsidRPr="004C4FF1">
        <w:rPr>
          <w:rFonts w:eastAsiaTheme="minorEastAsia" w:hint="eastAsia"/>
          <w:color w:val="000000" w:themeColor="text1"/>
          <w:kern w:val="0"/>
          <w:sz w:val="24"/>
          <w:szCs w:val="24"/>
        </w:rPr>
        <w:t>基金中基金</w:t>
      </w:r>
    </w:p>
    <w:p w:rsidR="00C51B4E" w:rsidRPr="004C4FF1" w:rsidRDefault="00C51B4E" w:rsidP="00C51B4E">
      <w:pPr>
        <w:adjustRightInd w:val="0"/>
        <w:snapToGrid w:val="0"/>
        <w:spacing w:line="360" w:lineRule="auto"/>
        <w:rPr>
          <w:rFonts w:eastAsiaTheme="minorEastAsia"/>
          <w:b/>
          <w:color w:val="000000" w:themeColor="text1"/>
          <w:kern w:val="0"/>
          <w:sz w:val="24"/>
        </w:rPr>
      </w:pPr>
      <w:r w:rsidRPr="004C4FF1">
        <w:rPr>
          <w:rFonts w:eastAsiaTheme="minorEastAsia"/>
          <w:b/>
          <w:color w:val="000000" w:themeColor="text1"/>
          <w:kern w:val="0"/>
          <w:sz w:val="24"/>
        </w:rPr>
        <w:t>6.1</w:t>
      </w:r>
      <w:r w:rsidRPr="004C4FF1">
        <w:rPr>
          <w:rFonts w:eastAsiaTheme="minorEastAsia" w:hint="eastAsia"/>
          <w:b/>
          <w:color w:val="000000" w:themeColor="text1"/>
          <w:kern w:val="0"/>
          <w:sz w:val="24"/>
        </w:rPr>
        <w:t xml:space="preserve"> </w:t>
      </w:r>
      <w:r w:rsidRPr="004C4FF1">
        <w:rPr>
          <w:rFonts w:eastAsiaTheme="minorEastAsia" w:hint="eastAsia"/>
          <w:b/>
          <w:color w:val="000000" w:themeColor="text1"/>
          <w:kern w:val="0"/>
          <w:sz w:val="24"/>
        </w:rPr>
        <w:t>报告期末按公允价值占基金资产净值比例大小排序的前十名基金投资明细</w:t>
      </w:r>
    </w:p>
    <w:p w:rsidR="00C51B4E" w:rsidRPr="004C4FF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C4FF1">
        <w:rPr>
          <w:rFonts w:eastAsiaTheme="minorEastAsia"/>
          <w:color w:val="000000" w:themeColor="text1"/>
          <w:sz w:val="24"/>
        </w:rPr>
        <w:t>本基金本报告期末未持有基金。</w:t>
      </w:r>
    </w:p>
    <w:p w:rsidR="00C51B4E" w:rsidRPr="004C4FF1" w:rsidRDefault="00C51B4E" w:rsidP="000A2988">
      <w:pPr>
        <w:adjustRightInd w:val="0"/>
        <w:snapToGrid w:val="0"/>
        <w:spacing w:beforeLines="50" w:before="156" w:line="360" w:lineRule="auto"/>
        <w:rPr>
          <w:rFonts w:eastAsiaTheme="minorEastAsia"/>
          <w:b/>
          <w:color w:val="000000" w:themeColor="text1"/>
          <w:kern w:val="0"/>
          <w:sz w:val="24"/>
        </w:rPr>
      </w:pPr>
      <w:r w:rsidRPr="004C4FF1">
        <w:rPr>
          <w:rFonts w:eastAsiaTheme="minorEastAsia"/>
          <w:b/>
          <w:color w:val="000000" w:themeColor="text1"/>
          <w:kern w:val="0"/>
          <w:sz w:val="24"/>
        </w:rPr>
        <w:t>6.2</w:t>
      </w:r>
      <w:r w:rsidRPr="004C4FF1">
        <w:rPr>
          <w:rFonts w:eastAsiaTheme="minorEastAsia" w:hint="eastAsia"/>
          <w:b/>
          <w:color w:val="000000" w:themeColor="text1"/>
          <w:kern w:val="0"/>
          <w:sz w:val="24"/>
        </w:rPr>
        <w:t xml:space="preserve"> </w:t>
      </w:r>
      <w:r w:rsidRPr="004C4FF1">
        <w:rPr>
          <w:rFonts w:eastAsiaTheme="minorEastAsia" w:hint="eastAsia"/>
          <w:b/>
          <w:color w:val="000000" w:themeColor="text1"/>
          <w:kern w:val="0"/>
          <w:sz w:val="24"/>
        </w:rPr>
        <w:t>当期交易及持有基金产生的费用</w:t>
      </w:r>
    </w:p>
    <w:p w:rsidR="00C51B4E" w:rsidRPr="004C4FF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C4FF1">
        <w:rPr>
          <w:rFonts w:eastAsiaTheme="minorEastAsia"/>
          <w:color w:val="000000" w:themeColor="text1"/>
          <w:sz w:val="24"/>
        </w:rPr>
        <w:t>本基金本报告期内未交易或持有基金。</w:t>
      </w:r>
    </w:p>
    <w:p w:rsidR="00C51B4E" w:rsidRPr="004C4FF1" w:rsidRDefault="00C51B4E" w:rsidP="000A2988">
      <w:pPr>
        <w:adjustRightInd w:val="0"/>
        <w:snapToGrid w:val="0"/>
        <w:spacing w:beforeLines="50" w:before="156" w:line="360" w:lineRule="auto"/>
        <w:rPr>
          <w:rFonts w:eastAsiaTheme="minorEastAsia"/>
          <w:b/>
          <w:color w:val="000000" w:themeColor="text1"/>
          <w:kern w:val="0"/>
          <w:sz w:val="24"/>
        </w:rPr>
      </w:pPr>
      <w:r w:rsidRPr="004C4FF1">
        <w:rPr>
          <w:rFonts w:eastAsiaTheme="minorEastAsia"/>
          <w:b/>
          <w:color w:val="000000" w:themeColor="text1"/>
          <w:kern w:val="0"/>
          <w:sz w:val="24"/>
        </w:rPr>
        <w:t>6.3</w:t>
      </w:r>
      <w:r w:rsidRPr="004C4FF1">
        <w:rPr>
          <w:rFonts w:eastAsiaTheme="minorEastAsia" w:hint="eastAsia"/>
          <w:b/>
          <w:color w:val="000000" w:themeColor="text1"/>
          <w:kern w:val="0"/>
          <w:sz w:val="24"/>
        </w:rPr>
        <w:t xml:space="preserve"> </w:t>
      </w:r>
      <w:r w:rsidRPr="004C4FF1">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4C4FF1" w:rsidTr="00F103C8">
        <w:tc>
          <w:tcPr>
            <w:tcW w:w="9036" w:type="dxa"/>
          </w:tcPr>
          <w:p w:rsidR="00C51B4E" w:rsidRPr="004C4FF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C4FF1">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674,810,631.27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13,745,044.18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19,197.83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21,706,719.82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123,544.19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666,848,955.63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195,336.96</w:t>
            </w:r>
          </w:p>
        </w:tc>
      </w:tr>
    </w:tbl>
    <w:p w:rsidR="00B76788" w:rsidRDefault="00D1609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76788" w:rsidRDefault="00D1609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35" w:rsidRDefault="00D35E35">
      <w:r>
        <w:separator/>
      </w:r>
    </w:p>
  </w:endnote>
  <w:endnote w:type="continuationSeparator" w:id="0">
    <w:p w:rsidR="00D35E35" w:rsidRDefault="00D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Default="004C4F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Pr="001D0DB0" w:rsidRDefault="004C4FF1"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76A45">
      <w:rPr>
        <w:noProof/>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76A45">
      <w:rPr>
        <w:noProof/>
        <w:kern w:val="0"/>
        <w:szCs w:val="21"/>
      </w:rPr>
      <w:t>13</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Default="004C4FF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Default="004C4F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4FF1" w:rsidRDefault="004C4F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35" w:rsidRDefault="00D35E35">
      <w:r>
        <w:separator/>
      </w:r>
    </w:p>
  </w:footnote>
  <w:footnote w:type="continuationSeparator" w:id="0">
    <w:p w:rsidR="00D35E35" w:rsidRDefault="00D3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Default="004C4FF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Pr="00D3445F" w:rsidRDefault="004C4FF1"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F1" w:rsidRDefault="004C4F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07B0F"/>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4CF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4FF1"/>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6788"/>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A45"/>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094"/>
    <w:rsid w:val="00D16F78"/>
    <w:rsid w:val="00D2020F"/>
    <w:rsid w:val="00D20364"/>
    <w:rsid w:val="00D2130C"/>
    <w:rsid w:val="00D26746"/>
    <w:rsid w:val="00D26DDD"/>
    <w:rsid w:val="00D27BDC"/>
    <w:rsid w:val="00D3194F"/>
    <w:rsid w:val="00D33751"/>
    <w:rsid w:val="00D3445F"/>
    <w:rsid w:val="00D35E35"/>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2D2"/>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02E71D3-151D-4B3F-A4C1-47FDA792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436F-09F4-4CC3-B9C0-D0738E7E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232</TotalTime>
  <Pages>13</Pages>
  <Words>1184</Words>
  <Characters>6754</Characters>
  <Application>Microsoft Office Word</Application>
  <DocSecurity>0</DocSecurity>
  <Lines>56</Lines>
  <Paragraphs>15</Paragraphs>
  <ScaleCrop>false</ScaleCrop>
  <Company>TRT. Ltd. Co.</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381</cp:revision>
  <cp:lastPrinted>2007-07-19T00:46:00Z</cp:lastPrinted>
  <dcterms:created xsi:type="dcterms:W3CDTF">2014-01-17T06:19:00Z</dcterms:created>
  <dcterms:modified xsi:type="dcterms:W3CDTF">2019-04-17T08:58:00Z</dcterms:modified>
</cp:coreProperties>
</file>