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1,533,083,725.99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1,349,541,010.88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183,542,715.11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14,057,187.44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1,850,320.29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16,041,292.93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2,367,110.05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1,459,045,240.98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197,773,568.72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1.078</w:t>
            </w:r>
          </w:p>
        </w:tc>
      </w:tr>
    </w:tbl>
    <w:p w:rsidR="008912A5" w:rsidRDefault="00DD13F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912A5">
        <w:trPr>
          <w:jc w:val="center"/>
        </w:trPr>
        <w:tc>
          <w:tcPr>
            <w:tcW w:w="1266" w:type="dxa"/>
            <w:vAlign w:val="center"/>
          </w:tcPr>
          <w:p w:rsidR="008912A5" w:rsidRDefault="00DD13FC">
            <w:pPr>
              <w:jc w:val="left"/>
            </w:pPr>
            <w:r>
              <w:rPr>
                <w:color w:val="000000"/>
                <w:sz w:val="24"/>
              </w:rPr>
              <w:t>过去三个月</w:t>
            </w:r>
          </w:p>
        </w:tc>
        <w:tc>
          <w:tcPr>
            <w:tcW w:w="1267" w:type="dxa"/>
            <w:vAlign w:val="center"/>
          </w:tcPr>
          <w:p w:rsidR="008912A5" w:rsidRDefault="00DD13FC">
            <w:pPr>
              <w:jc w:val="center"/>
            </w:pPr>
            <w:r>
              <w:rPr>
                <w:color w:val="000000"/>
                <w:sz w:val="24"/>
              </w:rPr>
              <w:t>1.21%</w:t>
            </w:r>
          </w:p>
        </w:tc>
        <w:tc>
          <w:tcPr>
            <w:tcW w:w="1267" w:type="dxa"/>
            <w:vAlign w:val="center"/>
          </w:tcPr>
          <w:p w:rsidR="008912A5" w:rsidRDefault="00DD13FC">
            <w:pPr>
              <w:jc w:val="center"/>
            </w:pPr>
            <w:r>
              <w:rPr>
                <w:color w:val="000000"/>
                <w:sz w:val="24"/>
              </w:rPr>
              <w:t>0.07%</w:t>
            </w:r>
          </w:p>
        </w:tc>
        <w:tc>
          <w:tcPr>
            <w:tcW w:w="1267" w:type="dxa"/>
            <w:vAlign w:val="center"/>
          </w:tcPr>
          <w:p w:rsidR="008912A5" w:rsidRDefault="00DD13FC">
            <w:pPr>
              <w:jc w:val="center"/>
            </w:pPr>
            <w:r>
              <w:rPr>
                <w:color w:val="000000"/>
                <w:sz w:val="24"/>
              </w:rPr>
              <w:t>0.47%</w:t>
            </w:r>
          </w:p>
        </w:tc>
        <w:tc>
          <w:tcPr>
            <w:tcW w:w="1267" w:type="dxa"/>
            <w:vAlign w:val="center"/>
          </w:tcPr>
          <w:p w:rsidR="008912A5" w:rsidRDefault="00DD13FC">
            <w:pPr>
              <w:jc w:val="center"/>
            </w:pPr>
            <w:r>
              <w:rPr>
                <w:color w:val="000000"/>
                <w:sz w:val="24"/>
              </w:rPr>
              <w:t>0.05%</w:t>
            </w:r>
          </w:p>
        </w:tc>
        <w:tc>
          <w:tcPr>
            <w:tcW w:w="1267" w:type="dxa"/>
            <w:vAlign w:val="center"/>
          </w:tcPr>
          <w:p w:rsidR="008912A5" w:rsidRDefault="00DD13FC">
            <w:pPr>
              <w:jc w:val="center"/>
            </w:pPr>
            <w:r>
              <w:rPr>
                <w:color w:val="000000"/>
                <w:sz w:val="24"/>
              </w:rPr>
              <w:t>0.74%</w:t>
            </w:r>
          </w:p>
        </w:tc>
        <w:tc>
          <w:tcPr>
            <w:tcW w:w="1267" w:type="dxa"/>
            <w:vAlign w:val="center"/>
          </w:tcPr>
          <w:p w:rsidR="008912A5" w:rsidRDefault="00DD13FC">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912A5">
        <w:trPr>
          <w:jc w:val="center"/>
        </w:trPr>
        <w:tc>
          <w:tcPr>
            <w:tcW w:w="1266" w:type="dxa"/>
            <w:vAlign w:val="center"/>
          </w:tcPr>
          <w:p w:rsidR="008912A5" w:rsidRDefault="00DD13FC">
            <w:pPr>
              <w:jc w:val="left"/>
            </w:pPr>
            <w:r>
              <w:rPr>
                <w:color w:val="000000"/>
                <w:sz w:val="24"/>
              </w:rPr>
              <w:t>过去三个月</w:t>
            </w:r>
          </w:p>
        </w:tc>
        <w:tc>
          <w:tcPr>
            <w:tcW w:w="1267" w:type="dxa"/>
            <w:vAlign w:val="center"/>
          </w:tcPr>
          <w:p w:rsidR="008912A5" w:rsidRDefault="00DD13FC">
            <w:pPr>
              <w:jc w:val="center"/>
            </w:pPr>
            <w:r>
              <w:rPr>
                <w:color w:val="000000"/>
                <w:sz w:val="24"/>
              </w:rPr>
              <w:t>1.21%</w:t>
            </w:r>
          </w:p>
        </w:tc>
        <w:tc>
          <w:tcPr>
            <w:tcW w:w="1267" w:type="dxa"/>
            <w:vAlign w:val="center"/>
          </w:tcPr>
          <w:p w:rsidR="008912A5" w:rsidRDefault="00DD13FC" w:rsidP="00A92C90">
            <w:pPr>
              <w:jc w:val="center"/>
            </w:pPr>
            <w:r>
              <w:rPr>
                <w:color w:val="000000"/>
                <w:sz w:val="24"/>
              </w:rPr>
              <w:t>0.0</w:t>
            </w:r>
            <w:r w:rsidR="00A92C90">
              <w:rPr>
                <w:color w:val="000000"/>
                <w:sz w:val="24"/>
              </w:rPr>
              <w:t>6</w:t>
            </w:r>
            <w:r>
              <w:rPr>
                <w:color w:val="000000"/>
                <w:sz w:val="24"/>
              </w:rPr>
              <w:t>%</w:t>
            </w:r>
          </w:p>
        </w:tc>
        <w:tc>
          <w:tcPr>
            <w:tcW w:w="1267" w:type="dxa"/>
            <w:vAlign w:val="center"/>
          </w:tcPr>
          <w:p w:rsidR="008912A5" w:rsidRDefault="00DD13FC">
            <w:pPr>
              <w:jc w:val="center"/>
            </w:pPr>
            <w:r>
              <w:rPr>
                <w:color w:val="000000"/>
                <w:sz w:val="24"/>
              </w:rPr>
              <w:t>0.47%</w:t>
            </w:r>
          </w:p>
        </w:tc>
        <w:tc>
          <w:tcPr>
            <w:tcW w:w="1267" w:type="dxa"/>
            <w:vAlign w:val="center"/>
          </w:tcPr>
          <w:p w:rsidR="008912A5" w:rsidRDefault="00DD13FC">
            <w:pPr>
              <w:jc w:val="center"/>
            </w:pPr>
            <w:r>
              <w:rPr>
                <w:color w:val="000000"/>
                <w:sz w:val="24"/>
              </w:rPr>
              <w:t>0.05%</w:t>
            </w:r>
          </w:p>
        </w:tc>
        <w:tc>
          <w:tcPr>
            <w:tcW w:w="1267" w:type="dxa"/>
            <w:vAlign w:val="center"/>
          </w:tcPr>
          <w:p w:rsidR="008912A5" w:rsidRDefault="00DD13FC">
            <w:pPr>
              <w:jc w:val="center"/>
            </w:pPr>
            <w:r>
              <w:rPr>
                <w:color w:val="000000"/>
                <w:sz w:val="24"/>
              </w:rPr>
              <w:t>0.74%</w:t>
            </w:r>
          </w:p>
        </w:tc>
        <w:tc>
          <w:tcPr>
            <w:tcW w:w="1267" w:type="dxa"/>
            <w:vAlign w:val="center"/>
          </w:tcPr>
          <w:p w:rsidR="008912A5" w:rsidRDefault="00DD13FC" w:rsidP="00A92C90">
            <w:pPr>
              <w:jc w:val="center"/>
            </w:pPr>
            <w:r>
              <w:rPr>
                <w:color w:val="000000"/>
                <w:sz w:val="24"/>
              </w:rPr>
              <w:t>0.0</w:t>
            </w:r>
            <w:r w:rsidR="00A92C90">
              <w:rPr>
                <w:color w:val="000000"/>
                <w:sz w:val="24"/>
              </w:rPr>
              <w:t>1</w:t>
            </w:r>
            <w:bookmarkStart w:id="0" w:name="_GoBack"/>
            <w:bookmarkEnd w:id="0"/>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912A5">
        <w:trPr>
          <w:jc w:val="center"/>
        </w:trPr>
        <w:tc>
          <w:tcPr>
            <w:tcW w:w="946" w:type="dxa"/>
            <w:vAlign w:val="center"/>
          </w:tcPr>
          <w:p w:rsidR="008912A5" w:rsidRDefault="00DD13FC">
            <w:pPr>
              <w:jc w:val="center"/>
            </w:pPr>
            <w:r>
              <w:rPr>
                <w:color w:val="000000"/>
                <w:sz w:val="24"/>
              </w:rPr>
              <w:t>唐赟</w:t>
            </w:r>
          </w:p>
        </w:tc>
        <w:tc>
          <w:tcPr>
            <w:tcW w:w="924" w:type="dxa"/>
            <w:vAlign w:val="center"/>
          </w:tcPr>
          <w:p w:rsidR="008912A5" w:rsidRDefault="00DD13FC">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02" w:type="dxa"/>
            <w:vAlign w:val="center"/>
          </w:tcPr>
          <w:p w:rsidR="008912A5" w:rsidRDefault="00DD13FC">
            <w:pPr>
              <w:jc w:val="center"/>
            </w:pPr>
            <w:r>
              <w:rPr>
                <w:color w:val="000000"/>
                <w:sz w:val="24"/>
              </w:rPr>
              <w:t>2015-08-04</w:t>
            </w:r>
          </w:p>
        </w:tc>
        <w:tc>
          <w:tcPr>
            <w:tcW w:w="1300" w:type="dxa"/>
            <w:vAlign w:val="center"/>
          </w:tcPr>
          <w:p w:rsidR="008912A5" w:rsidRDefault="00DD13FC">
            <w:pPr>
              <w:jc w:val="center"/>
            </w:pPr>
            <w:r>
              <w:rPr>
                <w:color w:val="000000"/>
                <w:sz w:val="24"/>
              </w:rPr>
              <w:t>-</w:t>
            </w:r>
          </w:p>
        </w:tc>
        <w:tc>
          <w:tcPr>
            <w:tcW w:w="1245" w:type="dxa"/>
            <w:vAlign w:val="center"/>
          </w:tcPr>
          <w:p w:rsidR="008912A5" w:rsidRDefault="00DD13FC">
            <w:pPr>
              <w:jc w:val="center"/>
            </w:pPr>
            <w:r>
              <w:rPr>
                <w:color w:val="000000"/>
                <w:sz w:val="24"/>
              </w:rPr>
              <w:t>9</w:t>
            </w:r>
            <w:r>
              <w:rPr>
                <w:color w:val="000000"/>
                <w:sz w:val="24"/>
              </w:rPr>
              <w:t>年</w:t>
            </w:r>
          </w:p>
        </w:tc>
        <w:tc>
          <w:tcPr>
            <w:tcW w:w="3251" w:type="dxa"/>
            <w:vAlign w:val="center"/>
          </w:tcPr>
          <w:p w:rsidR="008912A5" w:rsidRDefault="00DD13FC">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912A5" w:rsidRDefault="00DD13F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12A5" w:rsidRDefault="00DD13F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12A5" w:rsidRDefault="00DD13F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912A5" w:rsidRDefault="00DD13FC">
      <w:pPr>
        <w:spacing w:before="29" w:line="288" w:lineRule="auto"/>
        <w:ind w:firstLineChars="200" w:firstLine="480"/>
        <w:rPr>
          <w:color w:val="000000"/>
          <w:sz w:val="24"/>
        </w:rPr>
      </w:pPr>
      <w:r>
        <w:rPr>
          <w:color w:val="000000"/>
          <w:sz w:val="24"/>
        </w:rPr>
        <w:t>2019</w:t>
      </w:r>
      <w:r>
        <w:rPr>
          <w:color w:val="000000"/>
          <w:sz w:val="24"/>
        </w:rPr>
        <w:t>年年初以来，在贸易战边际缓和，年初贷款和社融大幅放量，地方债发行较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w:t>
      </w:r>
    </w:p>
    <w:p w:rsidR="008912A5" w:rsidRDefault="00DD13FC">
      <w:pPr>
        <w:spacing w:before="29" w:line="288" w:lineRule="auto"/>
        <w:ind w:firstLineChars="200" w:firstLine="480"/>
        <w:rPr>
          <w:color w:val="000000"/>
          <w:sz w:val="24"/>
        </w:rPr>
      </w:pPr>
      <w:r>
        <w:rPr>
          <w:color w:val="000000"/>
          <w:sz w:val="24"/>
        </w:rPr>
        <w:t>报告期内，基于对利率波动加大，市场缺乏结构性行情，信用利差有压缩空间的判断，本基金维持中性的久期配置，保持信用债整体的较高仓位，适当增加中低等级的配置比例，并择机选择小部分仓位进行长久期利率债的波段交易，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认为，海外经济增速整体向下，国内基建对经济的短期拉动较强，但经济长期下行压力仍较大。首先，国内基建投资短期内乐观，可能带动房地产开发投资数据不弱，但是全年来看，制造业投资下行压力将显现，基建托底的边际效果在减弱，三四线房地产市场持续降温。通胀方面，进入三月，部分地区猪肉价格上涨，进一步推升市场对于二季度通胀的预期，仍需关注市场预期的改变。相比国内，海外经济走弱的确定性更强，一方面，美国的经济动能整体减弱，投资端开始拖累增长，消费的持续性有待验证，税改和基建效应在持续消退，未来财政政策继续扩张有限。另一方面，欧元区制造业景气度处于下行阶段，出口萎缩拖累基本面，多数国家受到硬性赤字约束，投资难以再发力。经历了一年多的债券牛市之后，目前的收益率水平已明显下降，债券组合的静态收益率相对较低，收益率的下行空间被压缩，需要警惕利率上升的风险，今年债券类资产取得较高绝对收益的难度增加。</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1,668,376,000.00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1,663,376,000.00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80,100,160.05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18,299,742.35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39,422,275.03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1,806,198,177.43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120,498,000.00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120,498,000.00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363,793,000.00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1,178,082,000.00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71.11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1,663,376,000.00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912A5">
        <w:trPr>
          <w:jc w:val="center"/>
        </w:trPr>
        <w:tc>
          <w:tcPr>
            <w:tcW w:w="1075" w:type="dxa"/>
            <w:vAlign w:val="center"/>
          </w:tcPr>
          <w:p w:rsidR="008912A5" w:rsidRDefault="00DD13FC">
            <w:pPr>
              <w:jc w:val="center"/>
            </w:pPr>
            <w:r>
              <w:rPr>
                <w:color w:val="000000"/>
                <w:sz w:val="24"/>
              </w:rPr>
              <w:t>1</w:t>
            </w:r>
          </w:p>
        </w:tc>
        <w:tc>
          <w:tcPr>
            <w:tcW w:w="1533" w:type="dxa"/>
            <w:vAlign w:val="center"/>
          </w:tcPr>
          <w:p w:rsidR="008912A5" w:rsidRDefault="00DD13FC">
            <w:pPr>
              <w:jc w:val="center"/>
            </w:pPr>
            <w:r>
              <w:rPr>
                <w:color w:val="000000"/>
                <w:sz w:val="24"/>
              </w:rPr>
              <w:t>190201</w:t>
            </w:r>
          </w:p>
        </w:tc>
        <w:tc>
          <w:tcPr>
            <w:tcW w:w="1533" w:type="dxa"/>
            <w:vAlign w:val="center"/>
          </w:tcPr>
          <w:p w:rsidR="008912A5" w:rsidRDefault="00DD13FC">
            <w:pPr>
              <w:jc w:val="center"/>
            </w:pPr>
            <w:r>
              <w:rPr>
                <w:color w:val="000000"/>
                <w:sz w:val="24"/>
              </w:rPr>
              <w:t>19</w:t>
            </w:r>
            <w:r>
              <w:rPr>
                <w:color w:val="000000"/>
                <w:sz w:val="24"/>
              </w:rPr>
              <w:t>国开</w:t>
            </w:r>
            <w:r>
              <w:rPr>
                <w:color w:val="000000"/>
                <w:sz w:val="24"/>
              </w:rPr>
              <w:t>01</w:t>
            </w:r>
          </w:p>
        </w:tc>
        <w:tc>
          <w:tcPr>
            <w:tcW w:w="1394" w:type="dxa"/>
            <w:vAlign w:val="center"/>
          </w:tcPr>
          <w:p w:rsidR="008912A5" w:rsidRDefault="00DD13FC">
            <w:pPr>
              <w:jc w:val="right"/>
            </w:pPr>
            <w:r>
              <w:rPr>
                <w:color w:val="000000"/>
                <w:sz w:val="24"/>
              </w:rPr>
              <w:t>900,000</w:t>
            </w:r>
          </w:p>
        </w:tc>
        <w:tc>
          <w:tcPr>
            <w:tcW w:w="1944" w:type="dxa"/>
            <w:vAlign w:val="center"/>
          </w:tcPr>
          <w:p w:rsidR="008912A5" w:rsidRDefault="00DD13FC">
            <w:pPr>
              <w:jc w:val="right"/>
            </w:pPr>
            <w:r>
              <w:rPr>
                <w:color w:val="000000"/>
                <w:sz w:val="24"/>
              </w:rPr>
              <w:t>90,000,000.00</w:t>
            </w:r>
          </w:p>
        </w:tc>
        <w:tc>
          <w:tcPr>
            <w:tcW w:w="1389" w:type="dxa"/>
            <w:vAlign w:val="center"/>
          </w:tcPr>
          <w:p w:rsidR="008912A5" w:rsidRDefault="00DD13FC">
            <w:pPr>
              <w:jc w:val="right"/>
            </w:pPr>
            <w:r>
              <w:rPr>
                <w:color w:val="000000"/>
                <w:sz w:val="24"/>
              </w:rPr>
              <w:t>5.43</w:t>
            </w:r>
          </w:p>
        </w:tc>
      </w:tr>
      <w:tr w:rsidR="008912A5">
        <w:trPr>
          <w:jc w:val="center"/>
        </w:trPr>
        <w:tc>
          <w:tcPr>
            <w:tcW w:w="1075" w:type="dxa"/>
            <w:vAlign w:val="center"/>
          </w:tcPr>
          <w:p w:rsidR="008912A5" w:rsidRDefault="00DD13FC">
            <w:pPr>
              <w:jc w:val="center"/>
            </w:pPr>
            <w:r>
              <w:rPr>
                <w:color w:val="000000"/>
                <w:sz w:val="24"/>
              </w:rPr>
              <w:t>2</w:t>
            </w:r>
          </w:p>
        </w:tc>
        <w:tc>
          <w:tcPr>
            <w:tcW w:w="1533" w:type="dxa"/>
            <w:vAlign w:val="center"/>
          </w:tcPr>
          <w:p w:rsidR="008912A5" w:rsidRDefault="00DD13FC">
            <w:pPr>
              <w:jc w:val="center"/>
            </w:pPr>
            <w:r>
              <w:rPr>
                <w:color w:val="000000"/>
                <w:sz w:val="24"/>
              </w:rPr>
              <w:t>101800226</w:t>
            </w:r>
          </w:p>
        </w:tc>
        <w:tc>
          <w:tcPr>
            <w:tcW w:w="1533" w:type="dxa"/>
            <w:vAlign w:val="center"/>
          </w:tcPr>
          <w:p w:rsidR="008912A5" w:rsidRDefault="00DD13FC">
            <w:pPr>
              <w:jc w:val="center"/>
            </w:pPr>
            <w:r>
              <w:rPr>
                <w:color w:val="000000"/>
                <w:sz w:val="24"/>
              </w:rPr>
              <w:t>18</w:t>
            </w:r>
            <w:r>
              <w:rPr>
                <w:color w:val="000000"/>
                <w:sz w:val="24"/>
              </w:rPr>
              <w:t>南通经开</w:t>
            </w:r>
            <w:r>
              <w:rPr>
                <w:color w:val="000000"/>
                <w:sz w:val="24"/>
              </w:rPr>
              <w:t>MTN001</w:t>
            </w:r>
          </w:p>
        </w:tc>
        <w:tc>
          <w:tcPr>
            <w:tcW w:w="1394" w:type="dxa"/>
            <w:vAlign w:val="center"/>
          </w:tcPr>
          <w:p w:rsidR="008912A5" w:rsidRDefault="00DD13FC">
            <w:pPr>
              <w:jc w:val="right"/>
            </w:pPr>
            <w:r>
              <w:rPr>
                <w:color w:val="000000"/>
                <w:sz w:val="24"/>
              </w:rPr>
              <w:t>500,000</w:t>
            </w:r>
          </w:p>
        </w:tc>
        <w:tc>
          <w:tcPr>
            <w:tcW w:w="1944" w:type="dxa"/>
            <w:vAlign w:val="center"/>
          </w:tcPr>
          <w:p w:rsidR="008912A5" w:rsidRDefault="00DD13FC">
            <w:pPr>
              <w:jc w:val="right"/>
            </w:pPr>
            <w:r>
              <w:rPr>
                <w:color w:val="000000"/>
                <w:sz w:val="24"/>
              </w:rPr>
              <w:t>53,780,000.00</w:t>
            </w:r>
          </w:p>
        </w:tc>
        <w:tc>
          <w:tcPr>
            <w:tcW w:w="1389" w:type="dxa"/>
            <w:vAlign w:val="center"/>
          </w:tcPr>
          <w:p w:rsidR="008912A5" w:rsidRDefault="00DD13FC">
            <w:pPr>
              <w:jc w:val="right"/>
            </w:pPr>
            <w:r>
              <w:rPr>
                <w:color w:val="000000"/>
                <w:sz w:val="24"/>
              </w:rPr>
              <w:t>3.25</w:t>
            </w:r>
          </w:p>
        </w:tc>
      </w:tr>
      <w:tr w:rsidR="008912A5">
        <w:trPr>
          <w:jc w:val="center"/>
        </w:trPr>
        <w:tc>
          <w:tcPr>
            <w:tcW w:w="1075" w:type="dxa"/>
            <w:vAlign w:val="center"/>
          </w:tcPr>
          <w:p w:rsidR="008912A5" w:rsidRDefault="00DD13FC">
            <w:pPr>
              <w:jc w:val="center"/>
            </w:pPr>
            <w:r>
              <w:rPr>
                <w:color w:val="000000"/>
                <w:sz w:val="24"/>
              </w:rPr>
              <w:t>3</w:t>
            </w:r>
          </w:p>
        </w:tc>
        <w:tc>
          <w:tcPr>
            <w:tcW w:w="1533" w:type="dxa"/>
            <w:vAlign w:val="center"/>
          </w:tcPr>
          <w:p w:rsidR="008912A5" w:rsidRDefault="00DD13FC">
            <w:pPr>
              <w:jc w:val="center"/>
            </w:pPr>
            <w:r>
              <w:rPr>
                <w:color w:val="000000"/>
                <w:sz w:val="24"/>
              </w:rPr>
              <w:t>101800145</w:t>
            </w:r>
          </w:p>
        </w:tc>
        <w:tc>
          <w:tcPr>
            <w:tcW w:w="1533" w:type="dxa"/>
            <w:vAlign w:val="center"/>
          </w:tcPr>
          <w:p w:rsidR="008912A5" w:rsidRDefault="00DD13FC">
            <w:pPr>
              <w:jc w:val="center"/>
            </w:pPr>
            <w:r>
              <w:rPr>
                <w:color w:val="000000"/>
                <w:sz w:val="24"/>
              </w:rPr>
              <w:t>18</w:t>
            </w:r>
            <w:r>
              <w:rPr>
                <w:color w:val="000000"/>
                <w:sz w:val="24"/>
              </w:rPr>
              <w:t>张保实业</w:t>
            </w:r>
            <w:r>
              <w:rPr>
                <w:color w:val="000000"/>
                <w:sz w:val="24"/>
              </w:rPr>
              <w:t>MTN001</w:t>
            </w:r>
          </w:p>
        </w:tc>
        <w:tc>
          <w:tcPr>
            <w:tcW w:w="1394" w:type="dxa"/>
            <w:vAlign w:val="center"/>
          </w:tcPr>
          <w:p w:rsidR="008912A5" w:rsidRDefault="00DD13FC">
            <w:pPr>
              <w:jc w:val="right"/>
            </w:pPr>
            <w:r>
              <w:rPr>
                <w:color w:val="000000"/>
                <w:sz w:val="24"/>
              </w:rPr>
              <w:t>500,000</w:t>
            </w:r>
          </w:p>
        </w:tc>
        <w:tc>
          <w:tcPr>
            <w:tcW w:w="1944" w:type="dxa"/>
            <w:vAlign w:val="center"/>
          </w:tcPr>
          <w:p w:rsidR="008912A5" w:rsidRDefault="00DD13FC">
            <w:pPr>
              <w:jc w:val="right"/>
            </w:pPr>
            <w:r>
              <w:rPr>
                <w:color w:val="000000"/>
                <w:sz w:val="24"/>
              </w:rPr>
              <w:t>52,055,000.00</w:t>
            </w:r>
          </w:p>
        </w:tc>
        <w:tc>
          <w:tcPr>
            <w:tcW w:w="1389" w:type="dxa"/>
            <w:vAlign w:val="center"/>
          </w:tcPr>
          <w:p w:rsidR="008912A5" w:rsidRDefault="00DD13FC">
            <w:pPr>
              <w:jc w:val="right"/>
            </w:pPr>
            <w:r>
              <w:rPr>
                <w:color w:val="000000"/>
                <w:sz w:val="24"/>
              </w:rPr>
              <w:t>3.14</w:t>
            </w:r>
          </w:p>
        </w:tc>
      </w:tr>
      <w:tr w:rsidR="008912A5">
        <w:trPr>
          <w:jc w:val="center"/>
        </w:trPr>
        <w:tc>
          <w:tcPr>
            <w:tcW w:w="1075" w:type="dxa"/>
            <w:vAlign w:val="center"/>
          </w:tcPr>
          <w:p w:rsidR="008912A5" w:rsidRDefault="00DD13FC">
            <w:pPr>
              <w:jc w:val="center"/>
            </w:pPr>
            <w:r>
              <w:rPr>
                <w:color w:val="000000"/>
                <w:sz w:val="24"/>
              </w:rPr>
              <w:t>4</w:t>
            </w:r>
          </w:p>
        </w:tc>
        <w:tc>
          <w:tcPr>
            <w:tcW w:w="1533" w:type="dxa"/>
            <w:vAlign w:val="center"/>
          </w:tcPr>
          <w:p w:rsidR="008912A5" w:rsidRDefault="00DD13FC">
            <w:pPr>
              <w:jc w:val="center"/>
            </w:pPr>
            <w:r>
              <w:rPr>
                <w:color w:val="000000"/>
                <w:sz w:val="24"/>
              </w:rPr>
              <w:t>101800749</w:t>
            </w:r>
          </w:p>
        </w:tc>
        <w:tc>
          <w:tcPr>
            <w:tcW w:w="1533" w:type="dxa"/>
            <w:vAlign w:val="center"/>
          </w:tcPr>
          <w:p w:rsidR="008912A5" w:rsidRDefault="00DD13FC">
            <w:pPr>
              <w:jc w:val="center"/>
            </w:pPr>
            <w:r>
              <w:rPr>
                <w:color w:val="000000"/>
                <w:sz w:val="24"/>
              </w:rPr>
              <w:t>18</w:t>
            </w:r>
            <w:r>
              <w:rPr>
                <w:color w:val="000000"/>
                <w:sz w:val="24"/>
              </w:rPr>
              <w:t>九龙江</w:t>
            </w:r>
            <w:r>
              <w:rPr>
                <w:color w:val="000000"/>
                <w:sz w:val="24"/>
              </w:rPr>
              <w:t>MTN003</w:t>
            </w:r>
          </w:p>
        </w:tc>
        <w:tc>
          <w:tcPr>
            <w:tcW w:w="1394" w:type="dxa"/>
            <w:vAlign w:val="center"/>
          </w:tcPr>
          <w:p w:rsidR="008912A5" w:rsidRDefault="00DD13FC">
            <w:pPr>
              <w:jc w:val="right"/>
            </w:pPr>
            <w:r>
              <w:rPr>
                <w:color w:val="000000"/>
                <w:sz w:val="24"/>
              </w:rPr>
              <w:t>500,000</w:t>
            </w:r>
          </w:p>
        </w:tc>
        <w:tc>
          <w:tcPr>
            <w:tcW w:w="1944" w:type="dxa"/>
            <w:vAlign w:val="center"/>
          </w:tcPr>
          <w:p w:rsidR="008912A5" w:rsidRDefault="00DD13FC">
            <w:pPr>
              <w:jc w:val="right"/>
            </w:pPr>
            <w:r>
              <w:rPr>
                <w:color w:val="000000"/>
                <w:sz w:val="24"/>
              </w:rPr>
              <w:t>51,880,000.00</w:t>
            </w:r>
          </w:p>
        </w:tc>
        <w:tc>
          <w:tcPr>
            <w:tcW w:w="1389" w:type="dxa"/>
            <w:vAlign w:val="center"/>
          </w:tcPr>
          <w:p w:rsidR="008912A5" w:rsidRDefault="00DD13FC">
            <w:pPr>
              <w:jc w:val="right"/>
            </w:pPr>
            <w:r>
              <w:rPr>
                <w:color w:val="000000"/>
                <w:sz w:val="24"/>
              </w:rPr>
              <w:t>3.13</w:t>
            </w:r>
          </w:p>
        </w:tc>
      </w:tr>
      <w:tr w:rsidR="008912A5">
        <w:trPr>
          <w:jc w:val="center"/>
        </w:trPr>
        <w:tc>
          <w:tcPr>
            <w:tcW w:w="1075" w:type="dxa"/>
            <w:vAlign w:val="center"/>
          </w:tcPr>
          <w:p w:rsidR="008912A5" w:rsidRDefault="00DD13FC">
            <w:pPr>
              <w:jc w:val="center"/>
            </w:pPr>
            <w:r>
              <w:rPr>
                <w:color w:val="000000"/>
                <w:sz w:val="24"/>
              </w:rPr>
              <w:t>5</w:t>
            </w:r>
          </w:p>
        </w:tc>
        <w:tc>
          <w:tcPr>
            <w:tcW w:w="1533" w:type="dxa"/>
            <w:vAlign w:val="center"/>
          </w:tcPr>
          <w:p w:rsidR="008912A5" w:rsidRDefault="00DD13FC">
            <w:pPr>
              <w:jc w:val="center"/>
            </w:pPr>
            <w:r>
              <w:rPr>
                <w:color w:val="000000"/>
                <w:sz w:val="24"/>
              </w:rPr>
              <w:t>101800369</w:t>
            </w:r>
          </w:p>
        </w:tc>
        <w:tc>
          <w:tcPr>
            <w:tcW w:w="1533" w:type="dxa"/>
            <w:vAlign w:val="center"/>
          </w:tcPr>
          <w:p w:rsidR="008912A5" w:rsidRDefault="00DD13FC">
            <w:pPr>
              <w:jc w:val="center"/>
            </w:pPr>
            <w:r>
              <w:rPr>
                <w:color w:val="000000"/>
                <w:sz w:val="24"/>
              </w:rPr>
              <w:t>18</w:t>
            </w:r>
            <w:r>
              <w:rPr>
                <w:color w:val="000000"/>
                <w:sz w:val="24"/>
              </w:rPr>
              <w:t>豫投资</w:t>
            </w:r>
            <w:r>
              <w:rPr>
                <w:color w:val="000000"/>
                <w:sz w:val="24"/>
              </w:rPr>
              <w:t>MTN002</w:t>
            </w:r>
          </w:p>
        </w:tc>
        <w:tc>
          <w:tcPr>
            <w:tcW w:w="1394" w:type="dxa"/>
            <w:vAlign w:val="center"/>
          </w:tcPr>
          <w:p w:rsidR="008912A5" w:rsidRDefault="00DD13FC">
            <w:pPr>
              <w:jc w:val="right"/>
            </w:pPr>
            <w:r>
              <w:rPr>
                <w:color w:val="000000"/>
                <w:sz w:val="24"/>
              </w:rPr>
              <w:t>500,000</w:t>
            </w:r>
          </w:p>
        </w:tc>
        <w:tc>
          <w:tcPr>
            <w:tcW w:w="1944" w:type="dxa"/>
            <w:vAlign w:val="center"/>
          </w:tcPr>
          <w:p w:rsidR="008912A5" w:rsidRDefault="00DD13FC">
            <w:pPr>
              <w:jc w:val="right"/>
            </w:pPr>
            <w:r>
              <w:rPr>
                <w:color w:val="000000"/>
                <w:sz w:val="24"/>
              </w:rPr>
              <w:t>51,825,000.00</w:t>
            </w:r>
          </w:p>
        </w:tc>
        <w:tc>
          <w:tcPr>
            <w:tcW w:w="1389" w:type="dxa"/>
            <w:vAlign w:val="center"/>
          </w:tcPr>
          <w:p w:rsidR="008912A5" w:rsidRDefault="00DD13FC">
            <w:pPr>
              <w:jc w:val="right"/>
            </w:pPr>
            <w:r>
              <w:rPr>
                <w:color w:val="000000"/>
                <w:sz w:val="24"/>
              </w:rPr>
              <w:t>3.13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8912A5">
        <w:trPr>
          <w:jc w:val="center"/>
        </w:trPr>
        <w:tc>
          <w:tcPr>
            <w:tcW w:w="0" w:type="auto"/>
            <w:vAlign w:val="center"/>
          </w:tcPr>
          <w:p w:rsidR="008912A5" w:rsidRDefault="00DD13FC">
            <w:pPr>
              <w:jc w:val="center"/>
            </w:pPr>
            <w:r>
              <w:rPr>
                <w:color w:val="000000"/>
                <w:sz w:val="24"/>
              </w:rPr>
              <w:t>1</w:t>
            </w:r>
          </w:p>
        </w:tc>
        <w:tc>
          <w:tcPr>
            <w:tcW w:w="0" w:type="auto"/>
            <w:vAlign w:val="center"/>
          </w:tcPr>
          <w:p w:rsidR="008912A5" w:rsidRDefault="00DD13FC">
            <w:pPr>
              <w:jc w:val="center"/>
            </w:pPr>
            <w:r>
              <w:rPr>
                <w:color w:val="000000"/>
                <w:sz w:val="24"/>
              </w:rPr>
              <w:t>123929</w:t>
            </w:r>
          </w:p>
        </w:tc>
        <w:tc>
          <w:tcPr>
            <w:tcW w:w="0" w:type="auto"/>
            <w:vAlign w:val="center"/>
          </w:tcPr>
          <w:p w:rsidR="008912A5" w:rsidRDefault="00DD13FC">
            <w:pPr>
              <w:jc w:val="center"/>
            </w:pPr>
            <w:r>
              <w:rPr>
                <w:color w:val="000000"/>
                <w:sz w:val="24"/>
              </w:rPr>
              <w:t>高新热</w:t>
            </w:r>
            <w:r>
              <w:rPr>
                <w:color w:val="000000"/>
                <w:sz w:val="24"/>
              </w:rPr>
              <w:t>04</w:t>
            </w:r>
          </w:p>
        </w:tc>
        <w:tc>
          <w:tcPr>
            <w:tcW w:w="0" w:type="auto"/>
            <w:vAlign w:val="center"/>
          </w:tcPr>
          <w:p w:rsidR="008912A5" w:rsidRDefault="00DD13FC">
            <w:pPr>
              <w:jc w:val="right"/>
            </w:pPr>
            <w:r>
              <w:rPr>
                <w:color w:val="000000"/>
                <w:sz w:val="24"/>
              </w:rPr>
              <w:t>50,000</w:t>
            </w:r>
          </w:p>
        </w:tc>
        <w:tc>
          <w:tcPr>
            <w:tcW w:w="0" w:type="auto"/>
            <w:vAlign w:val="center"/>
          </w:tcPr>
          <w:p w:rsidR="008912A5" w:rsidRDefault="00DD13FC">
            <w:pPr>
              <w:jc w:val="right"/>
            </w:pPr>
            <w:r>
              <w:rPr>
                <w:color w:val="000000"/>
                <w:sz w:val="24"/>
              </w:rPr>
              <w:t>5,000,000.00</w:t>
            </w:r>
          </w:p>
        </w:tc>
        <w:tc>
          <w:tcPr>
            <w:tcW w:w="0" w:type="auto"/>
            <w:vAlign w:val="center"/>
          </w:tcPr>
          <w:p w:rsidR="008912A5" w:rsidRDefault="00DD13FC">
            <w:pPr>
              <w:jc w:val="right"/>
            </w:pPr>
            <w:r>
              <w:rPr>
                <w:color w:val="000000"/>
                <w:sz w:val="24"/>
              </w:rPr>
              <w:t>0.30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39,061.80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33,223,419.20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6,159,794.03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39,422,275.03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w:t>
      </w:r>
      <w:r w:rsidR="00DD13FC">
        <w:rPr>
          <w:rFonts w:eastAsiaTheme="minorEastAsia" w:hint="eastAsia"/>
          <w:sz w:val="24"/>
        </w:rPr>
        <w:t>未持有股票</w:t>
      </w:r>
      <w:r w:rsidRPr="007F52FA">
        <w:rPr>
          <w:rFonts w:eastAsiaTheme="minorEastAsia"/>
          <w:sz w:val="24"/>
        </w:rPr>
        <w:t>。</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1,132,246,754.01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189,000,452.93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860,663,808.53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77,560,330.43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643,369,551.66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83,018,068.25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1,349,541,010.88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183,542,715.11</w:t>
            </w:r>
          </w:p>
        </w:tc>
      </w:tr>
    </w:tbl>
    <w:p w:rsidR="008912A5" w:rsidRDefault="00DD13F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912A5" w:rsidRDefault="00DD13F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92C90">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92C90">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12A5"/>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2C90"/>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13FC"/>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8621ACDC-6746-46A7-BEDD-33077677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D46B-E30B-40C5-ABCF-78AEAE09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13</Pages>
  <Words>1056</Words>
  <Characters>6022</Characters>
  <Application>Microsoft Office Word</Application>
  <DocSecurity>0</DocSecurity>
  <Lines>50</Lines>
  <Paragraphs>14</Paragraphs>
  <ScaleCrop>false</ScaleCrop>
  <Company>TRT. Ltd. Co.</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2019-04-18T06:00:00Z</dcterms:modified>
</cp:coreProperties>
</file>