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w:t>
      </w:r>
      <w:proofErr w:type="gramStart"/>
      <w:r w:rsidRPr="005858C2">
        <w:rPr>
          <w:rFonts w:eastAsiaTheme="minorEastAsia"/>
          <w:b/>
          <w:sz w:val="36"/>
          <w:szCs w:val="36"/>
        </w:rPr>
        <w:t>裕盈纯债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二〇一九年四月二十日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银裕盈纯债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1,023,177,663.88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w:t>
            </w:r>
            <w:proofErr w:type="gramStart"/>
            <w:r w:rsidRPr="007F52FA">
              <w:rPr>
                <w:color w:val="000000"/>
                <w:kern w:val="0"/>
                <w:sz w:val="24"/>
              </w:rPr>
              <w:t>作出</w:t>
            </w:r>
            <w:proofErr w:type="gramEnd"/>
            <w:r w:rsidRPr="007F52FA">
              <w:rPr>
                <w:color w:val="000000"/>
                <w:kern w:val="0"/>
                <w:sz w:val="24"/>
              </w:rPr>
              <w:t>分析和判断，对未来市场利率趋势及市场信用环境变化</w:t>
            </w:r>
            <w:proofErr w:type="gramStart"/>
            <w:r w:rsidRPr="007F52FA">
              <w:rPr>
                <w:color w:val="000000"/>
                <w:kern w:val="0"/>
                <w:sz w:val="24"/>
              </w:rPr>
              <w:t>作出</w:t>
            </w:r>
            <w:proofErr w:type="gramEnd"/>
            <w:r w:rsidRPr="007F52FA">
              <w:rPr>
                <w:color w:val="000000"/>
                <w:kern w:val="0"/>
                <w:sz w:val="24"/>
              </w:rPr>
              <w:t>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银裕盈纯债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银裕盈纯债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1,022,177,300.39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1,000,363.49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银裕盈纯债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银裕盈纯债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10,223,796.98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15,501.58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12,379,301.18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20,227.38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1,082,175,315.01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1,113,943.77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1.114</w:t>
            </w:r>
          </w:p>
        </w:tc>
      </w:tr>
    </w:tbl>
    <w:p w:rsidR="00016A85" w:rsidRDefault="0046124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16A85">
        <w:trPr>
          <w:jc w:val="center"/>
        </w:trPr>
        <w:tc>
          <w:tcPr>
            <w:tcW w:w="1266" w:type="dxa"/>
            <w:vAlign w:val="center"/>
          </w:tcPr>
          <w:p w:rsidR="00016A85" w:rsidRDefault="0046124F">
            <w:pPr>
              <w:jc w:val="left"/>
            </w:pPr>
            <w:r>
              <w:rPr>
                <w:color w:val="000000"/>
                <w:sz w:val="24"/>
              </w:rPr>
              <w:lastRenderedPageBreak/>
              <w:t>过去三个月</w:t>
            </w:r>
          </w:p>
        </w:tc>
        <w:tc>
          <w:tcPr>
            <w:tcW w:w="1267" w:type="dxa"/>
            <w:vAlign w:val="center"/>
          </w:tcPr>
          <w:p w:rsidR="00016A85" w:rsidRDefault="0046124F">
            <w:pPr>
              <w:jc w:val="center"/>
            </w:pPr>
            <w:r>
              <w:rPr>
                <w:color w:val="000000"/>
                <w:sz w:val="24"/>
              </w:rPr>
              <w:t>1.24%</w:t>
            </w:r>
          </w:p>
        </w:tc>
        <w:tc>
          <w:tcPr>
            <w:tcW w:w="1267" w:type="dxa"/>
            <w:vAlign w:val="center"/>
          </w:tcPr>
          <w:p w:rsidR="00016A85" w:rsidRDefault="0046124F">
            <w:pPr>
              <w:jc w:val="center"/>
            </w:pPr>
            <w:r>
              <w:rPr>
                <w:color w:val="000000"/>
                <w:sz w:val="24"/>
              </w:rPr>
              <w:t>0.05%</w:t>
            </w:r>
          </w:p>
        </w:tc>
        <w:tc>
          <w:tcPr>
            <w:tcW w:w="1267" w:type="dxa"/>
            <w:vAlign w:val="center"/>
          </w:tcPr>
          <w:p w:rsidR="00016A85" w:rsidRDefault="0046124F">
            <w:pPr>
              <w:jc w:val="center"/>
            </w:pPr>
            <w:r>
              <w:rPr>
                <w:color w:val="000000"/>
                <w:sz w:val="24"/>
              </w:rPr>
              <w:t>0.47%</w:t>
            </w:r>
          </w:p>
        </w:tc>
        <w:tc>
          <w:tcPr>
            <w:tcW w:w="1267" w:type="dxa"/>
            <w:vAlign w:val="center"/>
          </w:tcPr>
          <w:p w:rsidR="00016A85" w:rsidRDefault="0046124F">
            <w:pPr>
              <w:jc w:val="center"/>
            </w:pPr>
            <w:r>
              <w:rPr>
                <w:color w:val="000000"/>
                <w:sz w:val="24"/>
              </w:rPr>
              <w:t>0.05%</w:t>
            </w:r>
          </w:p>
        </w:tc>
        <w:tc>
          <w:tcPr>
            <w:tcW w:w="1267" w:type="dxa"/>
            <w:vAlign w:val="center"/>
          </w:tcPr>
          <w:p w:rsidR="00016A85" w:rsidRDefault="0046124F">
            <w:pPr>
              <w:jc w:val="center"/>
            </w:pPr>
            <w:r>
              <w:rPr>
                <w:color w:val="000000"/>
                <w:sz w:val="24"/>
              </w:rPr>
              <w:t>0.77%</w:t>
            </w:r>
          </w:p>
        </w:tc>
        <w:tc>
          <w:tcPr>
            <w:tcW w:w="1267" w:type="dxa"/>
            <w:vAlign w:val="center"/>
          </w:tcPr>
          <w:p w:rsidR="00016A85" w:rsidRDefault="0046124F">
            <w:pPr>
              <w:jc w:val="center"/>
            </w:pPr>
            <w:r>
              <w:rPr>
                <w:color w:val="000000"/>
                <w:sz w:val="24"/>
              </w:rPr>
              <w:t>0.00%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16A85">
        <w:trPr>
          <w:jc w:val="center"/>
        </w:trPr>
        <w:tc>
          <w:tcPr>
            <w:tcW w:w="1266" w:type="dxa"/>
            <w:vAlign w:val="center"/>
          </w:tcPr>
          <w:p w:rsidR="00016A85" w:rsidRDefault="0046124F">
            <w:pPr>
              <w:jc w:val="left"/>
            </w:pPr>
            <w:r>
              <w:rPr>
                <w:color w:val="000000"/>
                <w:sz w:val="24"/>
              </w:rPr>
              <w:t>过去三个月</w:t>
            </w:r>
          </w:p>
        </w:tc>
        <w:tc>
          <w:tcPr>
            <w:tcW w:w="1267" w:type="dxa"/>
            <w:vAlign w:val="center"/>
          </w:tcPr>
          <w:p w:rsidR="00016A85" w:rsidRDefault="0046124F">
            <w:pPr>
              <w:jc w:val="center"/>
            </w:pPr>
            <w:r>
              <w:rPr>
                <w:color w:val="000000"/>
                <w:sz w:val="24"/>
              </w:rPr>
              <w:t>1.09%</w:t>
            </w:r>
          </w:p>
        </w:tc>
        <w:tc>
          <w:tcPr>
            <w:tcW w:w="1267" w:type="dxa"/>
            <w:vAlign w:val="center"/>
          </w:tcPr>
          <w:p w:rsidR="00016A85" w:rsidRDefault="0046124F">
            <w:pPr>
              <w:jc w:val="center"/>
            </w:pPr>
            <w:r>
              <w:rPr>
                <w:color w:val="000000"/>
                <w:sz w:val="24"/>
              </w:rPr>
              <w:t>0.04%</w:t>
            </w:r>
          </w:p>
        </w:tc>
        <w:tc>
          <w:tcPr>
            <w:tcW w:w="1267" w:type="dxa"/>
            <w:vAlign w:val="center"/>
          </w:tcPr>
          <w:p w:rsidR="00016A85" w:rsidRDefault="0046124F">
            <w:pPr>
              <w:jc w:val="center"/>
            </w:pPr>
            <w:r>
              <w:rPr>
                <w:color w:val="000000"/>
                <w:sz w:val="24"/>
              </w:rPr>
              <w:t>0.47%</w:t>
            </w:r>
          </w:p>
        </w:tc>
        <w:tc>
          <w:tcPr>
            <w:tcW w:w="1267" w:type="dxa"/>
            <w:vAlign w:val="center"/>
          </w:tcPr>
          <w:p w:rsidR="00016A85" w:rsidRDefault="0046124F">
            <w:pPr>
              <w:jc w:val="center"/>
            </w:pPr>
            <w:r>
              <w:rPr>
                <w:color w:val="000000"/>
                <w:sz w:val="24"/>
              </w:rPr>
              <w:t>0.05%</w:t>
            </w:r>
          </w:p>
        </w:tc>
        <w:tc>
          <w:tcPr>
            <w:tcW w:w="1267" w:type="dxa"/>
            <w:vAlign w:val="center"/>
          </w:tcPr>
          <w:p w:rsidR="00016A85" w:rsidRDefault="0046124F">
            <w:pPr>
              <w:jc w:val="center"/>
            </w:pPr>
            <w:r>
              <w:rPr>
                <w:color w:val="000000"/>
                <w:sz w:val="24"/>
              </w:rPr>
              <w:t>0.62%</w:t>
            </w:r>
          </w:p>
        </w:tc>
        <w:tc>
          <w:tcPr>
            <w:tcW w:w="1267" w:type="dxa"/>
            <w:vAlign w:val="center"/>
          </w:tcPr>
          <w:p w:rsidR="00016A85" w:rsidRDefault="0046124F">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16A85">
        <w:trPr>
          <w:jc w:val="center"/>
        </w:trPr>
        <w:tc>
          <w:tcPr>
            <w:tcW w:w="946" w:type="dxa"/>
            <w:vAlign w:val="center"/>
          </w:tcPr>
          <w:p w:rsidR="00016A85" w:rsidRDefault="0046124F">
            <w:pPr>
              <w:jc w:val="center"/>
            </w:pPr>
            <w:r>
              <w:rPr>
                <w:color w:val="000000"/>
                <w:sz w:val="24"/>
              </w:rPr>
              <w:t>连端清</w:t>
            </w:r>
          </w:p>
        </w:tc>
        <w:tc>
          <w:tcPr>
            <w:tcW w:w="924" w:type="dxa"/>
            <w:vAlign w:val="center"/>
          </w:tcPr>
          <w:p w:rsidR="00016A85" w:rsidRDefault="0046124F">
            <w:pPr>
              <w:jc w:val="center"/>
            </w:pPr>
            <w:r>
              <w:rPr>
                <w:color w:val="000000"/>
                <w:sz w:val="24"/>
              </w:rPr>
              <w:t>交银货币、交银理财</w:t>
            </w:r>
            <w:r>
              <w:rPr>
                <w:color w:val="000000"/>
                <w:sz w:val="24"/>
              </w:rPr>
              <w:t>60</w:t>
            </w:r>
            <w:r>
              <w:rPr>
                <w:color w:val="000000"/>
                <w:sz w:val="24"/>
              </w:rPr>
              <w:t>天债券、交银丰盈收益债券、交银现金宝货币、交</w:t>
            </w:r>
            <w:r>
              <w:rPr>
                <w:color w:val="000000"/>
                <w:sz w:val="24"/>
              </w:rPr>
              <w:lastRenderedPageBreak/>
              <w:t>银丰润收益债券、交银活期通货币、交银天利宝货币、交银裕盈纯债债券、交银裕利纯债债券、交银裕隆纯债债券、交银天鑫宝货币、交银天益宝货币、交银境尚收益债券、交银天运宝货币的基金经理</w:t>
            </w:r>
          </w:p>
        </w:tc>
        <w:tc>
          <w:tcPr>
            <w:tcW w:w="1202" w:type="dxa"/>
            <w:vAlign w:val="center"/>
          </w:tcPr>
          <w:p w:rsidR="00016A85" w:rsidRDefault="0046124F">
            <w:pPr>
              <w:jc w:val="center"/>
            </w:pPr>
            <w:r>
              <w:rPr>
                <w:color w:val="000000"/>
                <w:sz w:val="24"/>
              </w:rPr>
              <w:lastRenderedPageBreak/>
              <w:t>2017-03-31</w:t>
            </w:r>
          </w:p>
        </w:tc>
        <w:tc>
          <w:tcPr>
            <w:tcW w:w="1300" w:type="dxa"/>
            <w:vAlign w:val="center"/>
          </w:tcPr>
          <w:p w:rsidR="00016A85" w:rsidRDefault="0046124F">
            <w:pPr>
              <w:jc w:val="center"/>
            </w:pPr>
            <w:r>
              <w:rPr>
                <w:color w:val="000000"/>
                <w:sz w:val="24"/>
              </w:rPr>
              <w:t>-</w:t>
            </w:r>
          </w:p>
        </w:tc>
        <w:tc>
          <w:tcPr>
            <w:tcW w:w="1245" w:type="dxa"/>
            <w:vAlign w:val="center"/>
          </w:tcPr>
          <w:p w:rsidR="00016A85" w:rsidRDefault="0046124F">
            <w:pPr>
              <w:jc w:val="center"/>
            </w:pPr>
            <w:r>
              <w:rPr>
                <w:color w:val="000000"/>
                <w:sz w:val="24"/>
              </w:rPr>
              <w:t>6</w:t>
            </w:r>
            <w:r>
              <w:rPr>
                <w:color w:val="000000"/>
                <w:sz w:val="24"/>
              </w:rPr>
              <w:t>年</w:t>
            </w:r>
          </w:p>
        </w:tc>
        <w:tc>
          <w:tcPr>
            <w:tcW w:w="3251" w:type="dxa"/>
            <w:vAlign w:val="center"/>
          </w:tcPr>
          <w:p w:rsidR="00016A85" w:rsidRDefault="0046124F">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p>
        </w:tc>
      </w:tr>
    </w:tbl>
    <w:p w:rsidR="00016A85" w:rsidRDefault="0046124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016A85" w:rsidRDefault="0046124F">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w:t>
      </w:r>
      <w:r>
        <w:rPr>
          <w:color w:val="000000"/>
          <w:sz w:val="24"/>
        </w:rPr>
        <w:lastRenderedPageBreak/>
        <w:t>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16A85" w:rsidRDefault="0046124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6A85" w:rsidRDefault="0046124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16A85" w:rsidRDefault="0046124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16A85" w:rsidRDefault="0046124F">
      <w:pPr>
        <w:spacing w:before="29" w:line="288" w:lineRule="auto"/>
        <w:ind w:firstLineChars="200" w:firstLine="480"/>
        <w:rPr>
          <w:color w:val="000000"/>
          <w:sz w:val="24"/>
        </w:rPr>
      </w:pPr>
      <w:r>
        <w:rPr>
          <w:color w:val="000000"/>
          <w:sz w:val="24"/>
        </w:rPr>
        <w:t>2019</w:t>
      </w:r>
      <w:r>
        <w:rPr>
          <w:color w:val="000000"/>
          <w:sz w:val="24"/>
        </w:rPr>
        <w:t>年一季度，中美贸易谈判进展向好，且部分金融经济数据有回暖迹象。经济下行风险尚未消除但较</w:t>
      </w:r>
      <w:r>
        <w:rPr>
          <w:color w:val="000000"/>
          <w:sz w:val="24"/>
        </w:rPr>
        <w:t>2018</w:t>
      </w:r>
      <w:r>
        <w:rPr>
          <w:color w:val="000000"/>
          <w:sz w:val="24"/>
        </w:rPr>
        <w:t>年有所降低，悲观预期有所减弱，但国内经济整体上处于阶段性寻底过程中。国内制造业景气度经历半年多时间的下行调整后，一季度呈现触底</w:t>
      </w:r>
      <w:r>
        <w:rPr>
          <w:color w:val="000000"/>
          <w:sz w:val="24"/>
        </w:rPr>
        <w:lastRenderedPageBreak/>
        <w:t>企稳势头。受春节等因素影响，一、二月信贷与外贸数据波动较大，一月新增人民币贷款与出口超预期大幅增长，二月大幅回落。但是，金融对实体经济的支持在改善。信贷结构上，居民中长期贷款占比在下降，企业中长期贷款占比上升。社融结构上，委贷与非标融资有触底企稳迹象，债券融资大幅回升。贷款利率与债券利率均在下行，企业融资条件有所好转。一、二月固定资产投资增速有所回升，对经济增速形成支撑。但制造业</w:t>
      </w:r>
      <w:r>
        <w:rPr>
          <w:color w:val="000000"/>
          <w:sz w:val="24"/>
        </w:rPr>
        <w:t>FAI</w:t>
      </w:r>
      <w:r>
        <w:rPr>
          <w:color w:val="000000"/>
          <w:sz w:val="24"/>
        </w:rPr>
        <w:t>开始回落，基建</w:t>
      </w:r>
      <w:r>
        <w:rPr>
          <w:color w:val="000000"/>
          <w:sz w:val="24"/>
        </w:rPr>
        <w:t>FAI</w:t>
      </w:r>
      <w:r>
        <w:rPr>
          <w:color w:val="000000"/>
          <w:sz w:val="24"/>
        </w:rPr>
        <w:t>在逆周期政策大力支持下低位回升，房地产</w:t>
      </w:r>
      <w:r>
        <w:rPr>
          <w:color w:val="000000"/>
          <w:sz w:val="24"/>
        </w:rPr>
        <w:t>FAI</w:t>
      </w:r>
      <w:r>
        <w:rPr>
          <w:color w:val="000000"/>
          <w:sz w:val="24"/>
        </w:rPr>
        <w:t>继续冲高。货币政策上，一月初央行降准</w:t>
      </w:r>
      <w:r>
        <w:rPr>
          <w:color w:val="000000"/>
          <w:sz w:val="24"/>
        </w:rPr>
        <w:t>1</w:t>
      </w:r>
      <w:r>
        <w:rPr>
          <w:color w:val="000000"/>
          <w:sz w:val="24"/>
        </w:rPr>
        <w:t>个百分点，再次释放银行体系流动性以支持实体经济发展，但同时也加大了公开市场回笼力度，一季度央行在公开市场净回笼</w:t>
      </w:r>
      <w:r>
        <w:rPr>
          <w:color w:val="000000"/>
          <w:sz w:val="24"/>
        </w:rPr>
        <w:t>1.8</w:t>
      </w:r>
      <w:r>
        <w:rPr>
          <w:color w:val="000000"/>
          <w:sz w:val="24"/>
        </w:rPr>
        <w:t>万亿，尽量避免短期流动性泛滥。</w:t>
      </w:r>
    </w:p>
    <w:p w:rsidR="00016A85" w:rsidRDefault="0046124F">
      <w:pPr>
        <w:spacing w:before="29" w:line="288" w:lineRule="auto"/>
        <w:ind w:firstLineChars="200" w:firstLine="480"/>
        <w:rPr>
          <w:color w:val="000000"/>
          <w:sz w:val="24"/>
        </w:rPr>
      </w:pPr>
      <w:r>
        <w:rPr>
          <w:color w:val="000000"/>
          <w:sz w:val="24"/>
        </w:rPr>
        <w:t>资金面上，受央行再次大幅降准影响，一季度货币市场资金面整体上较为宽松。一季度</w:t>
      </w:r>
      <w:r>
        <w:rPr>
          <w:color w:val="000000"/>
          <w:sz w:val="24"/>
        </w:rPr>
        <w:t>R001</w:t>
      </w:r>
      <w:r>
        <w:rPr>
          <w:color w:val="000000"/>
          <w:sz w:val="24"/>
        </w:rPr>
        <w:t>均值较</w:t>
      </w:r>
      <w:r>
        <w:rPr>
          <w:color w:val="000000"/>
          <w:sz w:val="24"/>
        </w:rPr>
        <w:t>2018</w:t>
      </w:r>
      <w:r>
        <w:rPr>
          <w:color w:val="000000"/>
          <w:sz w:val="24"/>
        </w:rPr>
        <w:t>年四季度下降</w:t>
      </w:r>
      <w:r>
        <w:rPr>
          <w:color w:val="000000"/>
          <w:sz w:val="24"/>
        </w:rPr>
        <w:t>16</w:t>
      </w:r>
      <w:r>
        <w:rPr>
          <w:color w:val="000000"/>
          <w:sz w:val="24"/>
        </w:rPr>
        <w:t>个</w:t>
      </w:r>
      <w:r>
        <w:rPr>
          <w:color w:val="000000"/>
          <w:sz w:val="24"/>
        </w:rPr>
        <w:t>BP</w:t>
      </w:r>
      <w:r>
        <w:rPr>
          <w:color w:val="000000"/>
          <w:sz w:val="24"/>
        </w:rPr>
        <w:t>以上。受资金面持续宽松等影响，一季度同业存款及存单利率继续大幅下行。三月底股份制银行存单利率较</w:t>
      </w:r>
      <w:r>
        <w:rPr>
          <w:color w:val="000000"/>
          <w:sz w:val="24"/>
        </w:rPr>
        <w:t>2018</w:t>
      </w:r>
      <w:r>
        <w:rPr>
          <w:color w:val="000000"/>
          <w:sz w:val="24"/>
        </w:rPr>
        <w:t>年底下降</w:t>
      </w:r>
      <w:r>
        <w:rPr>
          <w:color w:val="000000"/>
          <w:sz w:val="24"/>
        </w:rPr>
        <w:t>47</w:t>
      </w:r>
      <w:r>
        <w:rPr>
          <w:color w:val="000000"/>
          <w:sz w:val="24"/>
        </w:rPr>
        <w:t>个</w:t>
      </w:r>
      <w:r>
        <w:rPr>
          <w:color w:val="000000"/>
          <w:sz w:val="24"/>
        </w:rPr>
        <w:t>BP</w:t>
      </w:r>
      <w:r>
        <w:rPr>
          <w:color w:val="000000"/>
          <w:sz w:val="24"/>
        </w:rPr>
        <w:t>以上。受一月初宽松加码、中美贸易谈判进展向好、股市大涨及部分宏观数据扰动等影响，一季度债市整体上呈震荡整理格局。</w:t>
      </w:r>
    </w:p>
    <w:p w:rsidR="00016A85" w:rsidRDefault="0046124F">
      <w:pPr>
        <w:spacing w:before="29" w:line="288" w:lineRule="auto"/>
        <w:ind w:firstLineChars="200" w:firstLine="480"/>
        <w:rPr>
          <w:color w:val="000000"/>
          <w:sz w:val="24"/>
        </w:rPr>
      </w:pPr>
      <w:r>
        <w:rPr>
          <w:color w:val="000000"/>
          <w:sz w:val="24"/>
        </w:rPr>
        <w:t>基金操作方面，报告期内本基金把握市场走势，动态调整持仓债券、组合杠杆与久期，管控信用风险，为持有人创造稳健的回报。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二季度，若从国内因素看，在货币政策、财税与基建等多个角度的逆周期调节政策发力下，国内经济在筑底可能性上升。但美国等海外发达经济体增速放缓，且存在去年中美贸易战的滞后效应，估计出口短期内仍为拖累因素，预计国内经济下行风险可能继续降低。受后续猪肉价格上涨压力影响，预计</w:t>
      </w:r>
      <w:r w:rsidRPr="007F52FA">
        <w:rPr>
          <w:color w:val="000000"/>
          <w:sz w:val="24"/>
        </w:rPr>
        <w:t>CPI</w:t>
      </w:r>
      <w:r w:rsidRPr="007F52FA">
        <w:rPr>
          <w:color w:val="000000"/>
          <w:sz w:val="24"/>
        </w:rPr>
        <w:t>低位回升的概率较大。美联储暂停加息，我国央行的货币政策宽松有了更大空间，但预计短期内央行货币政策处于观望期，仍将维持流动性宽松且保持逆周期调节作用。我们将密切关注海外发达经济体放缓程度、中美贸易谈判的进展以及政府经济政策动态。组合管理方面，本基金将紧密跟踪研判宏观经济走势与央行货币政策操作，尽力管控风险，积极跟踪把握市场机会，努力为投资者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1,062,456,000.00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1,062,456,000.00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943,003.64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20,829,588.19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1,084,228,591.83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D1859" w:rsidRPr="007F52FA" w:rsidRDefault="009D1859"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253,675,000.00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253,675,000.00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12,258,000.00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671,896,000.00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62.02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124,627,000.00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11.50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1,062,456,000.00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98.08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16A85">
        <w:trPr>
          <w:jc w:val="center"/>
        </w:trPr>
        <w:tc>
          <w:tcPr>
            <w:tcW w:w="1075" w:type="dxa"/>
            <w:vAlign w:val="center"/>
          </w:tcPr>
          <w:p w:rsidR="00016A85" w:rsidRDefault="0046124F">
            <w:pPr>
              <w:jc w:val="center"/>
            </w:pPr>
            <w:r>
              <w:rPr>
                <w:color w:val="000000"/>
                <w:sz w:val="24"/>
              </w:rPr>
              <w:t>1</w:t>
            </w:r>
          </w:p>
        </w:tc>
        <w:tc>
          <w:tcPr>
            <w:tcW w:w="1533" w:type="dxa"/>
            <w:vAlign w:val="center"/>
          </w:tcPr>
          <w:p w:rsidR="00016A85" w:rsidRDefault="0046124F">
            <w:pPr>
              <w:jc w:val="center"/>
            </w:pPr>
            <w:r>
              <w:rPr>
                <w:color w:val="000000"/>
                <w:sz w:val="24"/>
              </w:rPr>
              <w:t>180211</w:t>
            </w:r>
          </w:p>
        </w:tc>
        <w:tc>
          <w:tcPr>
            <w:tcW w:w="1533" w:type="dxa"/>
            <w:vAlign w:val="center"/>
          </w:tcPr>
          <w:p w:rsidR="00016A85" w:rsidRDefault="0046124F">
            <w:pPr>
              <w:jc w:val="center"/>
            </w:pPr>
            <w:r>
              <w:rPr>
                <w:color w:val="000000"/>
                <w:sz w:val="24"/>
              </w:rPr>
              <w:t>18</w:t>
            </w:r>
            <w:r>
              <w:rPr>
                <w:color w:val="000000"/>
                <w:sz w:val="24"/>
              </w:rPr>
              <w:t>国开</w:t>
            </w:r>
            <w:r>
              <w:rPr>
                <w:color w:val="000000"/>
                <w:sz w:val="24"/>
              </w:rPr>
              <w:t>11</w:t>
            </w:r>
          </w:p>
        </w:tc>
        <w:tc>
          <w:tcPr>
            <w:tcW w:w="1394" w:type="dxa"/>
            <w:vAlign w:val="center"/>
          </w:tcPr>
          <w:p w:rsidR="00016A85" w:rsidRDefault="0046124F">
            <w:pPr>
              <w:jc w:val="right"/>
            </w:pPr>
            <w:r>
              <w:rPr>
                <w:color w:val="000000"/>
                <w:sz w:val="24"/>
              </w:rPr>
              <w:t>800,000</w:t>
            </w:r>
          </w:p>
        </w:tc>
        <w:tc>
          <w:tcPr>
            <w:tcW w:w="1944" w:type="dxa"/>
            <w:vAlign w:val="center"/>
          </w:tcPr>
          <w:p w:rsidR="00016A85" w:rsidRDefault="0046124F">
            <w:pPr>
              <w:jc w:val="right"/>
            </w:pPr>
            <w:r>
              <w:rPr>
                <w:color w:val="000000"/>
                <w:sz w:val="24"/>
              </w:rPr>
              <w:t>81,128,000.00</w:t>
            </w:r>
          </w:p>
        </w:tc>
        <w:tc>
          <w:tcPr>
            <w:tcW w:w="1389" w:type="dxa"/>
            <w:vAlign w:val="center"/>
          </w:tcPr>
          <w:p w:rsidR="00016A85" w:rsidRDefault="0046124F">
            <w:pPr>
              <w:jc w:val="right"/>
            </w:pPr>
            <w:r>
              <w:rPr>
                <w:color w:val="000000"/>
                <w:sz w:val="24"/>
              </w:rPr>
              <w:t>7.49</w:t>
            </w:r>
          </w:p>
        </w:tc>
      </w:tr>
      <w:tr w:rsidR="00016A85">
        <w:trPr>
          <w:jc w:val="center"/>
        </w:trPr>
        <w:tc>
          <w:tcPr>
            <w:tcW w:w="1075" w:type="dxa"/>
            <w:vAlign w:val="center"/>
          </w:tcPr>
          <w:p w:rsidR="00016A85" w:rsidRDefault="0046124F">
            <w:pPr>
              <w:jc w:val="center"/>
            </w:pPr>
            <w:r>
              <w:rPr>
                <w:color w:val="000000"/>
                <w:sz w:val="24"/>
              </w:rPr>
              <w:t>2</w:t>
            </w:r>
          </w:p>
        </w:tc>
        <w:tc>
          <w:tcPr>
            <w:tcW w:w="1533" w:type="dxa"/>
            <w:vAlign w:val="center"/>
          </w:tcPr>
          <w:p w:rsidR="00016A85" w:rsidRDefault="0046124F">
            <w:pPr>
              <w:jc w:val="center"/>
            </w:pPr>
            <w:r>
              <w:rPr>
                <w:color w:val="000000"/>
                <w:sz w:val="24"/>
              </w:rPr>
              <w:t>101761002</w:t>
            </w:r>
          </w:p>
        </w:tc>
        <w:tc>
          <w:tcPr>
            <w:tcW w:w="1533" w:type="dxa"/>
            <w:vAlign w:val="center"/>
          </w:tcPr>
          <w:p w:rsidR="00016A85" w:rsidRDefault="0046124F">
            <w:pPr>
              <w:jc w:val="center"/>
            </w:pPr>
            <w:r>
              <w:rPr>
                <w:color w:val="000000"/>
                <w:sz w:val="24"/>
              </w:rPr>
              <w:t>17</w:t>
            </w:r>
            <w:r>
              <w:rPr>
                <w:color w:val="000000"/>
                <w:sz w:val="24"/>
              </w:rPr>
              <w:t>光大集团</w:t>
            </w:r>
            <w:r>
              <w:rPr>
                <w:color w:val="000000"/>
                <w:sz w:val="24"/>
              </w:rPr>
              <w:t>MTN001</w:t>
            </w:r>
          </w:p>
        </w:tc>
        <w:tc>
          <w:tcPr>
            <w:tcW w:w="1394" w:type="dxa"/>
            <w:vAlign w:val="center"/>
          </w:tcPr>
          <w:p w:rsidR="00016A85" w:rsidRDefault="0046124F">
            <w:pPr>
              <w:jc w:val="right"/>
            </w:pPr>
            <w:r>
              <w:rPr>
                <w:color w:val="000000"/>
                <w:sz w:val="24"/>
              </w:rPr>
              <w:t>800,000</w:t>
            </w:r>
          </w:p>
        </w:tc>
        <w:tc>
          <w:tcPr>
            <w:tcW w:w="1944" w:type="dxa"/>
            <w:vAlign w:val="center"/>
          </w:tcPr>
          <w:p w:rsidR="00016A85" w:rsidRDefault="0046124F">
            <w:pPr>
              <w:jc w:val="right"/>
            </w:pPr>
            <w:r>
              <w:rPr>
                <w:color w:val="000000"/>
                <w:sz w:val="24"/>
              </w:rPr>
              <w:t>80,936,000.00</w:t>
            </w:r>
          </w:p>
        </w:tc>
        <w:tc>
          <w:tcPr>
            <w:tcW w:w="1389" w:type="dxa"/>
            <w:vAlign w:val="center"/>
          </w:tcPr>
          <w:p w:rsidR="00016A85" w:rsidRDefault="0046124F">
            <w:pPr>
              <w:jc w:val="right"/>
            </w:pPr>
            <w:r>
              <w:rPr>
                <w:color w:val="000000"/>
                <w:sz w:val="24"/>
              </w:rPr>
              <w:t>7.47</w:t>
            </w:r>
          </w:p>
        </w:tc>
      </w:tr>
      <w:tr w:rsidR="00016A85">
        <w:trPr>
          <w:jc w:val="center"/>
        </w:trPr>
        <w:tc>
          <w:tcPr>
            <w:tcW w:w="1075" w:type="dxa"/>
            <w:vAlign w:val="center"/>
          </w:tcPr>
          <w:p w:rsidR="00016A85" w:rsidRDefault="0046124F">
            <w:pPr>
              <w:jc w:val="center"/>
            </w:pPr>
            <w:r>
              <w:rPr>
                <w:color w:val="000000"/>
                <w:sz w:val="24"/>
              </w:rPr>
              <w:t>3</w:t>
            </w:r>
          </w:p>
        </w:tc>
        <w:tc>
          <w:tcPr>
            <w:tcW w:w="1533" w:type="dxa"/>
            <w:vAlign w:val="center"/>
          </w:tcPr>
          <w:p w:rsidR="00016A85" w:rsidRDefault="0046124F">
            <w:pPr>
              <w:jc w:val="center"/>
            </w:pPr>
            <w:r>
              <w:rPr>
                <w:color w:val="000000"/>
                <w:sz w:val="24"/>
              </w:rPr>
              <w:t>101564026</w:t>
            </w:r>
          </w:p>
        </w:tc>
        <w:tc>
          <w:tcPr>
            <w:tcW w:w="1533" w:type="dxa"/>
            <w:vAlign w:val="center"/>
          </w:tcPr>
          <w:p w:rsidR="00016A85" w:rsidRDefault="0046124F">
            <w:pPr>
              <w:jc w:val="center"/>
            </w:pPr>
            <w:r>
              <w:rPr>
                <w:color w:val="000000"/>
                <w:sz w:val="24"/>
              </w:rPr>
              <w:t>15</w:t>
            </w:r>
            <w:r>
              <w:rPr>
                <w:color w:val="000000"/>
                <w:sz w:val="24"/>
              </w:rPr>
              <w:t>赣水投</w:t>
            </w:r>
            <w:r>
              <w:rPr>
                <w:color w:val="000000"/>
                <w:sz w:val="24"/>
              </w:rPr>
              <w:t>MTN001</w:t>
            </w:r>
          </w:p>
        </w:tc>
        <w:tc>
          <w:tcPr>
            <w:tcW w:w="1394" w:type="dxa"/>
            <w:vAlign w:val="center"/>
          </w:tcPr>
          <w:p w:rsidR="00016A85" w:rsidRDefault="0046124F">
            <w:pPr>
              <w:jc w:val="right"/>
            </w:pPr>
            <w:r>
              <w:rPr>
                <w:color w:val="000000"/>
                <w:sz w:val="24"/>
              </w:rPr>
              <w:t>600,000</w:t>
            </w:r>
          </w:p>
        </w:tc>
        <w:tc>
          <w:tcPr>
            <w:tcW w:w="1944" w:type="dxa"/>
            <w:vAlign w:val="center"/>
          </w:tcPr>
          <w:p w:rsidR="00016A85" w:rsidRDefault="0046124F">
            <w:pPr>
              <w:jc w:val="right"/>
            </w:pPr>
            <w:r>
              <w:rPr>
                <w:color w:val="000000"/>
                <w:sz w:val="24"/>
              </w:rPr>
              <w:t>61,818,000.00</w:t>
            </w:r>
          </w:p>
        </w:tc>
        <w:tc>
          <w:tcPr>
            <w:tcW w:w="1389" w:type="dxa"/>
            <w:vAlign w:val="center"/>
          </w:tcPr>
          <w:p w:rsidR="00016A85" w:rsidRDefault="0046124F">
            <w:pPr>
              <w:jc w:val="right"/>
            </w:pPr>
            <w:r>
              <w:rPr>
                <w:color w:val="000000"/>
                <w:sz w:val="24"/>
              </w:rPr>
              <w:t>5.71</w:t>
            </w:r>
          </w:p>
        </w:tc>
      </w:tr>
      <w:tr w:rsidR="00016A85">
        <w:trPr>
          <w:jc w:val="center"/>
        </w:trPr>
        <w:tc>
          <w:tcPr>
            <w:tcW w:w="1075" w:type="dxa"/>
            <w:vAlign w:val="center"/>
          </w:tcPr>
          <w:p w:rsidR="00016A85" w:rsidRDefault="0046124F">
            <w:pPr>
              <w:jc w:val="center"/>
            </w:pPr>
            <w:r>
              <w:rPr>
                <w:color w:val="000000"/>
                <w:sz w:val="24"/>
              </w:rPr>
              <w:t>4</w:t>
            </w:r>
          </w:p>
        </w:tc>
        <w:tc>
          <w:tcPr>
            <w:tcW w:w="1533" w:type="dxa"/>
            <w:vAlign w:val="center"/>
          </w:tcPr>
          <w:p w:rsidR="00016A85" w:rsidRDefault="0046124F">
            <w:pPr>
              <w:jc w:val="center"/>
            </w:pPr>
            <w:r>
              <w:rPr>
                <w:color w:val="000000"/>
                <w:sz w:val="24"/>
              </w:rPr>
              <w:t>180410</w:t>
            </w:r>
          </w:p>
        </w:tc>
        <w:tc>
          <w:tcPr>
            <w:tcW w:w="1533" w:type="dxa"/>
            <w:vAlign w:val="center"/>
          </w:tcPr>
          <w:p w:rsidR="00016A85" w:rsidRDefault="0046124F">
            <w:pPr>
              <w:jc w:val="center"/>
            </w:pPr>
            <w:r>
              <w:rPr>
                <w:color w:val="000000"/>
                <w:sz w:val="24"/>
              </w:rPr>
              <w:t>18</w:t>
            </w:r>
            <w:r>
              <w:rPr>
                <w:color w:val="000000"/>
                <w:sz w:val="24"/>
              </w:rPr>
              <w:t>农发</w:t>
            </w:r>
            <w:r>
              <w:rPr>
                <w:color w:val="000000"/>
                <w:sz w:val="24"/>
              </w:rPr>
              <w:t>10</w:t>
            </w:r>
          </w:p>
        </w:tc>
        <w:tc>
          <w:tcPr>
            <w:tcW w:w="1394" w:type="dxa"/>
            <w:vAlign w:val="center"/>
          </w:tcPr>
          <w:p w:rsidR="00016A85" w:rsidRDefault="0046124F">
            <w:pPr>
              <w:jc w:val="right"/>
            </w:pPr>
            <w:r>
              <w:rPr>
                <w:color w:val="000000"/>
                <w:sz w:val="24"/>
              </w:rPr>
              <w:t>600,000</w:t>
            </w:r>
          </w:p>
        </w:tc>
        <w:tc>
          <w:tcPr>
            <w:tcW w:w="1944" w:type="dxa"/>
            <w:vAlign w:val="center"/>
          </w:tcPr>
          <w:p w:rsidR="00016A85" w:rsidRDefault="0046124F">
            <w:pPr>
              <w:jc w:val="right"/>
            </w:pPr>
            <w:r>
              <w:rPr>
                <w:color w:val="000000"/>
                <w:sz w:val="24"/>
              </w:rPr>
              <w:t>60,048,000.00</w:t>
            </w:r>
          </w:p>
        </w:tc>
        <w:tc>
          <w:tcPr>
            <w:tcW w:w="1389" w:type="dxa"/>
            <w:vAlign w:val="center"/>
          </w:tcPr>
          <w:p w:rsidR="00016A85" w:rsidRDefault="0046124F">
            <w:pPr>
              <w:jc w:val="right"/>
            </w:pPr>
            <w:r>
              <w:rPr>
                <w:color w:val="000000"/>
                <w:sz w:val="24"/>
              </w:rPr>
              <w:t>5.54</w:t>
            </w:r>
          </w:p>
        </w:tc>
      </w:tr>
      <w:tr w:rsidR="00016A85">
        <w:trPr>
          <w:jc w:val="center"/>
        </w:trPr>
        <w:tc>
          <w:tcPr>
            <w:tcW w:w="1075" w:type="dxa"/>
            <w:vAlign w:val="center"/>
          </w:tcPr>
          <w:p w:rsidR="00016A85" w:rsidRDefault="0046124F">
            <w:pPr>
              <w:jc w:val="center"/>
            </w:pPr>
            <w:r>
              <w:rPr>
                <w:color w:val="000000"/>
                <w:sz w:val="24"/>
              </w:rPr>
              <w:t>5</w:t>
            </w:r>
          </w:p>
        </w:tc>
        <w:tc>
          <w:tcPr>
            <w:tcW w:w="1533" w:type="dxa"/>
            <w:vAlign w:val="center"/>
          </w:tcPr>
          <w:p w:rsidR="00016A85" w:rsidRDefault="0046124F">
            <w:pPr>
              <w:jc w:val="center"/>
            </w:pPr>
            <w:r>
              <w:rPr>
                <w:color w:val="000000"/>
                <w:sz w:val="24"/>
              </w:rPr>
              <w:t>101662071</w:t>
            </w:r>
          </w:p>
        </w:tc>
        <w:tc>
          <w:tcPr>
            <w:tcW w:w="1533" w:type="dxa"/>
            <w:vAlign w:val="center"/>
          </w:tcPr>
          <w:p w:rsidR="00016A85" w:rsidRDefault="0046124F">
            <w:pPr>
              <w:jc w:val="center"/>
            </w:pPr>
            <w:r>
              <w:rPr>
                <w:color w:val="000000"/>
                <w:sz w:val="24"/>
              </w:rPr>
              <w:t>16</w:t>
            </w:r>
            <w:r>
              <w:rPr>
                <w:color w:val="000000"/>
                <w:sz w:val="24"/>
              </w:rPr>
              <w:t>南浦口</w:t>
            </w:r>
            <w:r>
              <w:rPr>
                <w:color w:val="000000"/>
                <w:sz w:val="24"/>
              </w:rPr>
              <w:t>MTN001</w:t>
            </w:r>
          </w:p>
        </w:tc>
        <w:tc>
          <w:tcPr>
            <w:tcW w:w="1394" w:type="dxa"/>
            <w:vAlign w:val="center"/>
          </w:tcPr>
          <w:p w:rsidR="00016A85" w:rsidRDefault="0046124F">
            <w:pPr>
              <w:jc w:val="right"/>
            </w:pPr>
            <w:r>
              <w:rPr>
                <w:color w:val="000000"/>
                <w:sz w:val="24"/>
              </w:rPr>
              <w:t>500,000</w:t>
            </w:r>
          </w:p>
        </w:tc>
        <w:tc>
          <w:tcPr>
            <w:tcW w:w="1944" w:type="dxa"/>
            <w:vAlign w:val="center"/>
          </w:tcPr>
          <w:p w:rsidR="00016A85" w:rsidRDefault="0046124F">
            <w:pPr>
              <w:jc w:val="right"/>
            </w:pPr>
            <w:r>
              <w:rPr>
                <w:color w:val="000000"/>
                <w:sz w:val="24"/>
              </w:rPr>
              <w:t>49,335,000.00</w:t>
            </w:r>
          </w:p>
        </w:tc>
        <w:tc>
          <w:tcPr>
            <w:tcW w:w="1389" w:type="dxa"/>
            <w:vAlign w:val="center"/>
          </w:tcPr>
          <w:p w:rsidR="00016A85" w:rsidRDefault="0046124F">
            <w:pPr>
              <w:jc w:val="right"/>
            </w:pPr>
            <w:r>
              <w:rPr>
                <w:color w:val="000000"/>
                <w:sz w:val="24"/>
              </w:rPr>
              <w:t>4.55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9D1859">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19,712,735.38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1,116,852.81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20,829,588.19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46124F" w:rsidP="007C14DF">
      <w:pPr>
        <w:autoSpaceDE w:val="0"/>
        <w:autoSpaceDN w:val="0"/>
        <w:adjustRightInd w:val="0"/>
        <w:spacing w:before="29" w:line="288" w:lineRule="auto"/>
        <w:jc w:val="left"/>
        <w:rPr>
          <w:rFonts w:eastAsiaTheme="minorEastAsia"/>
          <w:sz w:val="24"/>
        </w:rPr>
      </w:pPr>
      <w:r w:rsidRPr="0046124F">
        <w:rPr>
          <w:rFonts w:eastAsiaTheme="minorEastAsia" w:hint="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lastRenderedPageBreak/>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9D1859"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9D1859">
        <w:rPr>
          <w:rFonts w:eastAsiaTheme="minorEastAsia"/>
          <w:color w:val="000000" w:themeColor="text1"/>
          <w:kern w:val="0"/>
          <w:sz w:val="24"/>
          <w:szCs w:val="24"/>
        </w:rPr>
        <w:t>§6</w:t>
      </w:r>
      <w:r w:rsidRPr="009D1859">
        <w:rPr>
          <w:rFonts w:eastAsiaTheme="minorEastAsia" w:hint="eastAsia"/>
          <w:color w:val="000000" w:themeColor="text1"/>
          <w:kern w:val="0"/>
          <w:sz w:val="24"/>
          <w:szCs w:val="24"/>
        </w:rPr>
        <w:t xml:space="preserve">  </w:t>
      </w:r>
      <w:r w:rsidRPr="009D1859">
        <w:rPr>
          <w:rFonts w:eastAsiaTheme="minorEastAsia" w:hint="eastAsia"/>
          <w:color w:val="000000" w:themeColor="text1"/>
          <w:kern w:val="0"/>
          <w:sz w:val="24"/>
          <w:szCs w:val="24"/>
        </w:rPr>
        <w:t>基金中基金</w:t>
      </w:r>
    </w:p>
    <w:p w:rsidR="00C51B4E" w:rsidRPr="009D1859" w:rsidRDefault="00C51B4E" w:rsidP="00C51B4E">
      <w:pPr>
        <w:adjustRightInd w:val="0"/>
        <w:snapToGrid w:val="0"/>
        <w:spacing w:line="360" w:lineRule="auto"/>
        <w:rPr>
          <w:rFonts w:eastAsiaTheme="minorEastAsia"/>
          <w:b/>
          <w:color w:val="000000" w:themeColor="text1"/>
          <w:kern w:val="0"/>
          <w:sz w:val="24"/>
        </w:rPr>
      </w:pPr>
      <w:r w:rsidRPr="009D1859">
        <w:rPr>
          <w:rFonts w:eastAsiaTheme="minorEastAsia"/>
          <w:b/>
          <w:color w:val="000000" w:themeColor="text1"/>
          <w:kern w:val="0"/>
          <w:sz w:val="24"/>
        </w:rPr>
        <w:t>6.1</w:t>
      </w:r>
      <w:r w:rsidRPr="009D1859">
        <w:rPr>
          <w:rFonts w:eastAsiaTheme="minorEastAsia" w:hint="eastAsia"/>
          <w:b/>
          <w:color w:val="000000" w:themeColor="text1"/>
          <w:kern w:val="0"/>
          <w:sz w:val="24"/>
        </w:rPr>
        <w:t xml:space="preserve"> </w:t>
      </w:r>
      <w:r w:rsidRPr="009D1859">
        <w:rPr>
          <w:rFonts w:eastAsiaTheme="minorEastAsia" w:hint="eastAsia"/>
          <w:b/>
          <w:color w:val="000000" w:themeColor="text1"/>
          <w:kern w:val="0"/>
          <w:sz w:val="24"/>
        </w:rPr>
        <w:t>报告期末按公允价值占基金资产净值比例大小排序的前十名基金投资明细</w:t>
      </w:r>
    </w:p>
    <w:p w:rsidR="00C51B4E" w:rsidRPr="009D185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9D1859">
        <w:rPr>
          <w:rFonts w:eastAsiaTheme="minorEastAsia"/>
          <w:color w:val="000000" w:themeColor="text1"/>
          <w:sz w:val="24"/>
        </w:rPr>
        <w:t>本基金本报告期末未持有基金。</w:t>
      </w:r>
    </w:p>
    <w:p w:rsidR="00C51B4E" w:rsidRPr="009D1859" w:rsidRDefault="00C51B4E" w:rsidP="000A2988">
      <w:pPr>
        <w:adjustRightInd w:val="0"/>
        <w:snapToGrid w:val="0"/>
        <w:spacing w:beforeLines="50" w:before="156" w:line="360" w:lineRule="auto"/>
        <w:rPr>
          <w:rFonts w:eastAsiaTheme="minorEastAsia"/>
          <w:b/>
          <w:color w:val="000000" w:themeColor="text1"/>
          <w:kern w:val="0"/>
          <w:sz w:val="24"/>
        </w:rPr>
      </w:pPr>
      <w:r w:rsidRPr="009D1859">
        <w:rPr>
          <w:rFonts w:eastAsiaTheme="minorEastAsia"/>
          <w:b/>
          <w:color w:val="000000" w:themeColor="text1"/>
          <w:kern w:val="0"/>
          <w:sz w:val="24"/>
        </w:rPr>
        <w:t>6.2</w:t>
      </w:r>
      <w:r w:rsidRPr="009D1859">
        <w:rPr>
          <w:rFonts w:eastAsiaTheme="minorEastAsia" w:hint="eastAsia"/>
          <w:b/>
          <w:color w:val="000000" w:themeColor="text1"/>
          <w:kern w:val="0"/>
          <w:sz w:val="24"/>
        </w:rPr>
        <w:t xml:space="preserve"> </w:t>
      </w:r>
      <w:r w:rsidRPr="009D1859">
        <w:rPr>
          <w:rFonts w:eastAsiaTheme="minorEastAsia" w:hint="eastAsia"/>
          <w:b/>
          <w:color w:val="000000" w:themeColor="text1"/>
          <w:kern w:val="0"/>
          <w:sz w:val="24"/>
        </w:rPr>
        <w:t>当期交易及持有基金产生的费用</w:t>
      </w:r>
    </w:p>
    <w:p w:rsidR="00C51B4E" w:rsidRPr="009D185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9D1859">
        <w:rPr>
          <w:rFonts w:eastAsiaTheme="minorEastAsia"/>
          <w:color w:val="000000" w:themeColor="text1"/>
          <w:sz w:val="24"/>
        </w:rPr>
        <w:t>本基金本报告期内未交易或持有基金。</w:t>
      </w:r>
    </w:p>
    <w:p w:rsidR="00C51B4E" w:rsidRPr="009D1859" w:rsidRDefault="00C51B4E" w:rsidP="000A2988">
      <w:pPr>
        <w:adjustRightInd w:val="0"/>
        <w:snapToGrid w:val="0"/>
        <w:spacing w:beforeLines="50" w:before="156" w:line="360" w:lineRule="auto"/>
        <w:rPr>
          <w:rFonts w:eastAsiaTheme="minorEastAsia"/>
          <w:b/>
          <w:color w:val="000000" w:themeColor="text1"/>
          <w:kern w:val="0"/>
          <w:sz w:val="24"/>
        </w:rPr>
      </w:pPr>
      <w:r w:rsidRPr="009D1859">
        <w:rPr>
          <w:rFonts w:eastAsiaTheme="minorEastAsia"/>
          <w:b/>
          <w:color w:val="000000" w:themeColor="text1"/>
          <w:kern w:val="0"/>
          <w:sz w:val="24"/>
        </w:rPr>
        <w:t>6.3</w:t>
      </w:r>
      <w:r w:rsidRPr="009D1859">
        <w:rPr>
          <w:rFonts w:eastAsiaTheme="minorEastAsia" w:hint="eastAsia"/>
          <w:b/>
          <w:color w:val="000000" w:themeColor="text1"/>
          <w:kern w:val="0"/>
          <w:sz w:val="24"/>
        </w:rPr>
        <w:t xml:space="preserve"> </w:t>
      </w:r>
      <w:r w:rsidRPr="009D1859">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9D1859" w:rsidTr="00F103C8">
        <w:tc>
          <w:tcPr>
            <w:tcW w:w="9036" w:type="dxa"/>
          </w:tcPr>
          <w:p w:rsidR="00C51B4E" w:rsidRPr="009D185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9D1859">
              <w:rPr>
                <w:rFonts w:eastAsiaTheme="minorEastAsia" w:hint="eastAsia"/>
                <w:color w:val="000000" w:themeColor="text1"/>
                <w:sz w:val="24"/>
              </w:rPr>
              <w:t>无。</w:t>
            </w:r>
          </w:p>
        </w:tc>
      </w:tr>
    </w:tbl>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1,002,184,863.13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1,912,128.00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22,910,261.11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728,863.79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2,917,823.85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1,640,628.30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1,022,177,300.39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1,000,363.49</w:t>
            </w:r>
          </w:p>
        </w:tc>
      </w:tr>
    </w:tbl>
    <w:p w:rsidR="00016A85" w:rsidRDefault="0046124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9D1859" w:rsidRDefault="00ED0E09" w:rsidP="000A2988">
      <w:pPr>
        <w:pStyle w:val="1"/>
        <w:spacing w:beforeLines="100" w:before="312" w:afterLines="100" w:after="312" w:line="360" w:lineRule="auto"/>
        <w:jc w:val="center"/>
        <w:rPr>
          <w:rFonts w:eastAsiaTheme="minorEastAsia"/>
          <w:color w:val="000000" w:themeColor="text1"/>
          <w:kern w:val="0"/>
          <w:sz w:val="24"/>
          <w:szCs w:val="24"/>
        </w:rPr>
      </w:pPr>
      <w:r w:rsidRPr="009D1859">
        <w:rPr>
          <w:rFonts w:eastAsiaTheme="minorEastAsia"/>
          <w:color w:val="000000" w:themeColor="text1"/>
          <w:kern w:val="0"/>
          <w:sz w:val="24"/>
          <w:szCs w:val="24"/>
        </w:rPr>
        <w:t xml:space="preserve">§9 </w:t>
      </w:r>
      <w:r w:rsidR="00F139D5" w:rsidRPr="009D1859">
        <w:rPr>
          <w:rFonts w:eastAsiaTheme="minorEastAsia"/>
          <w:color w:val="000000" w:themeColor="text1"/>
          <w:kern w:val="0"/>
          <w:sz w:val="24"/>
          <w:szCs w:val="24"/>
        </w:rPr>
        <w:t xml:space="preserve"> </w:t>
      </w:r>
      <w:r w:rsidRPr="009D1859">
        <w:rPr>
          <w:rFonts w:eastAsiaTheme="minorEastAsia" w:hint="eastAsia"/>
          <w:color w:val="000000" w:themeColor="text1"/>
          <w:kern w:val="0"/>
          <w:sz w:val="24"/>
          <w:szCs w:val="24"/>
        </w:rPr>
        <w:t>影响投资者决策的其他重要信息</w:t>
      </w:r>
    </w:p>
    <w:p w:rsidR="00ED0E09" w:rsidRPr="009D1859" w:rsidRDefault="00ED0E09" w:rsidP="00ED0E09">
      <w:pPr>
        <w:autoSpaceDE w:val="0"/>
        <w:autoSpaceDN w:val="0"/>
        <w:adjustRightInd w:val="0"/>
        <w:spacing w:line="360" w:lineRule="auto"/>
        <w:jc w:val="left"/>
        <w:rPr>
          <w:rFonts w:ascii="宋体" w:hAnsi="宋体"/>
          <w:b/>
          <w:bCs/>
          <w:color w:val="000000"/>
          <w:kern w:val="0"/>
          <w:sz w:val="24"/>
        </w:rPr>
      </w:pPr>
      <w:r w:rsidRPr="009D1859">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16A85">
        <w:tc>
          <w:tcPr>
            <w:tcW w:w="992" w:type="dxa"/>
            <w:vMerge w:val="restart"/>
          </w:tcPr>
          <w:p w:rsidR="00016A85" w:rsidRDefault="00016A85"/>
          <w:p w:rsidR="00016A85" w:rsidRDefault="0046124F">
            <w:r>
              <w:rPr>
                <w:rFonts w:ascii="宋体" w:hAnsi="宋体" w:hint="eastAsia"/>
                <w:bCs/>
                <w:color w:val="000000"/>
                <w:kern w:val="0"/>
                <w:szCs w:val="21"/>
              </w:rPr>
              <w:t>机构</w:t>
            </w:r>
          </w:p>
        </w:tc>
        <w:tc>
          <w:tcPr>
            <w:tcW w:w="991" w:type="dxa"/>
            <w:vAlign w:val="center"/>
          </w:tcPr>
          <w:p w:rsidR="00016A85" w:rsidRDefault="0046124F">
            <w:pPr>
              <w:jc w:val="center"/>
            </w:pPr>
            <w:r>
              <w:rPr>
                <w:rFonts w:ascii="宋体" w:hAnsi="宋体" w:hint="eastAsia"/>
                <w:color w:val="000000"/>
                <w:kern w:val="0"/>
                <w:szCs w:val="21"/>
              </w:rPr>
              <w:t>1</w:t>
            </w:r>
          </w:p>
        </w:tc>
        <w:tc>
          <w:tcPr>
            <w:tcW w:w="1843" w:type="dxa"/>
            <w:vAlign w:val="center"/>
          </w:tcPr>
          <w:p w:rsidR="00016A85" w:rsidRDefault="0046124F">
            <w:pPr>
              <w:jc w:val="center"/>
            </w:pPr>
            <w:r>
              <w:rPr>
                <w:rFonts w:ascii="宋体" w:hAnsi="宋体" w:hint="eastAsia"/>
                <w:color w:val="000000"/>
                <w:kern w:val="0"/>
                <w:szCs w:val="21"/>
              </w:rPr>
              <w:t>2019/1/1-2019/3/31</w:t>
            </w:r>
          </w:p>
        </w:tc>
        <w:tc>
          <w:tcPr>
            <w:tcW w:w="851" w:type="dxa"/>
            <w:vAlign w:val="center"/>
          </w:tcPr>
          <w:p w:rsidR="00016A85" w:rsidRDefault="0046124F">
            <w:pPr>
              <w:jc w:val="center"/>
            </w:pPr>
            <w:r>
              <w:rPr>
                <w:rFonts w:ascii="宋体" w:hAnsi="宋体" w:hint="eastAsia"/>
                <w:color w:val="000000"/>
                <w:kern w:val="0"/>
                <w:szCs w:val="21"/>
              </w:rPr>
              <w:t>996,820,252.99</w:t>
            </w:r>
          </w:p>
        </w:tc>
        <w:tc>
          <w:tcPr>
            <w:tcW w:w="850" w:type="dxa"/>
            <w:vAlign w:val="center"/>
          </w:tcPr>
          <w:p w:rsidR="00016A85" w:rsidRDefault="0046124F">
            <w:pPr>
              <w:jc w:val="center"/>
            </w:pPr>
            <w:r>
              <w:rPr>
                <w:rFonts w:ascii="宋体" w:hAnsi="宋体" w:hint="eastAsia"/>
                <w:color w:val="000000"/>
                <w:kern w:val="0"/>
                <w:szCs w:val="21"/>
              </w:rPr>
              <w:t>-</w:t>
            </w:r>
          </w:p>
        </w:tc>
        <w:tc>
          <w:tcPr>
            <w:tcW w:w="1134" w:type="dxa"/>
            <w:vAlign w:val="center"/>
          </w:tcPr>
          <w:p w:rsidR="00016A85" w:rsidRDefault="0046124F">
            <w:pPr>
              <w:jc w:val="center"/>
            </w:pPr>
            <w:r>
              <w:rPr>
                <w:rFonts w:ascii="宋体" w:hAnsi="宋体" w:hint="eastAsia"/>
                <w:color w:val="000000"/>
                <w:kern w:val="0"/>
                <w:szCs w:val="21"/>
              </w:rPr>
              <w:t>-</w:t>
            </w:r>
          </w:p>
        </w:tc>
        <w:tc>
          <w:tcPr>
            <w:tcW w:w="1419" w:type="dxa"/>
            <w:vAlign w:val="center"/>
          </w:tcPr>
          <w:p w:rsidR="00016A85" w:rsidRDefault="0046124F">
            <w:pPr>
              <w:jc w:val="center"/>
            </w:pPr>
            <w:r>
              <w:rPr>
                <w:rFonts w:ascii="宋体" w:hAnsi="宋体" w:hint="eastAsia"/>
                <w:color w:val="000000"/>
                <w:kern w:val="0"/>
                <w:szCs w:val="21"/>
              </w:rPr>
              <w:t>996,820,252.99</w:t>
            </w:r>
          </w:p>
        </w:tc>
        <w:tc>
          <w:tcPr>
            <w:tcW w:w="1130" w:type="dxa"/>
            <w:vAlign w:val="center"/>
          </w:tcPr>
          <w:p w:rsidR="00016A85" w:rsidRDefault="0046124F">
            <w:pPr>
              <w:jc w:val="center"/>
            </w:pPr>
            <w:r>
              <w:rPr>
                <w:rFonts w:ascii="宋体" w:hAnsi="宋体" w:hint="eastAsia"/>
                <w:color w:val="000000"/>
                <w:kern w:val="0"/>
                <w:szCs w:val="21"/>
              </w:rPr>
              <w:t>97.42%</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016A85" w:rsidRDefault="0046124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w:t>
      </w:r>
      <w:r w:rsidRPr="007F52FA">
        <w:rPr>
          <w:rFonts w:eastAsiaTheme="minorEastAsia"/>
          <w:color w:val="000000"/>
          <w:sz w:val="24"/>
        </w:rPr>
        <w:lastRenderedPageBreak/>
        <w:t>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F7C" w:rsidRDefault="00952F7C">
      <w:r>
        <w:separator/>
      </w:r>
    </w:p>
  </w:endnote>
  <w:endnote w:type="continuationSeparator" w:id="0">
    <w:p w:rsidR="00952F7C" w:rsidRDefault="0095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E4A7B">
      <w:rPr>
        <w:noProof/>
        <w:kern w:val="0"/>
        <w:szCs w:val="21"/>
      </w:rPr>
      <w:t>14</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7E4A7B">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F7C" w:rsidRDefault="00952F7C">
      <w:r>
        <w:separator/>
      </w:r>
    </w:p>
  </w:footnote>
  <w:footnote w:type="continuationSeparator" w:id="0">
    <w:p w:rsidR="00952F7C" w:rsidRDefault="00952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w:t>
    </w:r>
    <w:proofErr w:type="gramStart"/>
    <w:r w:rsidRPr="00D3445F">
      <w:rPr>
        <w:rFonts w:eastAsiaTheme="minorEastAsia"/>
        <w:sz w:val="24"/>
      </w:rPr>
      <w:t>裕盈纯债</w:t>
    </w:r>
    <w:proofErr w:type="gramEnd"/>
    <w:r w:rsidRPr="00D3445F">
      <w:rPr>
        <w:rFonts w:eastAsiaTheme="minorEastAsia"/>
        <w:sz w:val="24"/>
      </w:rPr>
      <w:t>债券型证券投资基金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16A85"/>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124F"/>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4A7B"/>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2F7C"/>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1859"/>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5E9E"/>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BC002B2-5F45-44CF-A8B7-8D9F51BA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3FE3C-93A3-4819-8EDE-B00A29AD1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210</TotalTime>
  <Pages>1</Pages>
  <Words>1134</Words>
  <Characters>6468</Characters>
  <Application>Microsoft Office Word</Application>
  <DocSecurity>0</DocSecurity>
  <Lines>53</Lines>
  <Paragraphs>15</Paragraphs>
  <ScaleCrop>false</ScaleCrop>
  <Company>TRT. Ltd. Co.</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381</cp:revision>
  <cp:lastPrinted>2007-07-19T00:46:00Z</cp:lastPrinted>
  <dcterms:created xsi:type="dcterms:W3CDTF">2014-01-17T06:19:00Z</dcterms:created>
  <dcterms:modified xsi:type="dcterms:W3CDTF">2019-04-17T09:11:00Z</dcterms:modified>
</cp:coreProperties>
</file>