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16A37" w:rsidRDefault="00DC4F7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16A37" w:rsidRDefault="00DC4F78">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16A37" w:rsidRDefault="00DC4F7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16A37" w:rsidRDefault="00DC4F78">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016A37" w:rsidRDefault="00DC4F78">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2,630,539,918.15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C4F78" w:rsidRPr="00414345" w:rsidTr="00DC4F7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DC4F78" w:rsidRPr="00414345" w:rsidTr="00DC4F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121,361,459.68</w:t>
            </w:r>
          </w:p>
        </w:tc>
      </w:tr>
      <w:tr w:rsidR="00DC4F78" w:rsidRPr="00414345" w:rsidTr="00DC4F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674,373,726.36</w:t>
            </w:r>
          </w:p>
        </w:tc>
      </w:tr>
      <w:tr w:rsidR="00DC4F78" w:rsidRPr="00414345" w:rsidTr="00DC4F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0.2471</w:t>
            </w:r>
          </w:p>
        </w:tc>
      </w:tr>
      <w:tr w:rsidR="00DC4F78" w:rsidRPr="00414345" w:rsidTr="00DC4F7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3,586,400,791.49</w:t>
            </w:r>
          </w:p>
        </w:tc>
      </w:tr>
      <w:tr w:rsidR="00DC4F78" w:rsidRPr="00414345" w:rsidTr="00DC4F7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1.3634</w:t>
            </w:r>
          </w:p>
        </w:tc>
      </w:tr>
    </w:tbl>
    <w:p w:rsidR="00016A37" w:rsidRDefault="00DC4F7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16A37">
        <w:trPr>
          <w:jc w:val="center"/>
        </w:trPr>
        <w:tc>
          <w:tcPr>
            <w:tcW w:w="1701" w:type="dxa"/>
            <w:vAlign w:val="center"/>
          </w:tcPr>
          <w:p w:rsidR="00016A37" w:rsidRDefault="00DC4F78">
            <w:pPr>
              <w:jc w:val="left"/>
            </w:pPr>
            <w:r>
              <w:rPr>
                <w:color w:val="000000"/>
                <w:sz w:val="24"/>
                <w:szCs w:val="24"/>
              </w:rPr>
              <w:t>过去三个月</w:t>
            </w:r>
          </w:p>
        </w:tc>
        <w:tc>
          <w:tcPr>
            <w:tcW w:w="1045" w:type="dxa"/>
            <w:vAlign w:val="center"/>
          </w:tcPr>
          <w:p w:rsidR="00016A37" w:rsidRDefault="00DC4F78">
            <w:pPr>
              <w:jc w:val="center"/>
            </w:pPr>
            <w:r>
              <w:rPr>
                <w:color w:val="000000"/>
                <w:sz w:val="24"/>
                <w:szCs w:val="24"/>
              </w:rPr>
              <w:t>22.06%</w:t>
            </w:r>
          </w:p>
        </w:tc>
        <w:tc>
          <w:tcPr>
            <w:tcW w:w="1344" w:type="dxa"/>
            <w:vAlign w:val="center"/>
          </w:tcPr>
          <w:p w:rsidR="00016A37" w:rsidRDefault="00DC4F78">
            <w:pPr>
              <w:jc w:val="center"/>
            </w:pPr>
            <w:r>
              <w:rPr>
                <w:color w:val="000000"/>
                <w:sz w:val="24"/>
                <w:szCs w:val="24"/>
              </w:rPr>
              <w:t>1.16%</w:t>
            </w:r>
          </w:p>
        </w:tc>
        <w:tc>
          <w:tcPr>
            <w:tcW w:w="1194" w:type="dxa"/>
            <w:vAlign w:val="center"/>
          </w:tcPr>
          <w:p w:rsidR="00016A37" w:rsidRDefault="00DC4F78">
            <w:pPr>
              <w:jc w:val="center"/>
            </w:pPr>
            <w:r>
              <w:rPr>
                <w:color w:val="000000"/>
                <w:sz w:val="24"/>
                <w:szCs w:val="24"/>
              </w:rPr>
              <w:t>19.45%</w:t>
            </w:r>
          </w:p>
        </w:tc>
        <w:tc>
          <w:tcPr>
            <w:tcW w:w="1492" w:type="dxa"/>
            <w:vAlign w:val="center"/>
          </w:tcPr>
          <w:p w:rsidR="00016A37" w:rsidRDefault="00DC4F78">
            <w:pPr>
              <w:jc w:val="center"/>
            </w:pPr>
            <w:r>
              <w:rPr>
                <w:color w:val="000000"/>
                <w:sz w:val="24"/>
                <w:szCs w:val="24"/>
              </w:rPr>
              <w:t>0.99%</w:t>
            </w:r>
          </w:p>
        </w:tc>
        <w:tc>
          <w:tcPr>
            <w:tcW w:w="1194" w:type="dxa"/>
            <w:vAlign w:val="center"/>
          </w:tcPr>
          <w:p w:rsidR="00016A37" w:rsidRDefault="00DC4F78">
            <w:pPr>
              <w:jc w:val="center"/>
            </w:pPr>
            <w:r>
              <w:rPr>
                <w:color w:val="000000"/>
                <w:sz w:val="24"/>
                <w:szCs w:val="24"/>
              </w:rPr>
              <w:t>2.61%</w:t>
            </w:r>
          </w:p>
        </w:tc>
        <w:tc>
          <w:tcPr>
            <w:tcW w:w="898" w:type="dxa"/>
            <w:vAlign w:val="center"/>
          </w:tcPr>
          <w:p w:rsidR="00016A37" w:rsidRDefault="00DC4F78">
            <w:pPr>
              <w:jc w:val="center"/>
            </w:pPr>
            <w:r>
              <w:rPr>
                <w:color w:val="000000"/>
                <w:sz w:val="24"/>
                <w:szCs w:val="24"/>
              </w:rPr>
              <w:t>0.17%</w:t>
            </w:r>
          </w:p>
        </w:tc>
      </w:tr>
    </w:tbl>
    <w:p w:rsidR="00016A37" w:rsidRDefault="00DC4F7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、本基金业绩比较基准自</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1</w:t>
      </w:r>
      <w:r>
        <w:rPr>
          <w:color w:val="000000"/>
          <w:sz w:val="24"/>
          <w:szCs w:val="24"/>
        </w:rPr>
        <w:t>日起，由</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新华巴克莱资本中国全债指数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w:t>
      </w:r>
      <w:r>
        <w:rPr>
          <w:color w:val="000000"/>
          <w:sz w:val="24"/>
          <w:szCs w:val="24"/>
        </w:rPr>
        <w:t>3.2.2</w:t>
      </w:r>
      <w:r>
        <w:rPr>
          <w:color w:val="000000"/>
          <w:sz w:val="24"/>
          <w:szCs w:val="24"/>
        </w:rPr>
        <w:t>同。详情见本基金管理人于</w:t>
      </w:r>
      <w:r>
        <w:rPr>
          <w:color w:val="000000"/>
          <w:sz w:val="24"/>
          <w:szCs w:val="24"/>
        </w:rPr>
        <w:t>2013</w:t>
      </w:r>
      <w:r>
        <w:rPr>
          <w:color w:val="000000"/>
          <w:sz w:val="24"/>
          <w:szCs w:val="24"/>
        </w:rPr>
        <w:t>年</w:t>
      </w:r>
      <w:r>
        <w:rPr>
          <w:color w:val="000000"/>
          <w:sz w:val="24"/>
          <w:szCs w:val="24"/>
        </w:rPr>
        <w:t>6</w:t>
      </w:r>
      <w:r>
        <w:rPr>
          <w:color w:val="000000"/>
          <w:sz w:val="24"/>
          <w:szCs w:val="24"/>
        </w:rPr>
        <w:t>月</w:t>
      </w:r>
      <w:r>
        <w:rPr>
          <w:color w:val="000000"/>
          <w:sz w:val="24"/>
          <w:szCs w:val="24"/>
        </w:rPr>
        <w:t>26</w:t>
      </w:r>
      <w:r>
        <w:rPr>
          <w:color w:val="000000"/>
          <w:sz w:val="24"/>
          <w:szCs w:val="24"/>
        </w:rPr>
        <w:t>日发布的《交银施罗德基金管理有限公司关于变更交银施罗德稳健配置混合型证券投资基金业绩比较基准并修改基金合同相关内容的公告》。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16A37">
        <w:trPr>
          <w:jc w:val="center"/>
        </w:trPr>
        <w:tc>
          <w:tcPr>
            <w:tcW w:w="846" w:type="dxa"/>
            <w:vAlign w:val="center"/>
          </w:tcPr>
          <w:p w:rsidR="00016A37" w:rsidRDefault="00DC4F78">
            <w:pPr>
              <w:jc w:val="center"/>
            </w:pPr>
            <w:r>
              <w:rPr>
                <w:color w:val="000000"/>
                <w:sz w:val="24"/>
                <w:szCs w:val="24"/>
              </w:rPr>
              <w:t>陈孜铎</w:t>
            </w:r>
          </w:p>
        </w:tc>
        <w:tc>
          <w:tcPr>
            <w:tcW w:w="845" w:type="dxa"/>
            <w:vAlign w:val="center"/>
          </w:tcPr>
          <w:p w:rsidR="00016A37" w:rsidRDefault="00DC4F78">
            <w:pPr>
              <w:jc w:val="center"/>
            </w:pPr>
            <w:r>
              <w:rPr>
                <w:color w:val="000000"/>
                <w:sz w:val="24"/>
                <w:szCs w:val="24"/>
              </w:rPr>
              <w:t>交银稳健配置混合的基金经理，公</w:t>
            </w:r>
            <w:r>
              <w:rPr>
                <w:color w:val="000000"/>
                <w:sz w:val="24"/>
                <w:szCs w:val="24"/>
              </w:rPr>
              <w:lastRenderedPageBreak/>
              <w:t>司研究部助理总经理</w:t>
            </w:r>
          </w:p>
        </w:tc>
        <w:tc>
          <w:tcPr>
            <w:tcW w:w="1549" w:type="dxa"/>
            <w:vAlign w:val="center"/>
          </w:tcPr>
          <w:p w:rsidR="00016A37" w:rsidRDefault="00DC4F78">
            <w:pPr>
              <w:jc w:val="center"/>
            </w:pPr>
            <w:r>
              <w:rPr>
                <w:color w:val="000000"/>
                <w:sz w:val="24"/>
                <w:szCs w:val="24"/>
              </w:rPr>
              <w:lastRenderedPageBreak/>
              <w:t>2018-07-04</w:t>
            </w:r>
          </w:p>
        </w:tc>
        <w:tc>
          <w:tcPr>
            <w:tcW w:w="1548" w:type="dxa"/>
            <w:vAlign w:val="center"/>
          </w:tcPr>
          <w:p w:rsidR="00016A37" w:rsidRDefault="00DC4F78">
            <w:pPr>
              <w:jc w:val="center"/>
            </w:pPr>
            <w:r>
              <w:rPr>
                <w:color w:val="000000"/>
                <w:sz w:val="24"/>
                <w:szCs w:val="24"/>
              </w:rPr>
              <w:t>-</w:t>
            </w:r>
          </w:p>
        </w:tc>
        <w:tc>
          <w:tcPr>
            <w:tcW w:w="1407" w:type="dxa"/>
            <w:vAlign w:val="center"/>
          </w:tcPr>
          <w:p w:rsidR="00016A37" w:rsidRDefault="00DC4F78">
            <w:pPr>
              <w:jc w:val="center"/>
            </w:pPr>
            <w:r>
              <w:rPr>
                <w:color w:val="000000"/>
                <w:sz w:val="24"/>
                <w:szCs w:val="24"/>
              </w:rPr>
              <w:t>11</w:t>
            </w:r>
            <w:r>
              <w:rPr>
                <w:color w:val="000000"/>
                <w:sz w:val="24"/>
                <w:szCs w:val="24"/>
              </w:rPr>
              <w:t>年</w:t>
            </w:r>
          </w:p>
        </w:tc>
        <w:tc>
          <w:tcPr>
            <w:tcW w:w="2673" w:type="dxa"/>
            <w:vAlign w:val="center"/>
          </w:tcPr>
          <w:p w:rsidR="00016A37" w:rsidRDefault="00DC4F78">
            <w:r>
              <w:rPr>
                <w:color w:val="000000"/>
                <w:sz w:val="24"/>
                <w:szCs w:val="24"/>
              </w:rPr>
              <w:t>陈孜铎先生，清华大学材料科学与工程硕士。</w:t>
            </w:r>
            <w:r>
              <w:rPr>
                <w:color w:val="000000"/>
                <w:sz w:val="24"/>
                <w:szCs w:val="24"/>
              </w:rPr>
              <w:t>2008</w:t>
            </w:r>
            <w:r>
              <w:rPr>
                <w:color w:val="000000"/>
                <w:sz w:val="24"/>
                <w:szCs w:val="24"/>
              </w:rPr>
              <w:t>年加入交银施罗德基金管理有限公司，历任行业分析师、高级研究员。</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22</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28</w:t>
            </w:r>
            <w:r>
              <w:rPr>
                <w:color w:val="000000"/>
                <w:sz w:val="24"/>
                <w:szCs w:val="24"/>
              </w:rPr>
              <w:t>日</w:t>
            </w:r>
            <w:r>
              <w:rPr>
                <w:color w:val="000000"/>
                <w:sz w:val="24"/>
                <w:szCs w:val="24"/>
              </w:rPr>
              <w:lastRenderedPageBreak/>
              <w:t>担任交银施罗德蓝筹混合型证券投资基金的基金经理。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16A37" w:rsidRDefault="00DC4F78">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16A37" w:rsidRDefault="00DC4F7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16A37" w:rsidRDefault="00DC4F7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016A37" w:rsidRDefault="00DC4F78">
      <w:pPr>
        <w:spacing w:before="29" w:line="288" w:lineRule="auto"/>
        <w:ind w:firstLineChars="200" w:firstLine="480"/>
        <w:rPr>
          <w:color w:val="000000"/>
          <w:sz w:val="24"/>
          <w:szCs w:val="24"/>
        </w:rPr>
      </w:pPr>
      <w:r>
        <w:rPr>
          <w:color w:val="000000"/>
          <w:sz w:val="24"/>
          <w:szCs w:val="24"/>
        </w:rPr>
        <w:t>2019</w:t>
      </w:r>
      <w:r>
        <w:rPr>
          <w:color w:val="000000"/>
          <w:sz w:val="24"/>
          <w:szCs w:val="24"/>
        </w:rPr>
        <w:t>年一季度整个</w:t>
      </w:r>
      <w:r>
        <w:rPr>
          <w:color w:val="000000"/>
          <w:sz w:val="24"/>
          <w:szCs w:val="24"/>
        </w:rPr>
        <w:t>A</w:t>
      </w:r>
      <w:r>
        <w:rPr>
          <w:color w:val="000000"/>
          <w:sz w:val="24"/>
          <w:szCs w:val="24"/>
        </w:rPr>
        <w:t>股市场呈现估值推升大幅单边上涨表现，各指数均录得相当幅度正收益。市场快速上涨最主要的因素是系统性风险发生概率降低的一致预期判断形成，受贸易摩擦预期改善以及国内整体流动性边际改善影响，整体</w:t>
      </w:r>
      <w:r>
        <w:rPr>
          <w:color w:val="000000"/>
          <w:sz w:val="24"/>
          <w:szCs w:val="24"/>
        </w:rPr>
        <w:t>A</w:t>
      </w:r>
      <w:r>
        <w:rPr>
          <w:color w:val="000000"/>
          <w:sz w:val="24"/>
          <w:szCs w:val="24"/>
        </w:rPr>
        <w:t>股市场在经历</w:t>
      </w:r>
      <w:r>
        <w:rPr>
          <w:color w:val="000000"/>
          <w:sz w:val="24"/>
          <w:szCs w:val="24"/>
        </w:rPr>
        <w:t>2018</w:t>
      </w:r>
      <w:r>
        <w:rPr>
          <w:color w:val="000000"/>
          <w:sz w:val="24"/>
          <w:szCs w:val="24"/>
        </w:rPr>
        <w:t>年大幅下跌之后，估值快速修复，同时风险偏好快速提升。在没有国际贸易摩擦超预期恶化的前提下，市场预期在当前政策组合下</w:t>
      </w:r>
      <w:r>
        <w:rPr>
          <w:color w:val="000000"/>
          <w:sz w:val="24"/>
          <w:szCs w:val="24"/>
        </w:rPr>
        <w:t>2019</w:t>
      </w:r>
      <w:r>
        <w:rPr>
          <w:color w:val="000000"/>
          <w:sz w:val="24"/>
          <w:szCs w:val="24"/>
        </w:rPr>
        <w:t>年国内宏观经济将稳住见底，企业盈利增速下降最快的阶段将在</w:t>
      </w:r>
      <w:r>
        <w:rPr>
          <w:color w:val="000000"/>
          <w:sz w:val="24"/>
          <w:szCs w:val="24"/>
        </w:rPr>
        <w:t>2019</w:t>
      </w:r>
      <w:r>
        <w:rPr>
          <w:color w:val="000000"/>
          <w:sz w:val="24"/>
          <w:szCs w:val="24"/>
        </w:rPr>
        <w:t>年看到。</w:t>
      </w:r>
    </w:p>
    <w:p w:rsidR="00016A37" w:rsidRDefault="00DC4F78">
      <w:pPr>
        <w:spacing w:before="29" w:line="288" w:lineRule="auto"/>
        <w:ind w:firstLineChars="200" w:firstLine="480"/>
        <w:rPr>
          <w:color w:val="000000"/>
          <w:sz w:val="24"/>
          <w:szCs w:val="24"/>
        </w:rPr>
      </w:pPr>
      <w:r>
        <w:rPr>
          <w:color w:val="000000"/>
          <w:sz w:val="24"/>
          <w:szCs w:val="24"/>
        </w:rPr>
        <w:t>在上述市场环境中，本基金取得一定幅度正收益，在市场快速上升阶段没有快速大幅提升组合的风险偏好与仓位，短期表现弱于指数表现。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进入</w:t>
      </w:r>
      <w:r w:rsidRPr="00414345">
        <w:rPr>
          <w:color w:val="000000"/>
          <w:sz w:val="24"/>
          <w:szCs w:val="24"/>
        </w:rPr>
        <w:t>2018</w:t>
      </w:r>
      <w:r w:rsidRPr="00414345">
        <w:rPr>
          <w:color w:val="000000"/>
          <w:sz w:val="24"/>
          <w:szCs w:val="24"/>
        </w:rPr>
        <w:t>年下半年之后，国内经济政策重心从去杠杆转移到应对国际环境风险的国内政策对冲，流动性环境边际转好，基建投资触底回升，整体政策托底的同时注重经济结构转变，</w:t>
      </w:r>
      <w:r w:rsidRPr="00414345">
        <w:rPr>
          <w:color w:val="000000"/>
          <w:sz w:val="24"/>
          <w:szCs w:val="24"/>
        </w:rPr>
        <w:t>2019</w:t>
      </w:r>
      <w:r w:rsidRPr="00414345">
        <w:rPr>
          <w:color w:val="000000"/>
          <w:sz w:val="24"/>
          <w:szCs w:val="24"/>
        </w:rPr>
        <w:t>年一季度的流动性和投资数据进一步验证了这个方向。从历史规律来看，在没有外部黑天鹅的冲击下，流动性与投资拉动对冲经济下行、稳住经济增长都会较快实现，产业转型与经济结构调整往往不是一蹴而就能够完成的。从目前国内外的经济环境和周期位置来看，产业周期没有启动迹象，整体市场基本面持续上行的逻辑不够清晰。在</w:t>
      </w:r>
      <w:r w:rsidRPr="00414345">
        <w:rPr>
          <w:color w:val="000000"/>
          <w:sz w:val="24"/>
          <w:szCs w:val="24"/>
        </w:rPr>
        <w:t>2019</w:t>
      </w:r>
      <w:r w:rsidRPr="00414345">
        <w:rPr>
          <w:color w:val="000000"/>
          <w:sz w:val="24"/>
          <w:szCs w:val="24"/>
        </w:rPr>
        <w:t>年一季度市场的快速修复之后，我们倾向于认为整体市场全面性快速大幅上涨的动力有限，见底预期充分反应之后什么是基本面持续上行的坚实基础更为重要。在当前市场环境下，本基金将更为关注传统行业中在周期波动中竞争优势凸显价值被低估、行业地位突出的公司，在转型过程中更关注长期前景的中微观路径日渐明晰的公司，积极寻找投资机会，力求持续稳健均衡的创造绝对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2,599,500,547.44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2,599,500,547.44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71.19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177,712,988.12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177,712,988.12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4.87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649,756,884.88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17.79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201,804,227.36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5.53</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22,666,504.60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3,651,441,152.40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4,550,000.00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766,456,737.00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248,674,142.68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234,954,343.76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6.55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120,910,000.00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260,786,856.52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156,618.54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514,935,000.00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62,512,151.10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385,564,697.84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2,599,500,547.44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72.48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16A37">
        <w:trPr>
          <w:jc w:val="center"/>
        </w:trPr>
        <w:tc>
          <w:tcPr>
            <w:tcW w:w="855" w:type="dxa"/>
            <w:vAlign w:val="center"/>
          </w:tcPr>
          <w:p w:rsidR="00016A37" w:rsidRDefault="00DC4F78">
            <w:pPr>
              <w:jc w:val="center"/>
            </w:pPr>
            <w:r>
              <w:rPr>
                <w:color w:val="000000"/>
                <w:sz w:val="24"/>
                <w:szCs w:val="24"/>
              </w:rPr>
              <w:t>1</w:t>
            </w:r>
          </w:p>
        </w:tc>
        <w:tc>
          <w:tcPr>
            <w:tcW w:w="1334" w:type="dxa"/>
            <w:vAlign w:val="center"/>
          </w:tcPr>
          <w:p w:rsidR="00016A37" w:rsidRDefault="00DC4F78">
            <w:pPr>
              <w:jc w:val="center"/>
            </w:pPr>
            <w:r>
              <w:rPr>
                <w:color w:val="000000"/>
                <w:sz w:val="24"/>
                <w:szCs w:val="24"/>
              </w:rPr>
              <w:t>300413</w:t>
            </w:r>
          </w:p>
        </w:tc>
        <w:tc>
          <w:tcPr>
            <w:tcW w:w="1777" w:type="dxa"/>
            <w:vAlign w:val="center"/>
          </w:tcPr>
          <w:p w:rsidR="00016A37" w:rsidRDefault="00DC4F78">
            <w:pPr>
              <w:jc w:val="center"/>
            </w:pPr>
            <w:r>
              <w:rPr>
                <w:color w:val="000000"/>
                <w:sz w:val="24"/>
                <w:szCs w:val="24"/>
              </w:rPr>
              <w:t>芒果超媒</w:t>
            </w:r>
          </w:p>
        </w:tc>
        <w:tc>
          <w:tcPr>
            <w:tcW w:w="1334" w:type="dxa"/>
            <w:vAlign w:val="center"/>
          </w:tcPr>
          <w:p w:rsidR="00016A37" w:rsidRDefault="00DC4F78">
            <w:pPr>
              <w:jc w:val="right"/>
            </w:pPr>
            <w:r>
              <w:rPr>
                <w:color w:val="000000"/>
                <w:sz w:val="24"/>
                <w:szCs w:val="24"/>
              </w:rPr>
              <w:t>6,003,326</w:t>
            </w:r>
          </w:p>
        </w:tc>
        <w:tc>
          <w:tcPr>
            <w:tcW w:w="1924" w:type="dxa"/>
            <w:vAlign w:val="center"/>
          </w:tcPr>
          <w:p w:rsidR="00016A37" w:rsidRDefault="00DC4F78">
            <w:pPr>
              <w:jc w:val="right"/>
            </w:pPr>
            <w:r>
              <w:rPr>
                <w:color w:val="000000"/>
                <w:sz w:val="24"/>
                <w:szCs w:val="24"/>
              </w:rPr>
              <w:t>265,947,341.80</w:t>
            </w:r>
          </w:p>
        </w:tc>
        <w:tc>
          <w:tcPr>
            <w:tcW w:w="1644" w:type="dxa"/>
            <w:vAlign w:val="center"/>
          </w:tcPr>
          <w:p w:rsidR="00016A37" w:rsidRDefault="00DC4F78">
            <w:pPr>
              <w:jc w:val="right"/>
            </w:pPr>
            <w:r>
              <w:rPr>
                <w:color w:val="000000"/>
                <w:sz w:val="24"/>
                <w:szCs w:val="24"/>
              </w:rPr>
              <w:t>7.42</w:t>
            </w:r>
          </w:p>
        </w:tc>
      </w:tr>
      <w:tr w:rsidR="00016A37">
        <w:trPr>
          <w:jc w:val="center"/>
        </w:trPr>
        <w:tc>
          <w:tcPr>
            <w:tcW w:w="855" w:type="dxa"/>
            <w:vAlign w:val="center"/>
          </w:tcPr>
          <w:p w:rsidR="00016A37" w:rsidRDefault="00DC4F78">
            <w:pPr>
              <w:jc w:val="center"/>
            </w:pPr>
            <w:r>
              <w:rPr>
                <w:color w:val="000000"/>
                <w:sz w:val="24"/>
                <w:szCs w:val="24"/>
              </w:rPr>
              <w:t>2</w:t>
            </w:r>
          </w:p>
        </w:tc>
        <w:tc>
          <w:tcPr>
            <w:tcW w:w="1334" w:type="dxa"/>
            <w:vAlign w:val="center"/>
          </w:tcPr>
          <w:p w:rsidR="00016A37" w:rsidRDefault="00DC4F78">
            <w:pPr>
              <w:jc w:val="center"/>
            </w:pPr>
            <w:r>
              <w:rPr>
                <w:color w:val="000000"/>
                <w:sz w:val="24"/>
                <w:szCs w:val="24"/>
              </w:rPr>
              <w:t>600048</w:t>
            </w:r>
          </w:p>
        </w:tc>
        <w:tc>
          <w:tcPr>
            <w:tcW w:w="1777" w:type="dxa"/>
            <w:vAlign w:val="center"/>
          </w:tcPr>
          <w:p w:rsidR="00016A37" w:rsidRDefault="00DC4F78">
            <w:pPr>
              <w:jc w:val="center"/>
            </w:pPr>
            <w:r>
              <w:rPr>
                <w:color w:val="000000"/>
                <w:sz w:val="24"/>
                <w:szCs w:val="24"/>
              </w:rPr>
              <w:t>保利地产</w:t>
            </w:r>
          </w:p>
        </w:tc>
        <w:tc>
          <w:tcPr>
            <w:tcW w:w="1334" w:type="dxa"/>
            <w:vAlign w:val="center"/>
          </w:tcPr>
          <w:p w:rsidR="00016A37" w:rsidRDefault="00DC4F78">
            <w:pPr>
              <w:jc w:val="right"/>
            </w:pPr>
            <w:r>
              <w:rPr>
                <w:color w:val="000000"/>
                <w:sz w:val="24"/>
                <w:szCs w:val="24"/>
              </w:rPr>
              <w:t>14,000,000</w:t>
            </w:r>
          </w:p>
        </w:tc>
        <w:tc>
          <w:tcPr>
            <w:tcW w:w="1924" w:type="dxa"/>
            <w:vAlign w:val="center"/>
          </w:tcPr>
          <w:p w:rsidR="00016A37" w:rsidRDefault="00DC4F78">
            <w:pPr>
              <w:jc w:val="right"/>
            </w:pPr>
            <w:r>
              <w:rPr>
                <w:color w:val="000000"/>
                <w:sz w:val="24"/>
                <w:szCs w:val="24"/>
              </w:rPr>
              <w:t>199,360,000.00</w:t>
            </w:r>
          </w:p>
        </w:tc>
        <w:tc>
          <w:tcPr>
            <w:tcW w:w="1644" w:type="dxa"/>
            <w:vAlign w:val="center"/>
          </w:tcPr>
          <w:p w:rsidR="00016A37" w:rsidRDefault="00DC4F78">
            <w:pPr>
              <w:jc w:val="right"/>
            </w:pPr>
            <w:r>
              <w:rPr>
                <w:color w:val="000000"/>
                <w:sz w:val="24"/>
                <w:szCs w:val="24"/>
              </w:rPr>
              <w:t>5.56</w:t>
            </w:r>
          </w:p>
        </w:tc>
      </w:tr>
      <w:tr w:rsidR="00016A37">
        <w:trPr>
          <w:jc w:val="center"/>
        </w:trPr>
        <w:tc>
          <w:tcPr>
            <w:tcW w:w="855" w:type="dxa"/>
            <w:vAlign w:val="center"/>
          </w:tcPr>
          <w:p w:rsidR="00016A37" w:rsidRDefault="00DC4F78">
            <w:pPr>
              <w:jc w:val="center"/>
            </w:pPr>
            <w:r>
              <w:rPr>
                <w:color w:val="000000"/>
                <w:sz w:val="24"/>
                <w:szCs w:val="24"/>
              </w:rPr>
              <w:t>3</w:t>
            </w:r>
          </w:p>
        </w:tc>
        <w:tc>
          <w:tcPr>
            <w:tcW w:w="1334" w:type="dxa"/>
            <w:vAlign w:val="center"/>
          </w:tcPr>
          <w:p w:rsidR="00016A37" w:rsidRDefault="00DC4F78">
            <w:pPr>
              <w:jc w:val="center"/>
            </w:pPr>
            <w:r>
              <w:rPr>
                <w:color w:val="000000"/>
                <w:sz w:val="24"/>
                <w:szCs w:val="24"/>
              </w:rPr>
              <w:t>601155</w:t>
            </w:r>
          </w:p>
        </w:tc>
        <w:tc>
          <w:tcPr>
            <w:tcW w:w="1777" w:type="dxa"/>
            <w:vAlign w:val="center"/>
          </w:tcPr>
          <w:p w:rsidR="00016A37" w:rsidRDefault="00DC4F78">
            <w:pPr>
              <w:jc w:val="center"/>
            </w:pPr>
            <w:r>
              <w:rPr>
                <w:color w:val="000000"/>
                <w:sz w:val="24"/>
                <w:szCs w:val="24"/>
              </w:rPr>
              <w:t>新城控股</w:t>
            </w:r>
          </w:p>
        </w:tc>
        <w:tc>
          <w:tcPr>
            <w:tcW w:w="1334" w:type="dxa"/>
            <w:vAlign w:val="center"/>
          </w:tcPr>
          <w:p w:rsidR="00016A37" w:rsidRDefault="00DC4F78">
            <w:pPr>
              <w:jc w:val="right"/>
            </w:pPr>
            <w:r>
              <w:rPr>
                <w:color w:val="000000"/>
                <w:sz w:val="24"/>
                <w:szCs w:val="24"/>
              </w:rPr>
              <w:t>3,000,000</w:t>
            </w:r>
          </w:p>
        </w:tc>
        <w:tc>
          <w:tcPr>
            <w:tcW w:w="1924" w:type="dxa"/>
            <w:vAlign w:val="center"/>
          </w:tcPr>
          <w:p w:rsidR="00016A37" w:rsidRDefault="00DC4F78">
            <w:pPr>
              <w:jc w:val="right"/>
            </w:pPr>
            <w:r>
              <w:rPr>
                <w:color w:val="000000"/>
                <w:sz w:val="24"/>
                <w:szCs w:val="24"/>
              </w:rPr>
              <w:t>135,450,000.00</w:t>
            </w:r>
          </w:p>
        </w:tc>
        <w:tc>
          <w:tcPr>
            <w:tcW w:w="1644" w:type="dxa"/>
            <w:vAlign w:val="center"/>
          </w:tcPr>
          <w:p w:rsidR="00016A37" w:rsidRDefault="00DC4F78">
            <w:pPr>
              <w:jc w:val="right"/>
            </w:pPr>
            <w:r>
              <w:rPr>
                <w:color w:val="000000"/>
                <w:sz w:val="24"/>
                <w:szCs w:val="24"/>
              </w:rPr>
              <w:t>3.78</w:t>
            </w:r>
          </w:p>
        </w:tc>
      </w:tr>
      <w:tr w:rsidR="00016A37">
        <w:trPr>
          <w:jc w:val="center"/>
        </w:trPr>
        <w:tc>
          <w:tcPr>
            <w:tcW w:w="855" w:type="dxa"/>
            <w:vAlign w:val="center"/>
          </w:tcPr>
          <w:p w:rsidR="00016A37" w:rsidRDefault="00DC4F78">
            <w:pPr>
              <w:jc w:val="center"/>
            </w:pPr>
            <w:r>
              <w:rPr>
                <w:color w:val="000000"/>
                <w:sz w:val="24"/>
                <w:szCs w:val="24"/>
              </w:rPr>
              <w:t>4</w:t>
            </w:r>
          </w:p>
        </w:tc>
        <w:tc>
          <w:tcPr>
            <w:tcW w:w="1334" w:type="dxa"/>
            <w:vAlign w:val="center"/>
          </w:tcPr>
          <w:p w:rsidR="00016A37" w:rsidRDefault="00DC4F78">
            <w:pPr>
              <w:jc w:val="center"/>
            </w:pPr>
            <w:r>
              <w:rPr>
                <w:color w:val="000000"/>
                <w:sz w:val="24"/>
                <w:szCs w:val="24"/>
              </w:rPr>
              <w:t>601933</w:t>
            </w:r>
          </w:p>
        </w:tc>
        <w:tc>
          <w:tcPr>
            <w:tcW w:w="1777" w:type="dxa"/>
            <w:vAlign w:val="center"/>
          </w:tcPr>
          <w:p w:rsidR="00016A37" w:rsidRDefault="00DC4F78">
            <w:pPr>
              <w:jc w:val="center"/>
            </w:pPr>
            <w:r>
              <w:rPr>
                <w:color w:val="000000"/>
                <w:sz w:val="24"/>
                <w:szCs w:val="24"/>
              </w:rPr>
              <w:t>永辉超市</w:t>
            </w:r>
          </w:p>
        </w:tc>
        <w:tc>
          <w:tcPr>
            <w:tcW w:w="1334" w:type="dxa"/>
            <w:vAlign w:val="center"/>
          </w:tcPr>
          <w:p w:rsidR="00016A37" w:rsidRDefault="00DC4F78">
            <w:pPr>
              <w:jc w:val="right"/>
            </w:pPr>
            <w:r>
              <w:rPr>
                <w:color w:val="000000"/>
                <w:sz w:val="24"/>
                <w:szCs w:val="24"/>
              </w:rPr>
              <w:t>14,999,938</w:t>
            </w:r>
          </w:p>
        </w:tc>
        <w:tc>
          <w:tcPr>
            <w:tcW w:w="1924" w:type="dxa"/>
            <w:vAlign w:val="center"/>
          </w:tcPr>
          <w:p w:rsidR="00016A37" w:rsidRDefault="00DC4F78">
            <w:pPr>
              <w:jc w:val="right"/>
            </w:pPr>
            <w:r>
              <w:rPr>
                <w:color w:val="000000"/>
                <w:sz w:val="24"/>
                <w:szCs w:val="24"/>
              </w:rPr>
              <w:t>129,599,464.32</w:t>
            </w:r>
          </w:p>
        </w:tc>
        <w:tc>
          <w:tcPr>
            <w:tcW w:w="1644" w:type="dxa"/>
            <w:vAlign w:val="center"/>
          </w:tcPr>
          <w:p w:rsidR="00016A37" w:rsidRDefault="00DC4F78">
            <w:pPr>
              <w:jc w:val="right"/>
            </w:pPr>
            <w:r>
              <w:rPr>
                <w:color w:val="000000"/>
                <w:sz w:val="24"/>
                <w:szCs w:val="24"/>
              </w:rPr>
              <w:t>3.61</w:t>
            </w:r>
          </w:p>
        </w:tc>
      </w:tr>
      <w:tr w:rsidR="00016A37">
        <w:trPr>
          <w:jc w:val="center"/>
        </w:trPr>
        <w:tc>
          <w:tcPr>
            <w:tcW w:w="855" w:type="dxa"/>
            <w:vAlign w:val="center"/>
          </w:tcPr>
          <w:p w:rsidR="00016A37" w:rsidRDefault="00DC4F78">
            <w:pPr>
              <w:jc w:val="center"/>
            </w:pPr>
            <w:r>
              <w:rPr>
                <w:color w:val="000000"/>
                <w:sz w:val="24"/>
                <w:szCs w:val="24"/>
              </w:rPr>
              <w:t>5</w:t>
            </w:r>
          </w:p>
        </w:tc>
        <w:tc>
          <w:tcPr>
            <w:tcW w:w="1334" w:type="dxa"/>
            <w:vAlign w:val="center"/>
          </w:tcPr>
          <w:p w:rsidR="00016A37" w:rsidRDefault="00DC4F78">
            <w:pPr>
              <w:jc w:val="center"/>
            </w:pPr>
            <w:r>
              <w:rPr>
                <w:color w:val="000000"/>
                <w:sz w:val="24"/>
                <w:szCs w:val="24"/>
              </w:rPr>
              <w:t>002410</w:t>
            </w:r>
          </w:p>
        </w:tc>
        <w:tc>
          <w:tcPr>
            <w:tcW w:w="1777" w:type="dxa"/>
            <w:vAlign w:val="center"/>
          </w:tcPr>
          <w:p w:rsidR="00016A37" w:rsidRDefault="00DC4F78">
            <w:pPr>
              <w:jc w:val="center"/>
            </w:pPr>
            <w:r>
              <w:rPr>
                <w:color w:val="000000"/>
                <w:sz w:val="24"/>
                <w:szCs w:val="24"/>
              </w:rPr>
              <w:t>广联达</w:t>
            </w:r>
          </w:p>
        </w:tc>
        <w:tc>
          <w:tcPr>
            <w:tcW w:w="1334" w:type="dxa"/>
            <w:vAlign w:val="center"/>
          </w:tcPr>
          <w:p w:rsidR="00016A37" w:rsidRDefault="00DC4F78">
            <w:pPr>
              <w:jc w:val="right"/>
            </w:pPr>
            <w:r w:rsidRPr="00DC4F78">
              <w:rPr>
                <w:color w:val="000000"/>
                <w:sz w:val="24"/>
                <w:szCs w:val="24"/>
              </w:rPr>
              <w:t>4,005,876</w:t>
            </w:r>
            <w:bookmarkStart w:id="0" w:name="_GoBack"/>
            <w:bookmarkEnd w:id="0"/>
          </w:p>
        </w:tc>
        <w:tc>
          <w:tcPr>
            <w:tcW w:w="1924" w:type="dxa"/>
            <w:vAlign w:val="center"/>
          </w:tcPr>
          <w:p w:rsidR="00016A37" w:rsidRDefault="00DC4F78">
            <w:pPr>
              <w:jc w:val="right"/>
            </w:pPr>
            <w:r>
              <w:rPr>
                <w:color w:val="000000"/>
                <w:sz w:val="24"/>
                <w:szCs w:val="24"/>
              </w:rPr>
              <w:t>117,229,203.56</w:t>
            </w:r>
          </w:p>
        </w:tc>
        <w:tc>
          <w:tcPr>
            <w:tcW w:w="1644" w:type="dxa"/>
            <w:vAlign w:val="center"/>
          </w:tcPr>
          <w:p w:rsidR="00016A37" w:rsidRDefault="00DC4F78">
            <w:pPr>
              <w:jc w:val="right"/>
            </w:pPr>
            <w:r>
              <w:rPr>
                <w:color w:val="000000"/>
                <w:sz w:val="24"/>
                <w:szCs w:val="24"/>
              </w:rPr>
              <w:t>3.27</w:t>
            </w:r>
          </w:p>
        </w:tc>
      </w:tr>
      <w:tr w:rsidR="00016A37">
        <w:trPr>
          <w:jc w:val="center"/>
        </w:trPr>
        <w:tc>
          <w:tcPr>
            <w:tcW w:w="855" w:type="dxa"/>
            <w:vAlign w:val="center"/>
          </w:tcPr>
          <w:p w:rsidR="00016A37" w:rsidRDefault="00DC4F78">
            <w:pPr>
              <w:jc w:val="center"/>
            </w:pPr>
            <w:r>
              <w:rPr>
                <w:color w:val="000000"/>
                <w:sz w:val="24"/>
                <w:szCs w:val="24"/>
              </w:rPr>
              <w:t>6</w:t>
            </w:r>
          </w:p>
        </w:tc>
        <w:tc>
          <w:tcPr>
            <w:tcW w:w="1334" w:type="dxa"/>
            <w:vAlign w:val="center"/>
          </w:tcPr>
          <w:p w:rsidR="00016A37" w:rsidRDefault="00DC4F78">
            <w:pPr>
              <w:jc w:val="center"/>
            </w:pPr>
            <w:r>
              <w:rPr>
                <w:color w:val="000000"/>
                <w:sz w:val="24"/>
                <w:szCs w:val="24"/>
              </w:rPr>
              <w:t>603359</w:t>
            </w:r>
          </w:p>
        </w:tc>
        <w:tc>
          <w:tcPr>
            <w:tcW w:w="1777" w:type="dxa"/>
            <w:vAlign w:val="center"/>
          </w:tcPr>
          <w:p w:rsidR="00016A37" w:rsidRDefault="00DC4F78">
            <w:pPr>
              <w:jc w:val="center"/>
            </w:pPr>
            <w:r>
              <w:rPr>
                <w:color w:val="000000"/>
                <w:sz w:val="24"/>
                <w:szCs w:val="24"/>
              </w:rPr>
              <w:t>东珠生态</w:t>
            </w:r>
          </w:p>
        </w:tc>
        <w:tc>
          <w:tcPr>
            <w:tcW w:w="1334" w:type="dxa"/>
            <w:vAlign w:val="center"/>
          </w:tcPr>
          <w:p w:rsidR="00016A37" w:rsidRDefault="00DC4F78">
            <w:pPr>
              <w:jc w:val="right"/>
            </w:pPr>
            <w:r>
              <w:rPr>
                <w:color w:val="000000"/>
                <w:sz w:val="24"/>
                <w:szCs w:val="24"/>
              </w:rPr>
              <w:t>5,709,236</w:t>
            </w:r>
          </w:p>
        </w:tc>
        <w:tc>
          <w:tcPr>
            <w:tcW w:w="1924" w:type="dxa"/>
            <w:vAlign w:val="center"/>
          </w:tcPr>
          <w:p w:rsidR="00016A37" w:rsidRDefault="00DC4F78">
            <w:pPr>
              <w:jc w:val="right"/>
            </w:pPr>
            <w:r>
              <w:rPr>
                <w:color w:val="000000"/>
                <w:sz w:val="24"/>
                <w:szCs w:val="24"/>
              </w:rPr>
              <w:t>114,184,720.00</w:t>
            </w:r>
          </w:p>
        </w:tc>
        <w:tc>
          <w:tcPr>
            <w:tcW w:w="1644" w:type="dxa"/>
            <w:vAlign w:val="center"/>
          </w:tcPr>
          <w:p w:rsidR="00016A37" w:rsidRDefault="00DC4F78">
            <w:pPr>
              <w:jc w:val="right"/>
            </w:pPr>
            <w:r>
              <w:rPr>
                <w:color w:val="000000"/>
                <w:sz w:val="24"/>
                <w:szCs w:val="24"/>
              </w:rPr>
              <w:t>3.18</w:t>
            </w:r>
          </w:p>
        </w:tc>
      </w:tr>
      <w:tr w:rsidR="00016A37">
        <w:trPr>
          <w:jc w:val="center"/>
        </w:trPr>
        <w:tc>
          <w:tcPr>
            <w:tcW w:w="855" w:type="dxa"/>
            <w:vAlign w:val="center"/>
          </w:tcPr>
          <w:p w:rsidR="00016A37" w:rsidRDefault="00DC4F78">
            <w:pPr>
              <w:jc w:val="center"/>
            </w:pPr>
            <w:r>
              <w:rPr>
                <w:color w:val="000000"/>
                <w:sz w:val="24"/>
                <w:szCs w:val="24"/>
              </w:rPr>
              <w:t>7</w:t>
            </w:r>
          </w:p>
        </w:tc>
        <w:tc>
          <w:tcPr>
            <w:tcW w:w="1334" w:type="dxa"/>
            <w:vAlign w:val="center"/>
          </w:tcPr>
          <w:p w:rsidR="00016A37" w:rsidRDefault="00DC4F78">
            <w:pPr>
              <w:jc w:val="center"/>
            </w:pPr>
            <w:r>
              <w:rPr>
                <w:color w:val="000000"/>
                <w:sz w:val="24"/>
                <w:szCs w:val="24"/>
              </w:rPr>
              <w:t>300122</w:t>
            </w:r>
          </w:p>
        </w:tc>
        <w:tc>
          <w:tcPr>
            <w:tcW w:w="1777" w:type="dxa"/>
            <w:vAlign w:val="center"/>
          </w:tcPr>
          <w:p w:rsidR="00016A37" w:rsidRDefault="00DC4F78">
            <w:pPr>
              <w:jc w:val="center"/>
            </w:pPr>
            <w:r>
              <w:rPr>
                <w:color w:val="000000"/>
                <w:sz w:val="24"/>
                <w:szCs w:val="24"/>
              </w:rPr>
              <w:t>智飞生物</w:t>
            </w:r>
          </w:p>
        </w:tc>
        <w:tc>
          <w:tcPr>
            <w:tcW w:w="1334" w:type="dxa"/>
            <w:vAlign w:val="center"/>
          </w:tcPr>
          <w:p w:rsidR="00016A37" w:rsidRDefault="00DC4F78">
            <w:pPr>
              <w:jc w:val="right"/>
            </w:pPr>
            <w:r>
              <w:rPr>
                <w:color w:val="000000"/>
                <w:sz w:val="24"/>
                <w:szCs w:val="24"/>
              </w:rPr>
              <w:t>2,100,000</w:t>
            </w:r>
          </w:p>
        </w:tc>
        <w:tc>
          <w:tcPr>
            <w:tcW w:w="1924" w:type="dxa"/>
            <w:vAlign w:val="center"/>
          </w:tcPr>
          <w:p w:rsidR="00016A37" w:rsidRDefault="00DC4F78">
            <w:pPr>
              <w:jc w:val="right"/>
            </w:pPr>
            <w:r>
              <w:rPr>
                <w:color w:val="000000"/>
                <w:sz w:val="24"/>
                <w:szCs w:val="24"/>
              </w:rPr>
              <w:t>107,310,000.00</w:t>
            </w:r>
          </w:p>
        </w:tc>
        <w:tc>
          <w:tcPr>
            <w:tcW w:w="1644" w:type="dxa"/>
            <w:vAlign w:val="center"/>
          </w:tcPr>
          <w:p w:rsidR="00016A37" w:rsidRDefault="00DC4F78">
            <w:pPr>
              <w:jc w:val="right"/>
            </w:pPr>
            <w:r>
              <w:rPr>
                <w:color w:val="000000"/>
                <w:sz w:val="24"/>
                <w:szCs w:val="24"/>
              </w:rPr>
              <w:t>2.99</w:t>
            </w:r>
          </w:p>
        </w:tc>
      </w:tr>
      <w:tr w:rsidR="00016A37">
        <w:trPr>
          <w:jc w:val="center"/>
        </w:trPr>
        <w:tc>
          <w:tcPr>
            <w:tcW w:w="855" w:type="dxa"/>
            <w:vAlign w:val="center"/>
          </w:tcPr>
          <w:p w:rsidR="00016A37" w:rsidRDefault="00DC4F78">
            <w:pPr>
              <w:jc w:val="center"/>
            </w:pPr>
            <w:r>
              <w:rPr>
                <w:color w:val="000000"/>
                <w:sz w:val="24"/>
                <w:szCs w:val="24"/>
              </w:rPr>
              <w:t>8</w:t>
            </w:r>
          </w:p>
        </w:tc>
        <w:tc>
          <w:tcPr>
            <w:tcW w:w="1334" w:type="dxa"/>
            <w:vAlign w:val="center"/>
          </w:tcPr>
          <w:p w:rsidR="00016A37" w:rsidRDefault="00DC4F78">
            <w:pPr>
              <w:jc w:val="center"/>
            </w:pPr>
            <w:r>
              <w:rPr>
                <w:color w:val="000000"/>
                <w:sz w:val="24"/>
                <w:szCs w:val="24"/>
              </w:rPr>
              <w:t>000961</w:t>
            </w:r>
          </w:p>
        </w:tc>
        <w:tc>
          <w:tcPr>
            <w:tcW w:w="1777" w:type="dxa"/>
            <w:vAlign w:val="center"/>
          </w:tcPr>
          <w:p w:rsidR="00016A37" w:rsidRDefault="00DC4F78">
            <w:pPr>
              <w:jc w:val="center"/>
            </w:pPr>
            <w:r>
              <w:rPr>
                <w:color w:val="000000"/>
                <w:sz w:val="24"/>
                <w:szCs w:val="24"/>
              </w:rPr>
              <w:t>中南建设</w:t>
            </w:r>
          </w:p>
        </w:tc>
        <w:tc>
          <w:tcPr>
            <w:tcW w:w="1334" w:type="dxa"/>
            <w:vAlign w:val="center"/>
          </w:tcPr>
          <w:p w:rsidR="00016A37" w:rsidRDefault="00DC4F78">
            <w:pPr>
              <w:jc w:val="right"/>
            </w:pPr>
            <w:r>
              <w:rPr>
                <w:color w:val="000000"/>
                <w:sz w:val="24"/>
                <w:szCs w:val="24"/>
              </w:rPr>
              <w:t>11,000,000</w:t>
            </w:r>
          </w:p>
        </w:tc>
        <w:tc>
          <w:tcPr>
            <w:tcW w:w="1924" w:type="dxa"/>
            <w:vAlign w:val="center"/>
          </w:tcPr>
          <w:p w:rsidR="00016A37" w:rsidRDefault="00DC4F78">
            <w:pPr>
              <w:jc w:val="right"/>
            </w:pPr>
            <w:r>
              <w:rPr>
                <w:color w:val="000000"/>
                <w:sz w:val="24"/>
                <w:szCs w:val="24"/>
              </w:rPr>
              <w:t>104,500,000.00</w:t>
            </w:r>
          </w:p>
        </w:tc>
        <w:tc>
          <w:tcPr>
            <w:tcW w:w="1644" w:type="dxa"/>
            <w:vAlign w:val="center"/>
          </w:tcPr>
          <w:p w:rsidR="00016A37" w:rsidRDefault="00DC4F78">
            <w:pPr>
              <w:jc w:val="right"/>
            </w:pPr>
            <w:r>
              <w:rPr>
                <w:color w:val="000000"/>
                <w:sz w:val="24"/>
                <w:szCs w:val="24"/>
              </w:rPr>
              <w:t>2.91</w:t>
            </w:r>
          </w:p>
        </w:tc>
      </w:tr>
      <w:tr w:rsidR="00016A37">
        <w:trPr>
          <w:jc w:val="center"/>
        </w:trPr>
        <w:tc>
          <w:tcPr>
            <w:tcW w:w="855" w:type="dxa"/>
            <w:vAlign w:val="center"/>
          </w:tcPr>
          <w:p w:rsidR="00016A37" w:rsidRDefault="00DC4F78">
            <w:pPr>
              <w:jc w:val="center"/>
            </w:pPr>
            <w:r>
              <w:rPr>
                <w:color w:val="000000"/>
                <w:sz w:val="24"/>
                <w:szCs w:val="24"/>
              </w:rPr>
              <w:t>9</w:t>
            </w:r>
          </w:p>
        </w:tc>
        <w:tc>
          <w:tcPr>
            <w:tcW w:w="1334" w:type="dxa"/>
            <w:vAlign w:val="center"/>
          </w:tcPr>
          <w:p w:rsidR="00016A37" w:rsidRDefault="00DC4F78">
            <w:pPr>
              <w:jc w:val="center"/>
            </w:pPr>
            <w:r>
              <w:rPr>
                <w:color w:val="000000"/>
                <w:sz w:val="24"/>
                <w:szCs w:val="24"/>
              </w:rPr>
              <w:t>600887</w:t>
            </w:r>
          </w:p>
        </w:tc>
        <w:tc>
          <w:tcPr>
            <w:tcW w:w="1777" w:type="dxa"/>
            <w:vAlign w:val="center"/>
          </w:tcPr>
          <w:p w:rsidR="00016A37" w:rsidRDefault="00DC4F78">
            <w:pPr>
              <w:jc w:val="center"/>
            </w:pPr>
            <w:r>
              <w:rPr>
                <w:color w:val="000000"/>
                <w:sz w:val="24"/>
                <w:szCs w:val="24"/>
              </w:rPr>
              <w:t>伊利股份</w:t>
            </w:r>
          </w:p>
        </w:tc>
        <w:tc>
          <w:tcPr>
            <w:tcW w:w="1334" w:type="dxa"/>
            <w:vAlign w:val="center"/>
          </w:tcPr>
          <w:p w:rsidR="00016A37" w:rsidRDefault="00DC4F78">
            <w:pPr>
              <w:jc w:val="right"/>
            </w:pPr>
            <w:r>
              <w:rPr>
                <w:color w:val="000000"/>
                <w:sz w:val="24"/>
                <w:szCs w:val="24"/>
              </w:rPr>
              <w:t>3,000,000</w:t>
            </w:r>
          </w:p>
        </w:tc>
        <w:tc>
          <w:tcPr>
            <w:tcW w:w="1924" w:type="dxa"/>
            <w:vAlign w:val="center"/>
          </w:tcPr>
          <w:p w:rsidR="00016A37" w:rsidRDefault="00DC4F78">
            <w:pPr>
              <w:jc w:val="right"/>
            </w:pPr>
            <w:r>
              <w:rPr>
                <w:color w:val="000000"/>
                <w:sz w:val="24"/>
                <w:szCs w:val="24"/>
              </w:rPr>
              <w:t>87,330,000.00</w:t>
            </w:r>
          </w:p>
        </w:tc>
        <w:tc>
          <w:tcPr>
            <w:tcW w:w="1644" w:type="dxa"/>
            <w:vAlign w:val="center"/>
          </w:tcPr>
          <w:p w:rsidR="00016A37" w:rsidRDefault="00DC4F78">
            <w:pPr>
              <w:jc w:val="right"/>
            </w:pPr>
            <w:r>
              <w:rPr>
                <w:color w:val="000000"/>
                <w:sz w:val="24"/>
                <w:szCs w:val="24"/>
              </w:rPr>
              <w:t>2.44</w:t>
            </w:r>
          </w:p>
        </w:tc>
      </w:tr>
      <w:tr w:rsidR="00016A37">
        <w:trPr>
          <w:jc w:val="center"/>
        </w:trPr>
        <w:tc>
          <w:tcPr>
            <w:tcW w:w="855" w:type="dxa"/>
            <w:vAlign w:val="center"/>
          </w:tcPr>
          <w:p w:rsidR="00016A37" w:rsidRDefault="00DC4F78">
            <w:pPr>
              <w:jc w:val="center"/>
            </w:pPr>
            <w:r>
              <w:rPr>
                <w:color w:val="000000"/>
                <w:sz w:val="24"/>
                <w:szCs w:val="24"/>
              </w:rPr>
              <w:t>10</w:t>
            </w:r>
          </w:p>
        </w:tc>
        <w:tc>
          <w:tcPr>
            <w:tcW w:w="1334" w:type="dxa"/>
            <w:vAlign w:val="center"/>
          </w:tcPr>
          <w:p w:rsidR="00016A37" w:rsidRDefault="00DC4F78">
            <w:pPr>
              <w:jc w:val="center"/>
            </w:pPr>
            <w:r>
              <w:rPr>
                <w:color w:val="000000"/>
                <w:sz w:val="24"/>
                <w:szCs w:val="24"/>
              </w:rPr>
              <w:t>000681</w:t>
            </w:r>
          </w:p>
        </w:tc>
        <w:tc>
          <w:tcPr>
            <w:tcW w:w="1777" w:type="dxa"/>
            <w:vAlign w:val="center"/>
          </w:tcPr>
          <w:p w:rsidR="00016A37" w:rsidRDefault="00DC4F78">
            <w:pPr>
              <w:jc w:val="center"/>
            </w:pPr>
            <w:r>
              <w:rPr>
                <w:color w:val="000000"/>
                <w:sz w:val="24"/>
                <w:szCs w:val="24"/>
              </w:rPr>
              <w:t>视觉中国</w:t>
            </w:r>
          </w:p>
        </w:tc>
        <w:tc>
          <w:tcPr>
            <w:tcW w:w="1334" w:type="dxa"/>
            <w:vAlign w:val="center"/>
          </w:tcPr>
          <w:p w:rsidR="00016A37" w:rsidRDefault="00DC4F78">
            <w:pPr>
              <w:jc w:val="right"/>
            </w:pPr>
            <w:r>
              <w:rPr>
                <w:color w:val="000000"/>
                <w:sz w:val="24"/>
                <w:szCs w:val="24"/>
              </w:rPr>
              <w:t>3,309,839</w:t>
            </w:r>
          </w:p>
        </w:tc>
        <w:tc>
          <w:tcPr>
            <w:tcW w:w="1924" w:type="dxa"/>
            <w:vAlign w:val="center"/>
          </w:tcPr>
          <w:p w:rsidR="00016A37" w:rsidRDefault="00DC4F78">
            <w:pPr>
              <w:jc w:val="right"/>
            </w:pPr>
            <w:r>
              <w:rPr>
                <w:color w:val="000000"/>
                <w:sz w:val="24"/>
                <w:szCs w:val="24"/>
              </w:rPr>
              <w:t>87,247,356.04</w:t>
            </w:r>
          </w:p>
        </w:tc>
        <w:tc>
          <w:tcPr>
            <w:tcW w:w="1644" w:type="dxa"/>
            <w:vAlign w:val="center"/>
          </w:tcPr>
          <w:p w:rsidR="00016A37" w:rsidRDefault="00DC4F78">
            <w:pPr>
              <w:jc w:val="right"/>
            </w:pPr>
            <w:r>
              <w:rPr>
                <w:color w:val="000000"/>
                <w:sz w:val="24"/>
                <w:szCs w:val="24"/>
              </w:rPr>
              <w:t>2.43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149,235,000.00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lastRenderedPageBreak/>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25,010,500.00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25,010,500.00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0.70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3,467,488.12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0.10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177,712,988.12</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16A37">
        <w:trPr>
          <w:jc w:val="center"/>
        </w:trPr>
        <w:tc>
          <w:tcPr>
            <w:tcW w:w="850" w:type="dxa"/>
            <w:vAlign w:val="center"/>
          </w:tcPr>
          <w:p w:rsidR="00016A37" w:rsidRDefault="00DC4F78">
            <w:pPr>
              <w:jc w:val="center"/>
            </w:pPr>
            <w:r>
              <w:rPr>
                <w:color w:val="000000"/>
                <w:sz w:val="24"/>
                <w:szCs w:val="24"/>
              </w:rPr>
              <w:t>1</w:t>
            </w:r>
          </w:p>
        </w:tc>
        <w:tc>
          <w:tcPr>
            <w:tcW w:w="1475" w:type="dxa"/>
            <w:vAlign w:val="center"/>
          </w:tcPr>
          <w:p w:rsidR="00016A37" w:rsidRDefault="00DC4F78">
            <w:pPr>
              <w:jc w:val="center"/>
            </w:pPr>
            <w:r>
              <w:rPr>
                <w:color w:val="000000"/>
                <w:sz w:val="24"/>
                <w:szCs w:val="24"/>
              </w:rPr>
              <w:t>199908</w:t>
            </w:r>
          </w:p>
        </w:tc>
        <w:tc>
          <w:tcPr>
            <w:tcW w:w="1769" w:type="dxa"/>
            <w:vAlign w:val="center"/>
          </w:tcPr>
          <w:p w:rsidR="00016A37" w:rsidRDefault="00DC4F78">
            <w:pPr>
              <w:jc w:val="center"/>
            </w:pPr>
            <w:r>
              <w:rPr>
                <w:color w:val="000000"/>
                <w:sz w:val="24"/>
                <w:szCs w:val="24"/>
              </w:rPr>
              <w:t>19</w:t>
            </w:r>
            <w:r>
              <w:rPr>
                <w:color w:val="000000"/>
                <w:sz w:val="24"/>
                <w:szCs w:val="24"/>
              </w:rPr>
              <w:t>贴现国债</w:t>
            </w:r>
            <w:r>
              <w:rPr>
                <w:color w:val="000000"/>
                <w:sz w:val="24"/>
                <w:szCs w:val="24"/>
              </w:rPr>
              <w:t>08</w:t>
            </w:r>
          </w:p>
        </w:tc>
        <w:tc>
          <w:tcPr>
            <w:tcW w:w="1387" w:type="dxa"/>
            <w:vAlign w:val="center"/>
          </w:tcPr>
          <w:p w:rsidR="00016A37" w:rsidRDefault="00DC4F78">
            <w:pPr>
              <w:jc w:val="right"/>
            </w:pPr>
            <w:r>
              <w:rPr>
                <w:color w:val="000000"/>
                <w:sz w:val="24"/>
                <w:szCs w:val="24"/>
              </w:rPr>
              <w:t>1,500,000</w:t>
            </w:r>
          </w:p>
        </w:tc>
        <w:tc>
          <w:tcPr>
            <w:tcW w:w="2150" w:type="dxa"/>
            <w:vAlign w:val="center"/>
          </w:tcPr>
          <w:p w:rsidR="00016A37" w:rsidRDefault="00DC4F78">
            <w:pPr>
              <w:jc w:val="right"/>
            </w:pPr>
            <w:r>
              <w:rPr>
                <w:color w:val="000000"/>
                <w:sz w:val="24"/>
                <w:szCs w:val="24"/>
              </w:rPr>
              <w:t>149,235,000.00</w:t>
            </w:r>
          </w:p>
        </w:tc>
        <w:tc>
          <w:tcPr>
            <w:tcW w:w="1237" w:type="dxa"/>
            <w:vAlign w:val="center"/>
          </w:tcPr>
          <w:p w:rsidR="00016A37" w:rsidRDefault="00DC4F78">
            <w:pPr>
              <w:jc w:val="right"/>
            </w:pPr>
            <w:r>
              <w:rPr>
                <w:color w:val="000000"/>
                <w:sz w:val="24"/>
                <w:szCs w:val="24"/>
              </w:rPr>
              <w:t>4.16</w:t>
            </w:r>
          </w:p>
        </w:tc>
      </w:tr>
      <w:tr w:rsidR="00016A37">
        <w:trPr>
          <w:jc w:val="center"/>
        </w:trPr>
        <w:tc>
          <w:tcPr>
            <w:tcW w:w="850" w:type="dxa"/>
            <w:vAlign w:val="center"/>
          </w:tcPr>
          <w:p w:rsidR="00016A37" w:rsidRDefault="00DC4F78">
            <w:pPr>
              <w:jc w:val="center"/>
            </w:pPr>
            <w:r>
              <w:rPr>
                <w:color w:val="000000"/>
                <w:sz w:val="24"/>
                <w:szCs w:val="24"/>
              </w:rPr>
              <w:t>2</w:t>
            </w:r>
          </w:p>
        </w:tc>
        <w:tc>
          <w:tcPr>
            <w:tcW w:w="1475" w:type="dxa"/>
            <w:vAlign w:val="center"/>
          </w:tcPr>
          <w:p w:rsidR="00016A37" w:rsidRDefault="00DC4F78">
            <w:pPr>
              <w:jc w:val="center"/>
            </w:pPr>
            <w:r>
              <w:rPr>
                <w:color w:val="000000"/>
                <w:sz w:val="24"/>
                <w:szCs w:val="24"/>
              </w:rPr>
              <w:t>180207</w:t>
            </w:r>
          </w:p>
        </w:tc>
        <w:tc>
          <w:tcPr>
            <w:tcW w:w="1769" w:type="dxa"/>
            <w:vAlign w:val="center"/>
          </w:tcPr>
          <w:p w:rsidR="00016A37" w:rsidRDefault="00DC4F78">
            <w:pPr>
              <w:jc w:val="center"/>
            </w:pPr>
            <w:r>
              <w:rPr>
                <w:color w:val="000000"/>
                <w:sz w:val="24"/>
                <w:szCs w:val="24"/>
              </w:rPr>
              <w:t>18</w:t>
            </w:r>
            <w:r>
              <w:rPr>
                <w:color w:val="000000"/>
                <w:sz w:val="24"/>
                <w:szCs w:val="24"/>
              </w:rPr>
              <w:t>国开</w:t>
            </w:r>
            <w:r>
              <w:rPr>
                <w:color w:val="000000"/>
                <w:sz w:val="24"/>
                <w:szCs w:val="24"/>
              </w:rPr>
              <w:t>07</w:t>
            </w:r>
          </w:p>
        </w:tc>
        <w:tc>
          <w:tcPr>
            <w:tcW w:w="1387" w:type="dxa"/>
            <w:vAlign w:val="center"/>
          </w:tcPr>
          <w:p w:rsidR="00016A37" w:rsidRDefault="00DC4F78">
            <w:pPr>
              <w:jc w:val="right"/>
            </w:pPr>
            <w:r>
              <w:rPr>
                <w:color w:val="000000"/>
                <w:sz w:val="24"/>
                <w:szCs w:val="24"/>
              </w:rPr>
              <w:t>200,000</w:t>
            </w:r>
          </w:p>
        </w:tc>
        <w:tc>
          <w:tcPr>
            <w:tcW w:w="2150" w:type="dxa"/>
            <w:vAlign w:val="center"/>
          </w:tcPr>
          <w:p w:rsidR="00016A37" w:rsidRDefault="00DC4F78">
            <w:pPr>
              <w:jc w:val="right"/>
            </w:pPr>
            <w:r>
              <w:rPr>
                <w:color w:val="000000"/>
                <w:sz w:val="24"/>
                <w:szCs w:val="24"/>
              </w:rPr>
              <w:t>20,010,000.00</w:t>
            </w:r>
          </w:p>
        </w:tc>
        <w:tc>
          <w:tcPr>
            <w:tcW w:w="1237" w:type="dxa"/>
            <w:vAlign w:val="center"/>
          </w:tcPr>
          <w:p w:rsidR="00016A37" w:rsidRDefault="00DC4F78">
            <w:pPr>
              <w:jc w:val="right"/>
            </w:pPr>
            <w:r>
              <w:rPr>
                <w:color w:val="000000"/>
                <w:sz w:val="24"/>
                <w:szCs w:val="24"/>
              </w:rPr>
              <w:t>0.56</w:t>
            </w:r>
          </w:p>
        </w:tc>
      </w:tr>
      <w:tr w:rsidR="00016A37">
        <w:trPr>
          <w:jc w:val="center"/>
        </w:trPr>
        <w:tc>
          <w:tcPr>
            <w:tcW w:w="850" w:type="dxa"/>
            <w:vAlign w:val="center"/>
          </w:tcPr>
          <w:p w:rsidR="00016A37" w:rsidRDefault="00DC4F78">
            <w:pPr>
              <w:jc w:val="center"/>
            </w:pPr>
            <w:r>
              <w:rPr>
                <w:color w:val="000000"/>
                <w:sz w:val="24"/>
                <w:szCs w:val="24"/>
              </w:rPr>
              <w:t>3</w:t>
            </w:r>
          </w:p>
        </w:tc>
        <w:tc>
          <w:tcPr>
            <w:tcW w:w="1475" w:type="dxa"/>
            <w:vAlign w:val="center"/>
          </w:tcPr>
          <w:p w:rsidR="00016A37" w:rsidRDefault="00DC4F78">
            <w:pPr>
              <w:jc w:val="center"/>
            </w:pPr>
            <w:r>
              <w:rPr>
                <w:color w:val="000000"/>
                <w:sz w:val="24"/>
                <w:szCs w:val="24"/>
              </w:rPr>
              <w:t>018005</w:t>
            </w:r>
          </w:p>
        </w:tc>
        <w:tc>
          <w:tcPr>
            <w:tcW w:w="1769" w:type="dxa"/>
            <w:vAlign w:val="center"/>
          </w:tcPr>
          <w:p w:rsidR="00016A37" w:rsidRDefault="00DC4F78">
            <w:pPr>
              <w:jc w:val="center"/>
            </w:pPr>
            <w:r>
              <w:rPr>
                <w:color w:val="000000"/>
                <w:sz w:val="24"/>
                <w:szCs w:val="24"/>
              </w:rPr>
              <w:t>国开</w:t>
            </w:r>
            <w:r>
              <w:rPr>
                <w:color w:val="000000"/>
                <w:sz w:val="24"/>
                <w:szCs w:val="24"/>
              </w:rPr>
              <w:t>1701</w:t>
            </w:r>
          </w:p>
        </w:tc>
        <w:tc>
          <w:tcPr>
            <w:tcW w:w="1387" w:type="dxa"/>
            <w:vAlign w:val="center"/>
          </w:tcPr>
          <w:p w:rsidR="00016A37" w:rsidRDefault="00DC4F78">
            <w:pPr>
              <w:jc w:val="right"/>
            </w:pPr>
            <w:r>
              <w:rPr>
                <w:color w:val="000000"/>
                <w:sz w:val="24"/>
                <w:szCs w:val="24"/>
              </w:rPr>
              <w:t>50,000</w:t>
            </w:r>
          </w:p>
        </w:tc>
        <w:tc>
          <w:tcPr>
            <w:tcW w:w="2150" w:type="dxa"/>
            <w:vAlign w:val="center"/>
          </w:tcPr>
          <w:p w:rsidR="00016A37" w:rsidRDefault="00DC4F78">
            <w:pPr>
              <w:jc w:val="right"/>
            </w:pPr>
            <w:r>
              <w:rPr>
                <w:color w:val="000000"/>
                <w:sz w:val="24"/>
                <w:szCs w:val="24"/>
              </w:rPr>
              <w:t>5,000,500.00</w:t>
            </w:r>
          </w:p>
        </w:tc>
        <w:tc>
          <w:tcPr>
            <w:tcW w:w="1237" w:type="dxa"/>
            <w:vAlign w:val="center"/>
          </w:tcPr>
          <w:p w:rsidR="00016A37" w:rsidRDefault="00DC4F78">
            <w:pPr>
              <w:jc w:val="right"/>
            </w:pPr>
            <w:r>
              <w:rPr>
                <w:color w:val="000000"/>
                <w:sz w:val="24"/>
                <w:szCs w:val="24"/>
              </w:rPr>
              <w:t>0.14</w:t>
            </w:r>
          </w:p>
        </w:tc>
      </w:tr>
      <w:tr w:rsidR="00016A37">
        <w:trPr>
          <w:jc w:val="center"/>
        </w:trPr>
        <w:tc>
          <w:tcPr>
            <w:tcW w:w="850" w:type="dxa"/>
            <w:vAlign w:val="center"/>
          </w:tcPr>
          <w:p w:rsidR="00016A37" w:rsidRDefault="00DC4F78">
            <w:pPr>
              <w:jc w:val="center"/>
            </w:pPr>
            <w:r>
              <w:rPr>
                <w:color w:val="000000"/>
                <w:sz w:val="24"/>
                <w:szCs w:val="24"/>
              </w:rPr>
              <w:t>4</w:t>
            </w:r>
          </w:p>
        </w:tc>
        <w:tc>
          <w:tcPr>
            <w:tcW w:w="1475" w:type="dxa"/>
            <w:vAlign w:val="center"/>
          </w:tcPr>
          <w:p w:rsidR="00016A37" w:rsidRDefault="00DC4F78">
            <w:pPr>
              <w:jc w:val="center"/>
            </w:pPr>
            <w:r>
              <w:rPr>
                <w:color w:val="000000"/>
                <w:sz w:val="24"/>
                <w:szCs w:val="24"/>
              </w:rPr>
              <w:t>128035</w:t>
            </w:r>
          </w:p>
        </w:tc>
        <w:tc>
          <w:tcPr>
            <w:tcW w:w="1769" w:type="dxa"/>
            <w:vAlign w:val="center"/>
          </w:tcPr>
          <w:p w:rsidR="00016A37" w:rsidRDefault="00DC4F78">
            <w:pPr>
              <w:jc w:val="center"/>
            </w:pPr>
            <w:r>
              <w:rPr>
                <w:color w:val="000000"/>
                <w:sz w:val="24"/>
                <w:szCs w:val="24"/>
              </w:rPr>
              <w:t>大族转债</w:t>
            </w:r>
          </w:p>
        </w:tc>
        <w:tc>
          <w:tcPr>
            <w:tcW w:w="1387" w:type="dxa"/>
            <w:vAlign w:val="center"/>
          </w:tcPr>
          <w:p w:rsidR="00016A37" w:rsidRDefault="00DC4F78">
            <w:pPr>
              <w:jc w:val="right"/>
            </w:pPr>
            <w:r>
              <w:rPr>
                <w:color w:val="000000"/>
                <w:sz w:val="24"/>
                <w:szCs w:val="24"/>
              </w:rPr>
              <w:t>31,514</w:t>
            </w:r>
          </w:p>
        </w:tc>
        <w:tc>
          <w:tcPr>
            <w:tcW w:w="2150" w:type="dxa"/>
            <w:vAlign w:val="center"/>
          </w:tcPr>
          <w:p w:rsidR="00016A37" w:rsidRDefault="00DC4F78">
            <w:pPr>
              <w:jc w:val="right"/>
            </w:pPr>
            <w:r>
              <w:rPr>
                <w:color w:val="000000"/>
                <w:sz w:val="24"/>
                <w:szCs w:val="24"/>
              </w:rPr>
              <w:t>3,464,964.30</w:t>
            </w:r>
          </w:p>
        </w:tc>
        <w:tc>
          <w:tcPr>
            <w:tcW w:w="1237" w:type="dxa"/>
            <w:vAlign w:val="center"/>
          </w:tcPr>
          <w:p w:rsidR="00016A37" w:rsidRDefault="00DC4F78">
            <w:pPr>
              <w:jc w:val="right"/>
            </w:pPr>
            <w:r>
              <w:rPr>
                <w:color w:val="000000"/>
                <w:sz w:val="24"/>
                <w:szCs w:val="24"/>
              </w:rPr>
              <w:t>0.10</w:t>
            </w:r>
          </w:p>
        </w:tc>
      </w:tr>
      <w:tr w:rsidR="00016A37">
        <w:trPr>
          <w:jc w:val="center"/>
        </w:trPr>
        <w:tc>
          <w:tcPr>
            <w:tcW w:w="850" w:type="dxa"/>
            <w:vAlign w:val="center"/>
          </w:tcPr>
          <w:p w:rsidR="00016A37" w:rsidRDefault="00DC4F78">
            <w:pPr>
              <w:jc w:val="center"/>
            </w:pPr>
            <w:r>
              <w:rPr>
                <w:color w:val="000000"/>
                <w:sz w:val="24"/>
                <w:szCs w:val="24"/>
              </w:rPr>
              <w:t>5</w:t>
            </w:r>
          </w:p>
        </w:tc>
        <w:tc>
          <w:tcPr>
            <w:tcW w:w="1475" w:type="dxa"/>
            <w:vAlign w:val="center"/>
          </w:tcPr>
          <w:p w:rsidR="00016A37" w:rsidRDefault="00DC4F78">
            <w:pPr>
              <w:jc w:val="center"/>
            </w:pPr>
            <w:r>
              <w:rPr>
                <w:color w:val="000000"/>
                <w:sz w:val="24"/>
                <w:szCs w:val="24"/>
              </w:rPr>
              <w:t>128023</w:t>
            </w:r>
          </w:p>
        </w:tc>
        <w:tc>
          <w:tcPr>
            <w:tcW w:w="1769" w:type="dxa"/>
            <w:vAlign w:val="center"/>
          </w:tcPr>
          <w:p w:rsidR="00016A37" w:rsidRDefault="00DC4F78">
            <w:pPr>
              <w:jc w:val="center"/>
            </w:pPr>
            <w:r>
              <w:rPr>
                <w:color w:val="000000"/>
                <w:sz w:val="24"/>
                <w:szCs w:val="24"/>
              </w:rPr>
              <w:t>亚太转债</w:t>
            </w:r>
          </w:p>
        </w:tc>
        <w:tc>
          <w:tcPr>
            <w:tcW w:w="1387" w:type="dxa"/>
            <w:vAlign w:val="center"/>
          </w:tcPr>
          <w:p w:rsidR="00016A37" w:rsidRDefault="00DC4F78">
            <w:pPr>
              <w:jc w:val="right"/>
            </w:pPr>
            <w:r>
              <w:rPr>
                <w:color w:val="000000"/>
                <w:sz w:val="24"/>
                <w:szCs w:val="24"/>
              </w:rPr>
              <w:t>26</w:t>
            </w:r>
          </w:p>
        </w:tc>
        <w:tc>
          <w:tcPr>
            <w:tcW w:w="2150" w:type="dxa"/>
            <w:vAlign w:val="center"/>
          </w:tcPr>
          <w:p w:rsidR="00016A37" w:rsidRDefault="00DC4F78">
            <w:pPr>
              <w:jc w:val="right"/>
            </w:pPr>
            <w:r>
              <w:rPr>
                <w:color w:val="000000"/>
                <w:sz w:val="24"/>
                <w:szCs w:val="24"/>
              </w:rPr>
              <w:t>2,523.82</w:t>
            </w:r>
          </w:p>
        </w:tc>
        <w:tc>
          <w:tcPr>
            <w:tcW w:w="1237" w:type="dxa"/>
            <w:vAlign w:val="center"/>
          </w:tcPr>
          <w:p w:rsidR="00016A37" w:rsidRDefault="00DC4F78">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1,864,353.58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18,149,721.67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1,440,824.24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1,211,605.11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22,666,504.60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016A37">
        <w:trPr>
          <w:jc w:val="center"/>
        </w:trPr>
        <w:tc>
          <w:tcPr>
            <w:tcW w:w="1883" w:type="dxa"/>
            <w:vAlign w:val="center"/>
          </w:tcPr>
          <w:p w:rsidR="00016A37" w:rsidRDefault="00DC4F78">
            <w:pPr>
              <w:jc w:val="center"/>
            </w:pPr>
            <w:r>
              <w:rPr>
                <w:color w:val="000000"/>
                <w:sz w:val="24"/>
                <w:szCs w:val="24"/>
              </w:rPr>
              <w:t>1</w:t>
            </w:r>
          </w:p>
        </w:tc>
        <w:tc>
          <w:tcPr>
            <w:tcW w:w="1801" w:type="dxa"/>
            <w:vAlign w:val="center"/>
          </w:tcPr>
          <w:p w:rsidR="00016A37" w:rsidRDefault="00DC4F78">
            <w:pPr>
              <w:jc w:val="center"/>
            </w:pPr>
            <w:r>
              <w:rPr>
                <w:color w:val="000000"/>
                <w:sz w:val="24"/>
                <w:szCs w:val="24"/>
              </w:rPr>
              <w:t>128035</w:t>
            </w:r>
          </w:p>
        </w:tc>
        <w:tc>
          <w:tcPr>
            <w:tcW w:w="1727" w:type="dxa"/>
            <w:vAlign w:val="center"/>
          </w:tcPr>
          <w:p w:rsidR="00016A37" w:rsidRDefault="00DC4F78">
            <w:pPr>
              <w:jc w:val="center"/>
            </w:pPr>
            <w:r>
              <w:rPr>
                <w:color w:val="000000"/>
                <w:sz w:val="24"/>
                <w:szCs w:val="24"/>
              </w:rPr>
              <w:t>大族转债</w:t>
            </w:r>
          </w:p>
        </w:tc>
        <w:tc>
          <w:tcPr>
            <w:tcW w:w="1768" w:type="dxa"/>
            <w:vAlign w:val="center"/>
          </w:tcPr>
          <w:p w:rsidR="00016A37" w:rsidRDefault="00DC4F78">
            <w:pPr>
              <w:jc w:val="right"/>
            </w:pPr>
            <w:r>
              <w:rPr>
                <w:color w:val="000000"/>
                <w:sz w:val="24"/>
                <w:szCs w:val="24"/>
              </w:rPr>
              <w:t>3,464,964.30</w:t>
            </w:r>
          </w:p>
        </w:tc>
        <w:tc>
          <w:tcPr>
            <w:tcW w:w="1689" w:type="dxa"/>
            <w:vAlign w:val="center"/>
          </w:tcPr>
          <w:p w:rsidR="00016A37" w:rsidRDefault="00DC4F78">
            <w:pPr>
              <w:jc w:val="right"/>
            </w:pPr>
            <w:r>
              <w:rPr>
                <w:color w:val="000000"/>
                <w:sz w:val="24"/>
                <w:szCs w:val="24"/>
              </w:rPr>
              <w:t>0.10</w:t>
            </w:r>
          </w:p>
        </w:tc>
      </w:tr>
      <w:tr w:rsidR="00016A37">
        <w:trPr>
          <w:jc w:val="center"/>
        </w:trPr>
        <w:tc>
          <w:tcPr>
            <w:tcW w:w="1883" w:type="dxa"/>
            <w:vAlign w:val="center"/>
          </w:tcPr>
          <w:p w:rsidR="00016A37" w:rsidRDefault="00DC4F78">
            <w:pPr>
              <w:jc w:val="center"/>
            </w:pPr>
            <w:r>
              <w:rPr>
                <w:color w:val="000000"/>
                <w:sz w:val="24"/>
                <w:szCs w:val="24"/>
              </w:rPr>
              <w:t>2</w:t>
            </w:r>
          </w:p>
        </w:tc>
        <w:tc>
          <w:tcPr>
            <w:tcW w:w="1801" w:type="dxa"/>
            <w:vAlign w:val="center"/>
          </w:tcPr>
          <w:p w:rsidR="00016A37" w:rsidRDefault="00DC4F78">
            <w:pPr>
              <w:jc w:val="center"/>
            </w:pPr>
            <w:r>
              <w:rPr>
                <w:color w:val="000000"/>
                <w:sz w:val="24"/>
                <w:szCs w:val="24"/>
              </w:rPr>
              <w:t>128023</w:t>
            </w:r>
          </w:p>
        </w:tc>
        <w:tc>
          <w:tcPr>
            <w:tcW w:w="1727" w:type="dxa"/>
            <w:vAlign w:val="center"/>
          </w:tcPr>
          <w:p w:rsidR="00016A37" w:rsidRDefault="00DC4F78">
            <w:pPr>
              <w:jc w:val="center"/>
            </w:pPr>
            <w:r>
              <w:rPr>
                <w:color w:val="000000"/>
                <w:sz w:val="24"/>
                <w:szCs w:val="24"/>
              </w:rPr>
              <w:t>亚太转债</w:t>
            </w:r>
          </w:p>
        </w:tc>
        <w:tc>
          <w:tcPr>
            <w:tcW w:w="1768" w:type="dxa"/>
            <w:vAlign w:val="center"/>
          </w:tcPr>
          <w:p w:rsidR="00016A37" w:rsidRDefault="00DC4F78">
            <w:pPr>
              <w:jc w:val="right"/>
            </w:pPr>
            <w:r>
              <w:rPr>
                <w:color w:val="000000"/>
                <w:sz w:val="24"/>
                <w:szCs w:val="24"/>
              </w:rPr>
              <w:t>2,523.82</w:t>
            </w:r>
          </w:p>
        </w:tc>
        <w:tc>
          <w:tcPr>
            <w:tcW w:w="1689" w:type="dxa"/>
            <w:vAlign w:val="center"/>
          </w:tcPr>
          <w:p w:rsidR="00016A37" w:rsidRDefault="00DC4F78">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16A37">
        <w:trPr>
          <w:jc w:val="center"/>
        </w:trPr>
        <w:tc>
          <w:tcPr>
            <w:tcW w:w="1129" w:type="dxa"/>
            <w:vAlign w:val="center"/>
          </w:tcPr>
          <w:p w:rsidR="00016A37" w:rsidRDefault="00DC4F78">
            <w:pPr>
              <w:jc w:val="center"/>
            </w:pPr>
            <w:r>
              <w:rPr>
                <w:color w:val="000000"/>
                <w:sz w:val="24"/>
                <w:szCs w:val="24"/>
              </w:rPr>
              <w:t>1</w:t>
            </w:r>
          </w:p>
        </w:tc>
        <w:tc>
          <w:tcPr>
            <w:tcW w:w="1356" w:type="dxa"/>
            <w:vAlign w:val="center"/>
          </w:tcPr>
          <w:p w:rsidR="00016A37" w:rsidRDefault="00DC4F78">
            <w:pPr>
              <w:jc w:val="center"/>
            </w:pPr>
            <w:r>
              <w:rPr>
                <w:color w:val="000000"/>
                <w:sz w:val="24"/>
                <w:szCs w:val="24"/>
              </w:rPr>
              <w:t>002410</w:t>
            </w:r>
          </w:p>
        </w:tc>
        <w:tc>
          <w:tcPr>
            <w:tcW w:w="1355" w:type="dxa"/>
            <w:vAlign w:val="center"/>
          </w:tcPr>
          <w:p w:rsidR="00016A37" w:rsidRDefault="00DC4F78">
            <w:pPr>
              <w:jc w:val="center"/>
            </w:pPr>
            <w:r>
              <w:rPr>
                <w:color w:val="000000"/>
                <w:sz w:val="24"/>
                <w:szCs w:val="24"/>
              </w:rPr>
              <w:t>广联达</w:t>
            </w:r>
          </w:p>
        </w:tc>
        <w:tc>
          <w:tcPr>
            <w:tcW w:w="1880" w:type="dxa"/>
            <w:vAlign w:val="center"/>
          </w:tcPr>
          <w:p w:rsidR="00016A37" w:rsidRDefault="00DC4F78">
            <w:pPr>
              <w:jc w:val="right"/>
            </w:pPr>
            <w:r>
              <w:rPr>
                <w:color w:val="000000"/>
                <w:sz w:val="24"/>
                <w:szCs w:val="24"/>
              </w:rPr>
              <w:t>28,697,200.00</w:t>
            </w:r>
          </w:p>
        </w:tc>
        <w:tc>
          <w:tcPr>
            <w:tcW w:w="1724" w:type="dxa"/>
            <w:vAlign w:val="center"/>
          </w:tcPr>
          <w:p w:rsidR="00016A37" w:rsidRDefault="00DC4F78">
            <w:pPr>
              <w:jc w:val="right"/>
            </w:pPr>
            <w:r>
              <w:rPr>
                <w:color w:val="000000"/>
                <w:sz w:val="24"/>
                <w:szCs w:val="24"/>
              </w:rPr>
              <w:t>0.80</w:t>
            </w:r>
          </w:p>
        </w:tc>
        <w:tc>
          <w:tcPr>
            <w:tcW w:w="1424" w:type="dxa"/>
            <w:vAlign w:val="center"/>
          </w:tcPr>
          <w:p w:rsidR="00016A37" w:rsidRDefault="00DC4F78">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lastRenderedPageBreak/>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2,770,662,767.95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61,814,723.34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201,937,573.14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2,630,539,918.15</w:t>
            </w:r>
          </w:p>
        </w:tc>
      </w:tr>
    </w:tbl>
    <w:p w:rsidR="00016A37" w:rsidRDefault="00DC4F7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lastRenderedPageBreak/>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16A37" w:rsidRDefault="00DC4F7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016A37" w:rsidRDefault="00DC4F7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016A37" w:rsidRDefault="00DC4F7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016A37" w:rsidRDefault="00DC4F7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、《交银施罗德稳健配置混合型证券投资基金托管协议》；</w:t>
      </w:r>
      <w:r>
        <w:rPr>
          <w:color w:val="000000"/>
          <w:sz w:val="24"/>
          <w:szCs w:val="24"/>
        </w:rPr>
        <w:t xml:space="preserve"> </w:t>
      </w:r>
    </w:p>
    <w:p w:rsidR="00016A37" w:rsidRDefault="00DC4F78">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016A37" w:rsidRDefault="00DC4F78">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16A37" w:rsidRDefault="00DC4F78">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16A37" w:rsidRDefault="00DC4F78">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C4F78">
      <w:rPr>
        <w:noProof/>
        <w:kern w:val="0"/>
        <w:szCs w:val="21"/>
      </w:rPr>
      <w:t>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DC4F78">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交银施罗德稳健配置混合型证券投资基金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16A37"/>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4F78"/>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A11B426-7E57-4B82-8D04-4D246158B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14BD7-7A65-4276-BC72-E4E6FFC2D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1812</TotalTime>
  <Pages>12</Pages>
  <Words>1148</Words>
  <Characters>6545</Characters>
  <Application>Microsoft Office Word</Application>
  <DocSecurity>0</DocSecurity>
  <Lines>54</Lines>
  <Paragraphs>15</Paragraphs>
  <ScaleCrop>false</ScaleCrop>
  <Company/>
  <LinksUpToDate>false</LinksUpToDate>
  <CharactersWithSpaces>7678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2019-04-19T02:35:00Z</dcterms:modified>
</cp:coreProperties>
</file>