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交银施罗德品质升级混合型证券投资基金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56E89" w:rsidRDefault="006976A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1,584,267,076.91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lastRenderedPageBreak/>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976AF" w:rsidRPr="00414345" w:rsidTr="006976A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976AF" w:rsidRPr="00414345" w:rsidTr="006976A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6,244,373.77</w:t>
            </w:r>
          </w:p>
        </w:tc>
      </w:tr>
      <w:tr w:rsidR="006976AF" w:rsidRPr="00414345" w:rsidTr="006976A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369,733,088.09</w:t>
            </w:r>
          </w:p>
        </w:tc>
      </w:tr>
      <w:tr w:rsidR="006976AF" w:rsidRPr="00414345" w:rsidTr="006976A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0.2228</w:t>
            </w:r>
          </w:p>
        </w:tc>
      </w:tr>
      <w:tr w:rsidR="006976AF" w:rsidRPr="00414345" w:rsidTr="006976A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1,598,973,312.76</w:t>
            </w:r>
          </w:p>
        </w:tc>
      </w:tr>
      <w:tr w:rsidR="006976AF" w:rsidRPr="00414345" w:rsidTr="006976A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1.0093</w:t>
            </w:r>
          </w:p>
        </w:tc>
      </w:tr>
    </w:tbl>
    <w:p w:rsidR="00B56E89" w:rsidRDefault="006976A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56E89">
        <w:trPr>
          <w:jc w:val="center"/>
        </w:trPr>
        <w:tc>
          <w:tcPr>
            <w:tcW w:w="1701" w:type="dxa"/>
            <w:vAlign w:val="center"/>
          </w:tcPr>
          <w:p w:rsidR="00B56E89" w:rsidRDefault="006976AF">
            <w:pPr>
              <w:jc w:val="left"/>
            </w:pPr>
            <w:r>
              <w:rPr>
                <w:color w:val="000000"/>
                <w:sz w:val="24"/>
                <w:szCs w:val="24"/>
              </w:rPr>
              <w:t>过去三个月</w:t>
            </w:r>
          </w:p>
        </w:tc>
        <w:tc>
          <w:tcPr>
            <w:tcW w:w="1045" w:type="dxa"/>
            <w:vAlign w:val="center"/>
          </w:tcPr>
          <w:p w:rsidR="00B56E89" w:rsidRDefault="006976AF">
            <w:pPr>
              <w:jc w:val="center"/>
            </w:pPr>
            <w:r>
              <w:rPr>
                <w:color w:val="000000"/>
                <w:sz w:val="24"/>
                <w:szCs w:val="24"/>
              </w:rPr>
              <w:t>28.59%</w:t>
            </w:r>
          </w:p>
        </w:tc>
        <w:tc>
          <w:tcPr>
            <w:tcW w:w="1344" w:type="dxa"/>
            <w:vAlign w:val="center"/>
          </w:tcPr>
          <w:p w:rsidR="00B56E89" w:rsidRDefault="006976AF">
            <w:pPr>
              <w:jc w:val="center"/>
            </w:pPr>
            <w:r>
              <w:rPr>
                <w:color w:val="000000"/>
                <w:sz w:val="24"/>
                <w:szCs w:val="24"/>
              </w:rPr>
              <w:t>1.52%</w:t>
            </w:r>
          </w:p>
        </w:tc>
        <w:tc>
          <w:tcPr>
            <w:tcW w:w="1194" w:type="dxa"/>
            <w:vAlign w:val="center"/>
          </w:tcPr>
          <w:p w:rsidR="00B56E89" w:rsidRDefault="006976AF">
            <w:pPr>
              <w:jc w:val="center"/>
            </w:pPr>
            <w:r>
              <w:rPr>
                <w:color w:val="000000"/>
                <w:sz w:val="24"/>
                <w:szCs w:val="24"/>
              </w:rPr>
              <w:t>17.14%</w:t>
            </w:r>
          </w:p>
        </w:tc>
        <w:tc>
          <w:tcPr>
            <w:tcW w:w="1492" w:type="dxa"/>
            <w:vAlign w:val="center"/>
          </w:tcPr>
          <w:p w:rsidR="00B56E89" w:rsidRDefault="006976AF">
            <w:pPr>
              <w:jc w:val="center"/>
            </w:pPr>
            <w:r>
              <w:rPr>
                <w:color w:val="000000"/>
                <w:sz w:val="24"/>
                <w:szCs w:val="24"/>
              </w:rPr>
              <w:t>0.93%</w:t>
            </w:r>
          </w:p>
        </w:tc>
        <w:tc>
          <w:tcPr>
            <w:tcW w:w="1194" w:type="dxa"/>
            <w:vAlign w:val="center"/>
          </w:tcPr>
          <w:p w:rsidR="00B56E89" w:rsidRDefault="006976AF">
            <w:pPr>
              <w:jc w:val="center"/>
            </w:pPr>
            <w:r>
              <w:rPr>
                <w:color w:val="000000"/>
                <w:sz w:val="24"/>
                <w:szCs w:val="24"/>
              </w:rPr>
              <w:t>11.45%</w:t>
            </w:r>
          </w:p>
        </w:tc>
        <w:tc>
          <w:tcPr>
            <w:tcW w:w="898" w:type="dxa"/>
            <w:vAlign w:val="center"/>
          </w:tcPr>
          <w:p w:rsidR="00B56E89" w:rsidRDefault="006976AF">
            <w:pPr>
              <w:jc w:val="center"/>
            </w:pPr>
            <w:r>
              <w:rPr>
                <w:color w:val="000000"/>
                <w:sz w:val="24"/>
                <w:szCs w:val="24"/>
              </w:rPr>
              <w:t>0.59%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交银施罗德品质升级混合型证券投资基金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8</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56E89">
        <w:trPr>
          <w:jc w:val="center"/>
        </w:trPr>
        <w:tc>
          <w:tcPr>
            <w:tcW w:w="846" w:type="dxa"/>
            <w:vAlign w:val="center"/>
          </w:tcPr>
          <w:p w:rsidR="00B56E89" w:rsidRDefault="006976AF">
            <w:pPr>
              <w:jc w:val="center"/>
            </w:pPr>
            <w:r>
              <w:rPr>
                <w:color w:val="000000"/>
                <w:sz w:val="24"/>
                <w:szCs w:val="24"/>
              </w:rPr>
              <w:t>韩威俊</w:t>
            </w:r>
          </w:p>
        </w:tc>
        <w:tc>
          <w:tcPr>
            <w:tcW w:w="845" w:type="dxa"/>
            <w:vAlign w:val="center"/>
          </w:tcPr>
          <w:p w:rsidR="00B56E89" w:rsidRDefault="006976AF">
            <w:pPr>
              <w:jc w:val="center"/>
            </w:pPr>
            <w:r>
              <w:rPr>
                <w:color w:val="000000"/>
                <w:sz w:val="24"/>
                <w:szCs w:val="24"/>
              </w:rPr>
              <w:t>交银趋势混合、交银策略回报灵活配置混合、交银消费新驱</w:t>
            </w:r>
            <w:r>
              <w:rPr>
                <w:color w:val="000000"/>
                <w:sz w:val="24"/>
                <w:szCs w:val="24"/>
              </w:rPr>
              <w:lastRenderedPageBreak/>
              <w:t>动股票、交银股息优化混合、交银品质升级混合的基金经理</w:t>
            </w:r>
          </w:p>
        </w:tc>
        <w:tc>
          <w:tcPr>
            <w:tcW w:w="1549" w:type="dxa"/>
            <w:vAlign w:val="center"/>
          </w:tcPr>
          <w:p w:rsidR="00B56E89" w:rsidRDefault="006976AF">
            <w:pPr>
              <w:jc w:val="center"/>
            </w:pPr>
            <w:r>
              <w:rPr>
                <w:color w:val="000000"/>
                <w:sz w:val="24"/>
                <w:szCs w:val="24"/>
              </w:rPr>
              <w:lastRenderedPageBreak/>
              <w:t>2018-02-08</w:t>
            </w:r>
          </w:p>
        </w:tc>
        <w:tc>
          <w:tcPr>
            <w:tcW w:w="1548" w:type="dxa"/>
            <w:vAlign w:val="center"/>
          </w:tcPr>
          <w:p w:rsidR="00B56E89" w:rsidRDefault="006976AF">
            <w:pPr>
              <w:jc w:val="center"/>
            </w:pPr>
            <w:r>
              <w:rPr>
                <w:color w:val="000000"/>
                <w:sz w:val="24"/>
                <w:szCs w:val="24"/>
              </w:rPr>
              <w:t>-</w:t>
            </w:r>
          </w:p>
        </w:tc>
        <w:tc>
          <w:tcPr>
            <w:tcW w:w="1407" w:type="dxa"/>
            <w:vAlign w:val="center"/>
          </w:tcPr>
          <w:p w:rsidR="00B56E89" w:rsidRDefault="006976AF">
            <w:pPr>
              <w:jc w:val="center"/>
            </w:pPr>
            <w:r>
              <w:rPr>
                <w:color w:val="000000"/>
                <w:sz w:val="24"/>
                <w:szCs w:val="24"/>
              </w:rPr>
              <w:t>13</w:t>
            </w:r>
            <w:r>
              <w:rPr>
                <w:color w:val="000000"/>
                <w:sz w:val="24"/>
                <w:szCs w:val="24"/>
              </w:rPr>
              <w:t>年</w:t>
            </w:r>
          </w:p>
        </w:tc>
        <w:tc>
          <w:tcPr>
            <w:tcW w:w="2673" w:type="dxa"/>
            <w:vAlign w:val="center"/>
          </w:tcPr>
          <w:p w:rsidR="00B56E89" w:rsidRDefault="006976AF">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56E89" w:rsidRDefault="006976A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56E89" w:rsidRDefault="006976A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56E89" w:rsidRDefault="006976A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56E89" w:rsidRDefault="006976AF">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年一季度，外资大幅流入，国内流动性明显好转，中美贸易谈判出现缓和，市场对于整个宏观经济的预期有所好转。</w:t>
      </w:r>
      <w:r>
        <w:rPr>
          <w:color w:val="000000"/>
          <w:sz w:val="24"/>
          <w:szCs w:val="24"/>
        </w:rPr>
        <w:t>A</w:t>
      </w:r>
      <w:r>
        <w:rPr>
          <w:color w:val="000000"/>
          <w:sz w:val="24"/>
          <w:szCs w:val="24"/>
        </w:rPr>
        <w:t>股市场也出现了久违的春季大行情，从价值到主题，都出现了比较明显的涨幅。从目前情况来看，整个市场流动性继续出现大幅增长的可能性并不大，二季度宏观经济的回升幅度有待验证，</w:t>
      </w:r>
      <w:r>
        <w:rPr>
          <w:color w:val="000000"/>
          <w:sz w:val="24"/>
          <w:szCs w:val="24"/>
        </w:rPr>
        <w:t>A</w:t>
      </w:r>
      <w:r>
        <w:rPr>
          <w:color w:val="000000"/>
          <w:sz w:val="24"/>
          <w:szCs w:val="24"/>
        </w:rPr>
        <w:t>股的整体风险偏好继续上升的可能性并不大。</w:t>
      </w:r>
    </w:p>
    <w:p w:rsidR="00B56E89" w:rsidRDefault="006976AF">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年一季度基本上维持消费白马龙头为底仓配置的大思路，消费白马在</w:t>
      </w:r>
      <w:r>
        <w:rPr>
          <w:color w:val="000000"/>
          <w:sz w:val="24"/>
          <w:szCs w:val="24"/>
        </w:rPr>
        <w:t>2018</w:t>
      </w:r>
      <w:r>
        <w:rPr>
          <w:color w:val="000000"/>
          <w:sz w:val="24"/>
          <w:szCs w:val="24"/>
        </w:rPr>
        <w:t>年四季度预期大幅下调以后，基本面出现了比较明显的好转，一季度表现相对较好。考虑到市场利率水平的下降以及整个地产产业链预期的好转，超配的地产行业也获得了比较明显的超额收益。三月中旬，适度做了一些个股上的更换，在消费和地产中，增加了一季报业绩增速较快的品种替代部分增速放缓品种。</w:t>
      </w:r>
    </w:p>
    <w:p w:rsidR="00B56E89" w:rsidRDefault="006976AF">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年二季度，预计整体市场估值向下继续下调的可能性不大，结合市场流动性来看，目前</w:t>
      </w:r>
      <w:r>
        <w:rPr>
          <w:color w:val="000000"/>
          <w:sz w:val="24"/>
          <w:szCs w:val="24"/>
        </w:rPr>
        <w:t>TTM</w:t>
      </w:r>
      <w:r>
        <w:rPr>
          <w:color w:val="000000"/>
          <w:sz w:val="24"/>
          <w:szCs w:val="24"/>
        </w:rPr>
        <w:t>估值基本上也恢复到正常水平。二季度需要观察两个风险：一是美国经济是否会出现比较明显的回落，美股的回落可能对</w:t>
      </w:r>
      <w:r>
        <w:rPr>
          <w:color w:val="000000"/>
          <w:sz w:val="24"/>
          <w:szCs w:val="24"/>
        </w:rPr>
        <w:t>A</w:t>
      </w:r>
      <w:r>
        <w:rPr>
          <w:color w:val="000000"/>
          <w:sz w:val="24"/>
          <w:szCs w:val="24"/>
        </w:rPr>
        <w:t>股整体的情绪和流动性影响越来越大；二是关注后续</w:t>
      </w:r>
      <w:r>
        <w:rPr>
          <w:color w:val="000000"/>
          <w:sz w:val="24"/>
          <w:szCs w:val="24"/>
        </w:rPr>
        <w:t>M1</w:t>
      </w:r>
      <w:r>
        <w:rPr>
          <w:color w:val="000000"/>
          <w:sz w:val="24"/>
          <w:szCs w:val="24"/>
        </w:rPr>
        <w:t>、</w:t>
      </w:r>
      <w:r>
        <w:rPr>
          <w:color w:val="000000"/>
          <w:sz w:val="24"/>
          <w:szCs w:val="24"/>
        </w:rPr>
        <w:t>PPI</w:t>
      </w:r>
      <w:r>
        <w:rPr>
          <w:color w:val="000000"/>
          <w:sz w:val="24"/>
          <w:szCs w:val="24"/>
        </w:rPr>
        <w:t>和</w:t>
      </w:r>
      <w:r>
        <w:rPr>
          <w:color w:val="000000"/>
          <w:sz w:val="24"/>
          <w:szCs w:val="24"/>
        </w:rPr>
        <w:t>PMI</w:t>
      </w:r>
      <w:r>
        <w:rPr>
          <w:color w:val="000000"/>
          <w:sz w:val="24"/>
          <w:szCs w:val="24"/>
        </w:rPr>
        <w:t>等核心数据的变化，防止市场对于宏观经济预期的变化。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2019</w:t>
      </w:r>
      <w:r w:rsidRPr="00414345">
        <w:rPr>
          <w:color w:val="000000"/>
          <w:sz w:val="24"/>
          <w:szCs w:val="24"/>
        </w:rPr>
        <w:t>年二季度拟继续维持消费白马和地产底仓不发生太大变化，同时考虑适度降低仓位应对可能出现的风险。个股上，维持一季报增速较快公司的持仓不发生变化，一季报增速放缓的公司可能会考虑减持。此外，如果市场出现比较明显的回落，可能会逐步增加医药和计算机龙头公司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1,486,820,039.37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92.56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1,486,820,039.37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92.56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108,523,038.23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10,943,702.86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0.68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1,606,286,780.46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1,140,404,217.07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15,932,902.94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287,449,880.16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34,242,758.44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668,437.76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7,987,500.00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1,486,820,039.37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92.99</w:t>
            </w:r>
          </w:p>
        </w:tc>
      </w:tr>
    </w:tbl>
    <w:p w:rsidR="006F6D2B" w:rsidRDefault="006F6D2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56E89">
        <w:trPr>
          <w:jc w:val="center"/>
        </w:trPr>
        <w:tc>
          <w:tcPr>
            <w:tcW w:w="855" w:type="dxa"/>
            <w:vAlign w:val="center"/>
          </w:tcPr>
          <w:p w:rsidR="00B56E89" w:rsidRDefault="006976AF">
            <w:pPr>
              <w:jc w:val="center"/>
            </w:pPr>
            <w:r>
              <w:rPr>
                <w:color w:val="000000"/>
                <w:sz w:val="24"/>
                <w:szCs w:val="24"/>
              </w:rPr>
              <w:t>1</w:t>
            </w:r>
          </w:p>
        </w:tc>
        <w:tc>
          <w:tcPr>
            <w:tcW w:w="1334" w:type="dxa"/>
            <w:vAlign w:val="center"/>
          </w:tcPr>
          <w:p w:rsidR="00B56E89" w:rsidRDefault="006976AF">
            <w:pPr>
              <w:jc w:val="center"/>
            </w:pPr>
            <w:r>
              <w:rPr>
                <w:color w:val="000000"/>
                <w:sz w:val="24"/>
                <w:szCs w:val="24"/>
              </w:rPr>
              <w:t>600519</w:t>
            </w:r>
          </w:p>
        </w:tc>
        <w:tc>
          <w:tcPr>
            <w:tcW w:w="1777" w:type="dxa"/>
            <w:vAlign w:val="center"/>
          </w:tcPr>
          <w:p w:rsidR="00B56E89" w:rsidRDefault="006976AF">
            <w:pPr>
              <w:jc w:val="center"/>
            </w:pPr>
            <w:r>
              <w:rPr>
                <w:color w:val="000000"/>
                <w:sz w:val="24"/>
                <w:szCs w:val="24"/>
              </w:rPr>
              <w:t>贵州茅台</w:t>
            </w:r>
          </w:p>
        </w:tc>
        <w:tc>
          <w:tcPr>
            <w:tcW w:w="1334" w:type="dxa"/>
            <w:vAlign w:val="center"/>
          </w:tcPr>
          <w:p w:rsidR="00B56E89" w:rsidRDefault="006976AF">
            <w:pPr>
              <w:jc w:val="right"/>
            </w:pPr>
            <w:r>
              <w:rPr>
                <w:color w:val="000000"/>
                <w:sz w:val="24"/>
                <w:szCs w:val="24"/>
              </w:rPr>
              <w:t>171,549</w:t>
            </w:r>
          </w:p>
        </w:tc>
        <w:tc>
          <w:tcPr>
            <w:tcW w:w="1924" w:type="dxa"/>
            <w:vAlign w:val="center"/>
          </w:tcPr>
          <w:p w:rsidR="00B56E89" w:rsidRDefault="006976AF">
            <w:pPr>
              <w:jc w:val="right"/>
            </w:pPr>
            <w:r>
              <w:rPr>
                <w:color w:val="000000"/>
                <w:sz w:val="24"/>
                <w:szCs w:val="24"/>
              </w:rPr>
              <w:t>146,501,130.51</w:t>
            </w:r>
          </w:p>
        </w:tc>
        <w:tc>
          <w:tcPr>
            <w:tcW w:w="1644" w:type="dxa"/>
            <w:vAlign w:val="center"/>
          </w:tcPr>
          <w:p w:rsidR="00B56E89" w:rsidRDefault="006976AF">
            <w:pPr>
              <w:jc w:val="right"/>
            </w:pPr>
            <w:r>
              <w:rPr>
                <w:color w:val="000000"/>
                <w:sz w:val="24"/>
                <w:szCs w:val="24"/>
              </w:rPr>
              <w:t>9.16</w:t>
            </w:r>
          </w:p>
        </w:tc>
      </w:tr>
      <w:tr w:rsidR="00B56E89">
        <w:trPr>
          <w:jc w:val="center"/>
        </w:trPr>
        <w:tc>
          <w:tcPr>
            <w:tcW w:w="855" w:type="dxa"/>
            <w:vAlign w:val="center"/>
          </w:tcPr>
          <w:p w:rsidR="00B56E89" w:rsidRDefault="006976AF">
            <w:pPr>
              <w:jc w:val="center"/>
            </w:pPr>
            <w:r>
              <w:rPr>
                <w:color w:val="000000"/>
                <w:sz w:val="24"/>
                <w:szCs w:val="24"/>
              </w:rPr>
              <w:t>2</w:t>
            </w:r>
          </w:p>
        </w:tc>
        <w:tc>
          <w:tcPr>
            <w:tcW w:w="1334" w:type="dxa"/>
            <w:vAlign w:val="center"/>
          </w:tcPr>
          <w:p w:rsidR="00B56E89" w:rsidRDefault="006976AF">
            <w:pPr>
              <w:jc w:val="center"/>
            </w:pPr>
            <w:r>
              <w:rPr>
                <w:color w:val="000000"/>
                <w:sz w:val="24"/>
                <w:szCs w:val="24"/>
              </w:rPr>
              <w:t>600559</w:t>
            </w:r>
          </w:p>
        </w:tc>
        <w:tc>
          <w:tcPr>
            <w:tcW w:w="1777" w:type="dxa"/>
            <w:vAlign w:val="center"/>
          </w:tcPr>
          <w:p w:rsidR="00B56E89" w:rsidRDefault="006976AF">
            <w:pPr>
              <w:jc w:val="center"/>
            </w:pPr>
            <w:r>
              <w:rPr>
                <w:color w:val="000000"/>
                <w:sz w:val="24"/>
                <w:szCs w:val="24"/>
              </w:rPr>
              <w:t>老白干酒</w:t>
            </w:r>
          </w:p>
        </w:tc>
        <w:tc>
          <w:tcPr>
            <w:tcW w:w="1334" w:type="dxa"/>
            <w:vAlign w:val="center"/>
          </w:tcPr>
          <w:p w:rsidR="00B56E89" w:rsidRDefault="006976AF">
            <w:pPr>
              <w:jc w:val="right"/>
            </w:pPr>
            <w:r>
              <w:rPr>
                <w:color w:val="000000"/>
                <w:sz w:val="24"/>
                <w:szCs w:val="24"/>
              </w:rPr>
              <w:t>7,786,497</w:t>
            </w:r>
          </w:p>
        </w:tc>
        <w:tc>
          <w:tcPr>
            <w:tcW w:w="1924" w:type="dxa"/>
            <w:vAlign w:val="center"/>
          </w:tcPr>
          <w:p w:rsidR="00B56E89" w:rsidRDefault="006976AF">
            <w:pPr>
              <w:jc w:val="right"/>
            </w:pPr>
            <w:r>
              <w:rPr>
                <w:color w:val="000000"/>
                <w:sz w:val="24"/>
                <w:szCs w:val="24"/>
              </w:rPr>
              <w:t>145,140,304.08</w:t>
            </w:r>
          </w:p>
        </w:tc>
        <w:tc>
          <w:tcPr>
            <w:tcW w:w="1644" w:type="dxa"/>
            <w:vAlign w:val="center"/>
          </w:tcPr>
          <w:p w:rsidR="00B56E89" w:rsidRDefault="006976AF">
            <w:pPr>
              <w:jc w:val="right"/>
            </w:pPr>
            <w:r>
              <w:rPr>
                <w:color w:val="000000"/>
                <w:sz w:val="24"/>
                <w:szCs w:val="24"/>
              </w:rPr>
              <w:t>9.08</w:t>
            </w:r>
          </w:p>
        </w:tc>
      </w:tr>
      <w:tr w:rsidR="00B56E89">
        <w:trPr>
          <w:jc w:val="center"/>
        </w:trPr>
        <w:tc>
          <w:tcPr>
            <w:tcW w:w="855" w:type="dxa"/>
            <w:vAlign w:val="center"/>
          </w:tcPr>
          <w:p w:rsidR="00B56E89" w:rsidRDefault="006976AF">
            <w:pPr>
              <w:jc w:val="center"/>
            </w:pPr>
            <w:r>
              <w:rPr>
                <w:color w:val="000000"/>
                <w:sz w:val="24"/>
                <w:szCs w:val="24"/>
              </w:rPr>
              <w:t>3</w:t>
            </w:r>
          </w:p>
        </w:tc>
        <w:tc>
          <w:tcPr>
            <w:tcW w:w="1334" w:type="dxa"/>
            <w:vAlign w:val="center"/>
          </w:tcPr>
          <w:p w:rsidR="00B56E89" w:rsidRDefault="006976AF">
            <w:pPr>
              <w:jc w:val="center"/>
            </w:pPr>
            <w:r>
              <w:rPr>
                <w:color w:val="000000"/>
                <w:sz w:val="24"/>
                <w:szCs w:val="24"/>
              </w:rPr>
              <w:t>600887</w:t>
            </w:r>
          </w:p>
        </w:tc>
        <w:tc>
          <w:tcPr>
            <w:tcW w:w="1777" w:type="dxa"/>
            <w:vAlign w:val="center"/>
          </w:tcPr>
          <w:p w:rsidR="00B56E89" w:rsidRDefault="006976AF">
            <w:pPr>
              <w:jc w:val="center"/>
            </w:pPr>
            <w:r>
              <w:rPr>
                <w:color w:val="000000"/>
                <w:sz w:val="24"/>
                <w:szCs w:val="24"/>
              </w:rPr>
              <w:t>伊利股份</w:t>
            </w:r>
          </w:p>
        </w:tc>
        <w:tc>
          <w:tcPr>
            <w:tcW w:w="1334" w:type="dxa"/>
            <w:vAlign w:val="center"/>
          </w:tcPr>
          <w:p w:rsidR="00B56E89" w:rsidRDefault="006976AF">
            <w:pPr>
              <w:jc w:val="right"/>
            </w:pPr>
            <w:r>
              <w:rPr>
                <w:color w:val="000000"/>
                <w:sz w:val="24"/>
                <w:szCs w:val="24"/>
              </w:rPr>
              <w:t>4,942,414</w:t>
            </w:r>
          </w:p>
        </w:tc>
        <w:tc>
          <w:tcPr>
            <w:tcW w:w="1924" w:type="dxa"/>
            <w:vAlign w:val="center"/>
          </w:tcPr>
          <w:p w:rsidR="00B56E89" w:rsidRDefault="006976AF">
            <w:pPr>
              <w:jc w:val="right"/>
            </w:pPr>
            <w:r>
              <w:rPr>
                <w:color w:val="000000"/>
                <w:sz w:val="24"/>
                <w:szCs w:val="24"/>
              </w:rPr>
              <w:t>143,873,671.54</w:t>
            </w:r>
          </w:p>
        </w:tc>
        <w:tc>
          <w:tcPr>
            <w:tcW w:w="1644" w:type="dxa"/>
            <w:vAlign w:val="center"/>
          </w:tcPr>
          <w:p w:rsidR="00B56E89" w:rsidRDefault="006976AF">
            <w:pPr>
              <w:jc w:val="right"/>
            </w:pPr>
            <w:r>
              <w:rPr>
                <w:color w:val="000000"/>
                <w:sz w:val="24"/>
                <w:szCs w:val="24"/>
              </w:rPr>
              <w:t>9.00</w:t>
            </w:r>
          </w:p>
        </w:tc>
      </w:tr>
      <w:tr w:rsidR="00B56E89">
        <w:trPr>
          <w:jc w:val="center"/>
        </w:trPr>
        <w:tc>
          <w:tcPr>
            <w:tcW w:w="855" w:type="dxa"/>
            <w:vAlign w:val="center"/>
          </w:tcPr>
          <w:p w:rsidR="00B56E89" w:rsidRDefault="006976AF">
            <w:pPr>
              <w:jc w:val="center"/>
            </w:pPr>
            <w:r>
              <w:rPr>
                <w:color w:val="000000"/>
                <w:sz w:val="24"/>
                <w:szCs w:val="24"/>
              </w:rPr>
              <w:t>4</w:t>
            </w:r>
          </w:p>
        </w:tc>
        <w:tc>
          <w:tcPr>
            <w:tcW w:w="1334" w:type="dxa"/>
            <w:vAlign w:val="center"/>
          </w:tcPr>
          <w:p w:rsidR="00B56E89" w:rsidRDefault="006976AF">
            <w:pPr>
              <w:jc w:val="center"/>
            </w:pPr>
            <w:r>
              <w:rPr>
                <w:color w:val="000000"/>
                <w:sz w:val="24"/>
                <w:szCs w:val="24"/>
              </w:rPr>
              <w:t>000858</w:t>
            </w:r>
          </w:p>
        </w:tc>
        <w:tc>
          <w:tcPr>
            <w:tcW w:w="1777" w:type="dxa"/>
            <w:vAlign w:val="center"/>
          </w:tcPr>
          <w:p w:rsidR="00B56E89" w:rsidRDefault="006976AF">
            <w:pPr>
              <w:jc w:val="center"/>
            </w:pPr>
            <w:r>
              <w:rPr>
                <w:color w:val="000000"/>
                <w:sz w:val="24"/>
                <w:szCs w:val="24"/>
              </w:rPr>
              <w:t>五粮液</w:t>
            </w:r>
          </w:p>
        </w:tc>
        <w:tc>
          <w:tcPr>
            <w:tcW w:w="1334" w:type="dxa"/>
            <w:vAlign w:val="center"/>
          </w:tcPr>
          <w:p w:rsidR="00B56E89" w:rsidRDefault="006976AF">
            <w:pPr>
              <w:jc w:val="right"/>
            </w:pPr>
            <w:r>
              <w:rPr>
                <w:color w:val="000000"/>
                <w:sz w:val="24"/>
                <w:szCs w:val="24"/>
              </w:rPr>
              <w:t>1,512,843</w:t>
            </w:r>
          </w:p>
        </w:tc>
        <w:tc>
          <w:tcPr>
            <w:tcW w:w="1924" w:type="dxa"/>
            <w:vAlign w:val="center"/>
          </w:tcPr>
          <w:p w:rsidR="00B56E89" w:rsidRDefault="006976AF">
            <w:pPr>
              <w:jc w:val="right"/>
            </w:pPr>
            <w:r>
              <w:rPr>
                <w:color w:val="000000"/>
                <w:sz w:val="24"/>
                <w:szCs w:val="24"/>
              </w:rPr>
              <w:t>143,720,085.00</w:t>
            </w:r>
          </w:p>
        </w:tc>
        <w:tc>
          <w:tcPr>
            <w:tcW w:w="1644" w:type="dxa"/>
            <w:vAlign w:val="center"/>
          </w:tcPr>
          <w:p w:rsidR="00B56E89" w:rsidRDefault="006976AF">
            <w:pPr>
              <w:jc w:val="right"/>
            </w:pPr>
            <w:r>
              <w:rPr>
                <w:color w:val="000000"/>
                <w:sz w:val="24"/>
                <w:szCs w:val="24"/>
              </w:rPr>
              <w:t>8.99</w:t>
            </w:r>
          </w:p>
        </w:tc>
      </w:tr>
      <w:tr w:rsidR="00B56E89">
        <w:trPr>
          <w:jc w:val="center"/>
        </w:trPr>
        <w:tc>
          <w:tcPr>
            <w:tcW w:w="855" w:type="dxa"/>
            <w:vAlign w:val="center"/>
          </w:tcPr>
          <w:p w:rsidR="00B56E89" w:rsidRDefault="006976AF">
            <w:pPr>
              <w:jc w:val="center"/>
            </w:pPr>
            <w:r>
              <w:rPr>
                <w:color w:val="000000"/>
                <w:sz w:val="24"/>
                <w:szCs w:val="24"/>
              </w:rPr>
              <w:t>5</w:t>
            </w:r>
          </w:p>
        </w:tc>
        <w:tc>
          <w:tcPr>
            <w:tcW w:w="1334" w:type="dxa"/>
            <w:vAlign w:val="center"/>
          </w:tcPr>
          <w:p w:rsidR="00B56E89" w:rsidRDefault="006976AF">
            <w:pPr>
              <w:jc w:val="center"/>
            </w:pPr>
            <w:r>
              <w:rPr>
                <w:color w:val="000000"/>
                <w:sz w:val="24"/>
                <w:szCs w:val="24"/>
              </w:rPr>
              <w:t>300146</w:t>
            </w:r>
          </w:p>
        </w:tc>
        <w:tc>
          <w:tcPr>
            <w:tcW w:w="1777" w:type="dxa"/>
            <w:vAlign w:val="center"/>
          </w:tcPr>
          <w:p w:rsidR="00B56E89" w:rsidRDefault="006976AF">
            <w:pPr>
              <w:jc w:val="center"/>
            </w:pPr>
            <w:r>
              <w:rPr>
                <w:color w:val="000000"/>
                <w:sz w:val="24"/>
                <w:szCs w:val="24"/>
              </w:rPr>
              <w:t>汤臣倍健</w:t>
            </w:r>
          </w:p>
        </w:tc>
        <w:tc>
          <w:tcPr>
            <w:tcW w:w="1334" w:type="dxa"/>
            <w:vAlign w:val="center"/>
          </w:tcPr>
          <w:p w:rsidR="00B56E89" w:rsidRDefault="006976AF">
            <w:pPr>
              <w:jc w:val="right"/>
            </w:pPr>
            <w:r>
              <w:rPr>
                <w:color w:val="000000"/>
                <w:sz w:val="24"/>
                <w:szCs w:val="24"/>
              </w:rPr>
              <w:t>6,268,086</w:t>
            </w:r>
          </w:p>
        </w:tc>
        <w:tc>
          <w:tcPr>
            <w:tcW w:w="1924" w:type="dxa"/>
            <w:vAlign w:val="center"/>
          </w:tcPr>
          <w:p w:rsidR="00B56E89" w:rsidRDefault="006976AF">
            <w:pPr>
              <w:jc w:val="right"/>
            </w:pPr>
            <w:r>
              <w:rPr>
                <w:color w:val="000000"/>
                <w:sz w:val="24"/>
                <w:szCs w:val="24"/>
              </w:rPr>
              <w:t>143,225,765.10</w:t>
            </w:r>
          </w:p>
        </w:tc>
        <w:tc>
          <w:tcPr>
            <w:tcW w:w="1644" w:type="dxa"/>
            <w:vAlign w:val="center"/>
          </w:tcPr>
          <w:p w:rsidR="00B56E89" w:rsidRDefault="006976AF">
            <w:pPr>
              <w:jc w:val="right"/>
            </w:pPr>
            <w:r>
              <w:rPr>
                <w:color w:val="000000"/>
                <w:sz w:val="24"/>
                <w:szCs w:val="24"/>
              </w:rPr>
              <w:t>8.96</w:t>
            </w:r>
          </w:p>
        </w:tc>
      </w:tr>
      <w:tr w:rsidR="00B56E89">
        <w:trPr>
          <w:jc w:val="center"/>
        </w:trPr>
        <w:tc>
          <w:tcPr>
            <w:tcW w:w="855" w:type="dxa"/>
            <w:vAlign w:val="center"/>
          </w:tcPr>
          <w:p w:rsidR="00B56E89" w:rsidRDefault="006976AF">
            <w:pPr>
              <w:jc w:val="center"/>
            </w:pPr>
            <w:r>
              <w:rPr>
                <w:color w:val="000000"/>
                <w:sz w:val="24"/>
                <w:szCs w:val="24"/>
              </w:rPr>
              <w:t>6</w:t>
            </w:r>
          </w:p>
        </w:tc>
        <w:tc>
          <w:tcPr>
            <w:tcW w:w="1334" w:type="dxa"/>
            <w:vAlign w:val="center"/>
          </w:tcPr>
          <w:p w:rsidR="00B56E89" w:rsidRDefault="006976AF">
            <w:pPr>
              <w:jc w:val="center"/>
            </w:pPr>
            <w:r>
              <w:rPr>
                <w:color w:val="000000"/>
                <w:sz w:val="24"/>
                <w:szCs w:val="24"/>
              </w:rPr>
              <w:t>603808</w:t>
            </w:r>
          </w:p>
        </w:tc>
        <w:tc>
          <w:tcPr>
            <w:tcW w:w="1777" w:type="dxa"/>
            <w:vAlign w:val="center"/>
          </w:tcPr>
          <w:p w:rsidR="00B56E89" w:rsidRDefault="006976AF">
            <w:pPr>
              <w:jc w:val="center"/>
            </w:pPr>
            <w:r>
              <w:rPr>
                <w:color w:val="000000"/>
                <w:sz w:val="24"/>
                <w:szCs w:val="24"/>
              </w:rPr>
              <w:t>歌力思</w:t>
            </w:r>
          </w:p>
        </w:tc>
        <w:tc>
          <w:tcPr>
            <w:tcW w:w="1334" w:type="dxa"/>
            <w:vAlign w:val="center"/>
          </w:tcPr>
          <w:p w:rsidR="00B56E89" w:rsidRDefault="006976AF">
            <w:pPr>
              <w:jc w:val="right"/>
            </w:pPr>
            <w:r>
              <w:rPr>
                <w:color w:val="000000"/>
                <w:sz w:val="24"/>
                <w:szCs w:val="24"/>
              </w:rPr>
              <w:t>6,612,584</w:t>
            </w:r>
          </w:p>
        </w:tc>
        <w:tc>
          <w:tcPr>
            <w:tcW w:w="1924" w:type="dxa"/>
            <w:vAlign w:val="center"/>
          </w:tcPr>
          <w:p w:rsidR="00B56E89" w:rsidRDefault="006976AF">
            <w:pPr>
              <w:jc w:val="right"/>
            </w:pPr>
            <w:r>
              <w:rPr>
                <w:color w:val="000000"/>
                <w:sz w:val="24"/>
                <w:szCs w:val="24"/>
              </w:rPr>
              <w:t>115,257,339.12</w:t>
            </w:r>
          </w:p>
        </w:tc>
        <w:tc>
          <w:tcPr>
            <w:tcW w:w="1644" w:type="dxa"/>
            <w:vAlign w:val="center"/>
          </w:tcPr>
          <w:p w:rsidR="00B56E89" w:rsidRDefault="006976AF">
            <w:pPr>
              <w:jc w:val="right"/>
            </w:pPr>
            <w:r>
              <w:rPr>
                <w:color w:val="000000"/>
                <w:sz w:val="24"/>
                <w:szCs w:val="24"/>
              </w:rPr>
              <w:t>7.21</w:t>
            </w:r>
          </w:p>
        </w:tc>
      </w:tr>
      <w:tr w:rsidR="00B56E89">
        <w:trPr>
          <w:jc w:val="center"/>
        </w:trPr>
        <w:tc>
          <w:tcPr>
            <w:tcW w:w="855" w:type="dxa"/>
            <w:vAlign w:val="center"/>
          </w:tcPr>
          <w:p w:rsidR="00B56E89" w:rsidRDefault="006976AF">
            <w:pPr>
              <w:jc w:val="center"/>
            </w:pPr>
            <w:r>
              <w:rPr>
                <w:color w:val="000000"/>
                <w:sz w:val="24"/>
                <w:szCs w:val="24"/>
              </w:rPr>
              <w:t>7</w:t>
            </w:r>
          </w:p>
        </w:tc>
        <w:tc>
          <w:tcPr>
            <w:tcW w:w="1334" w:type="dxa"/>
            <w:vAlign w:val="center"/>
          </w:tcPr>
          <w:p w:rsidR="00B56E89" w:rsidRDefault="006976AF">
            <w:pPr>
              <w:jc w:val="center"/>
            </w:pPr>
            <w:r>
              <w:rPr>
                <w:color w:val="000000"/>
                <w:sz w:val="24"/>
                <w:szCs w:val="24"/>
              </w:rPr>
              <w:t>600048</w:t>
            </w:r>
          </w:p>
        </w:tc>
        <w:tc>
          <w:tcPr>
            <w:tcW w:w="1777" w:type="dxa"/>
            <w:vAlign w:val="center"/>
          </w:tcPr>
          <w:p w:rsidR="00B56E89" w:rsidRDefault="006976AF">
            <w:pPr>
              <w:jc w:val="center"/>
            </w:pPr>
            <w:r>
              <w:rPr>
                <w:color w:val="000000"/>
                <w:sz w:val="24"/>
                <w:szCs w:val="24"/>
              </w:rPr>
              <w:t>保利地产</w:t>
            </w:r>
          </w:p>
        </w:tc>
        <w:tc>
          <w:tcPr>
            <w:tcW w:w="1334" w:type="dxa"/>
            <w:vAlign w:val="center"/>
          </w:tcPr>
          <w:p w:rsidR="00B56E89" w:rsidRDefault="006976AF">
            <w:pPr>
              <w:jc w:val="right"/>
            </w:pPr>
            <w:r>
              <w:rPr>
                <w:color w:val="000000"/>
                <w:sz w:val="24"/>
                <w:szCs w:val="24"/>
              </w:rPr>
              <w:t>6,593,634</w:t>
            </w:r>
          </w:p>
        </w:tc>
        <w:tc>
          <w:tcPr>
            <w:tcW w:w="1924" w:type="dxa"/>
            <w:vAlign w:val="center"/>
          </w:tcPr>
          <w:p w:rsidR="00B56E89" w:rsidRDefault="006976AF">
            <w:pPr>
              <w:jc w:val="right"/>
            </w:pPr>
            <w:r>
              <w:rPr>
                <w:color w:val="000000"/>
                <w:sz w:val="24"/>
                <w:szCs w:val="24"/>
              </w:rPr>
              <w:t>93,893,348.16</w:t>
            </w:r>
          </w:p>
        </w:tc>
        <w:tc>
          <w:tcPr>
            <w:tcW w:w="1644" w:type="dxa"/>
            <w:vAlign w:val="center"/>
          </w:tcPr>
          <w:p w:rsidR="00B56E89" w:rsidRDefault="006976AF">
            <w:pPr>
              <w:jc w:val="right"/>
            </w:pPr>
            <w:r>
              <w:rPr>
                <w:color w:val="000000"/>
                <w:sz w:val="24"/>
                <w:szCs w:val="24"/>
              </w:rPr>
              <w:t>5.87</w:t>
            </w:r>
          </w:p>
        </w:tc>
      </w:tr>
      <w:tr w:rsidR="00B56E89">
        <w:trPr>
          <w:jc w:val="center"/>
        </w:trPr>
        <w:tc>
          <w:tcPr>
            <w:tcW w:w="855" w:type="dxa"/>
            <w:vAlign w:val="center"/>
          </w:tcPr>
          <w:p w:rsidR="00B56E89" w:rsidRDefault="006976AF">
            <w:pPr>
              <w:jc w:val="center"/>
            </w:pPr>
            <w:r>
              <w:rPr>
                <w:color w:val="000000"/>
                <w:sz w:val="24"/>
                <w:szCs w:val="24"/>
              </w:rPr>
              <w:t>8</w:t>
            </w:r>
          </w:p>
        </w:tc>
        <w:tc>
          <w:tcPr>
            <w:tcW w:w="1334" w:type="dxa"/>
            <w:vAlign w:val="center"/>
          </w:tcPr>
          <w:p w:rsidR="00B56E89" w:rsidRDefault="006976AF">
            <w:pPr>
              <w:jc w:val="center"/>
            </w:pPr>
            <w:r>
              <w:rPr>
                <w:color w:val="000000"/>
                <w:sz w:val="24"/>
                <w:szCs w:val="24"/>
              </w:rPr>
              <w:t>601155</w:t>
            </w:r>
          </w:p>
        </w:tc>
        <w:tc>
          <w:tcPr>
            <w:tcW w:w="1777" w:type="dxa"/>
            <w:vAlign w:val="center"/>
          </w:tcPr>
          <w:p w:rsidR="00B56E89" w:rsidRDefault="006976AF">
            <w:pPr>
              <w:jc w:val="center"/>
            </w:pPr>
            <w:r>
              <w:rPr>
                <w:color w:val="000000"/>
                <w:sz w:val="24"/>
                <w:szCs w:val="24"/>
              </w:rPr>
              <w:t>新城控股</w:t>
            </w:r>
          </w:p>
        </w:tc>
        <w:tc>
          <w:tcPr>
            <w:tcW w:w="1334" w:type="dxa"/>
            <w:vAlign w:val="center"/>
          </w:tcPr>
          <w:p w:rsidR="00B56E89" w:rsidRDefault="006976AF">
            <w:pPr>
              <w:jc w:val="right"/>
            </w:pPr>
            <w:r>
              <w:rPr>
                <w:color w:val="000000"/>
                <w:sz w:val="24"/>
                <w:szCs w:val="24"/>
              </w:rPr>
              <w:t>2,044,880</w:t>
            </w:r>
          </w:p>
        </w:tc>
        <w:tc>
          <w:tcPr>
            <w:tcW w:w="1924" w:type="dxa"/>
            <w:vAlign w:val="center"/>
          </w:tcPr>
          <w:p w:rsidR="00B56E89" w:rsidRDefault="006976AF">
            <w:pPr>
              <w:jc w:val="right"/>
            </w:pPr>
            <w:r>
              <w:rPr>
                <w:color w:val="000000"/>
                <w:sz w:val="24"/>
                <w:szCs w:val="24"/>
              </w:rPr>
              <w:t>92,326,332.00</w:t>
            </w:r>
          </w:p>
        </w:tc>
        <w:tc>
          <w:tcPr>
            <w:tcW w:w="1644" w:type="dxa"/>
            <w:vAlign w:val="center"/>
          </w:tcPr>
          <w:p w:rsidR="00B56E89" w:rsidRDefault="006976AF">
            <w:pPr>
              <w:jc w:val="right"/>
            </w:pPr>
            <w:r>
              <w:rPr>
                <w:color w:val="000000"/>
                <w:sz w:val="24"/>
                <w:szCs w:val="24"/>
              </w:rPr>
              <w:t>5.77</w:t>
            </w:r>
          </w:p>
        </w:tc>
      </w:tr>
      <w:tr w:rsidR="00B56E89">
        <w:trPr>
          <w:jc w:val="center"/>
        </w:trPr>
        <w:tc>
          <w:tcPr>
            <w:tcW w:w="855" w:type="dxa"/>
            <w:vAlign w:val="center"/>
          </w:tcPr>
          <w:p w:rsidR="00B56E89" w:rsidRDefault="006976AF">
            <w:pPr>
              <w:jc w:val="center"/>
            </w:pPr>
            <w:r>
              <w:rPr>
                <w:color w:val="000000"/>
                <w:sz w:val="24"/>
                <w:szCs w:val="24"/>
              </w:rPr>
              <w:t>9</w:t>
            </w:r>
          </w:p>
        </w:tc>
        <w:tc>
          <w:tcPr>
            <w:tcW w:w="1334" w:type="dxa"/>
            <w:vAlign w:val="center"/>
          </w:tcPr>
          <w:p w:rsidR="00B56E89" w:rsidRDefault="006976AF">
            <w:pPr>
              <w:jc w:val="center"/>
            </w:pPr>
            <w:r>
              <w:rPr>
                <w:color w:val="000000"/>
                <w:sz w:val="24"/>
                <w:szCs w:val="24"/>
              </w:rPr>
              <w:t>603369</w:t>
            </w:r>
          </w:p>
        </w:tc>
        <w:tc>
          <w:tcPr>
            <w:tcW w:w="1777" w:type="dxa"/>
            <w:vAlign w:val="center"/>
          </w:tcPr>
          <w:p w:rsidR="00B56E89" w:rsidRDefault="006976AF">
            <w:pPr>
              <w:jc w:val="center"/>
            </w:pPr>
            <w:r>
              <w:rPr>
                <w:color w:val="000000"/>
                <w:sz w:val="24"/>
                <w:szCs w:val="24"/>
              </w:rPr>
              <w:t>今世缘</w:t>
            </w:r>
          </w:p>
        </w:tc>
        <w:tc>
          <w:tcPr>
            <w:tcW w:w="1334" w:type="dxa"/>
            <w:vAlign w:val="center"/>
          </w:tcPr>
          <w:p w:rsidR="00B56E89" w:rsidRDefault="006976AF">
            <w:pPr>
              <w:jc w:val="right"/>
            </w:pPr>
            <w:r>
              <w:rPr>
                <w:color w:val="000000"/>
                <w:sz w:val="24"/>
                <w:szCs w:val="24"/>
              </w:rPr>
              <w:t>2,752,214</w:t>
            </w:r>
          </w:p>
        </w:tc>
        <w:tc>
          <w:tcPr>
            <w:tcW w:w="1924" w:type="dxa"/>
            <w:vAlign w:val="center"/>
          </w:tcPr>
          <w:p w:rsidR="00B56E89" w:rsidRDefault="006976AF">
            <w:pPr>
              <w:jc w:val="right"/>
            </w:pPr>
            <w:r>
              <w:rPr>
                <w:color w:val="000000"/>
                <w:sz w:val="24"/>
                <w:szCs w:val="24"/>
              </w:rPr>
              <w:t>78,988,541.80</w:t>
            </w:r>
          </w:p>
        </w:tc>
        <w:tc>
          <w:tcPr>
            <w:tcW w:w="1644" w:type="dxa"/>
            <w:vAlign w:val="center"/>
          </w:tcPr>
          <w:p w:rsidR="00B56E89" w:rsidRDefault="006976AF">
            <w:pPr>
              <w:jc w:val="right"/>
            </w:pPr>
            <w:r>
              <w:rPr>
                <w:color w:val="000000"/>
                <w:sz w:val="24"/>
                <w:szCs w:val="24"/>
              </w:rPr>
              <w:t>4.94</w:t>
            </w:r>
          </w:p>
        </w:tc>
      </w:tr>
      <w:tr w:rsidR="00B56E89">
        <w:trPr>
          <w:jc w:val="center"/>
        </w:trPr>
        <w:tc>
          <w:tcPr>
            <w:tcW w:w="855" w:type="dxa"/>
            <w:vAlign w:val="center"/>
          </w:tcPr>
          <w:p w:rsidR="00B56E89" w:rsidRDefault="006976AF">
            <w:pPr>
              <w:jc w:val="center"/>
            </w:pPr>
            <w:r>
              <w:rPr>
                <w:color w:val="000000"/>
                <w:sz w:val="24"/>
                <w:szCs w:val="24"/>
              </w:rPr>
              <w:t>10</w:t>
            </w:r>
          </w:p>
        </w:tc>
        <w:tc>
          <w:tcPr>
            <w:tcW w:w="1334" w:type="dxa"/>
            <w:vAlign w:val="center"/>
          </w:tcPr>
          <w:p w:rsidR="00B56E89" w:rsidRDefault="006976AF">
            <w:pPr>
              <w:jc w:val="center"/>
            </w:pPr>
            <w:r>
              <w:rPr>
                <w:color w:val="000000"/>
                <w:sz w:val="24"/>
                <w:szCs w:val="24"/>
              </w:rPr>
              <w:t>603886</w:t>
            </w:r>
          </w:p>
        </w:tc>
        <w:tc>
          <w:tcPr>
            <w:tcW w:w="1777" w:type="dxa"/>
            <w:vAlign w:val="center"/>
          </w:tcPr>
          <w:p w:rsidR="00B56E89" w:rsidRDefault="006976AF">
            <w:pPr>
              <w:jc w:val="center"/>
            </w:pPr>
            <w:r>
              <w:rPr>
                <w:color w:val="000000"/>
                <w:sz w:val="24"/>
                <w:szCs w:val="24"/>
              </w:rPr>
              <w:t>元祖股份</w:t>
            </w:r>
          </w:p>
        </w:tc>
        <w:tc>
          <w:tcPr>
            <w:tcW w:w="1334" w:type="dxa"/>
            <w:vAlign w:val="center"/>
          </w:tcPr>
          <w:p w:rsidR="00B56E89" w:rsidRDefault="006976AF">
            <w:pPr>
              <w:jc w:val="right"/>
            </w:pPr>
            <w:r>
              <w:rPr>
                <w:color w:val="000000"/>
                <w:sz w:val="24"/>
                <w:szCs w:val="24"/>
              </w:rPr>
              <w:t>3,329,516</w:t>
            </w:r>
          </w:p>
        </w:tc>
        <w:tc>
          <w:tcPr>
            <w:tcW w:w="1924" w:type="dxa"/>
            <w:vAlign w:val="center"/>
          </w:tcPr>
          <w:p w:rsidR="00B56E89" w:rsidRDefault="006976AF">
            <w:pPr>
              <w:jc w:val="right"/>
            </w:pPr>
            <w:r>
              <w:rPr>
                <w:color w:val="000000"/>
                <w:sz w:val="24"/>
                <w:szCs w:val="24"/>
              </w:rPr>
              <w:t>78,405,185.64</w:t>
            </w:r>
          </w:p>
        </w:tc>
        <w:tc>
          <w:tcPr>
            <w:tcW w:w="1644" w:type="dxa"/>
            <w:vAlign w:val="center"/>
          </w:tcPr>
          <w:p w:rsidR="00B56E89" w:rsidRDefault="006976AF">
            <w:pPr>
              <w:jc w:val="right"/>
            </w:pPr>
            <w:r>
              <w:rPr>
                <w:color w:val="000000"/>
                <w:sz w:val="24"/>
                <w:szCs w:val="24"/>
              </w:rPr>
              <w:t>4.90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1,038,879.12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9,844,559.08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25,693.09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34,571.57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10,943,702.86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56E89">
        <w:trPr>
          <w:jc w:val="center"/>
        </w:trPr>
        <w:tc>
          <w:tcPr>
            <w:tcW w:w="1129" w:type="dxa"/>
            <w:vAlign w:val="center"/>
          </w:tcPr>
          <w:p w:rsidR="00B56E89" w:rsidRDefault="006976AF">
            <w:pPr>
              <w:jc w:val="center"/>
            </w:pPr>
            <w:r>
              <w:rPr>
                <w:color w:val="000000"/>
                <w:sz w:val="24"/>
                <w:szCs w:val="24"/>
              </w:rPr>
              <w:t>1</w:t>
            </w:r>
          </w:p>
        </w:tc>
        <w:tc>
          <w:tcPr>
            <w:tcW w:w="1356" w:type="dxa"/>
            <w:vAlign w:val="center"/>
          </w:tcPr>
          <w:p w:rsidR="00B56E89" w:rsidRDefault="006976AF">
            <w:pPr>
              <w:jc w:val="center"/>
            </w:pPr>
            <w:r>
              <w:rPr>
                <w:color w:val="000000"/>
                <w:sz w:val="24"/>
                <w:szCs w:val="24"/>
              </w:rPr>
              <w:t>603886</w:t>
            </w:r>
          </w:p>
        </w:tc>
        <w:tc>
          <w:tcPr>
            <w:tcW w:w="1355" w:type="dxa"/>
            <w:vAlign w:val="center"/>
          </w:tcPr>
          <w:p w:rsidR="00B56E89" w:rsidRDefault="006976AF">
            <w:pPr>
              <w:jc w:val="center"/>
            </w:pPr>
            <w:r>
              <w:rPr>
                <w:color w:val="000000"/>
                <w:sz w:val="24"/>
                <w:szCs w:val="24"/>
              </w:rPr>
              <w:t>元祖股份</w:t>
            </w:r>
          </w:p>
        </w:tc>
        <w:tc>
          <w:tcPr>
            <w:tcW w:w="1880" w:type="dxa"/>
            <w:vAlign w:val="center"/>
          </w:tcPr>
          <w:p w:rsidR="00B56E89" w:rsidRDefault="006976AF">
            <w:pPr>
              <w:jc w:val="right"/>
            </w:pPr>
            <w:r>
              <w:rPr>
                <w:color w:val="000000"/>
                <w:sz w:val="24"/>
                <w:szCs w:val="24"/>
              </w:rPr>
              <w:t>13,470,000.00</w:t>
            </w:r>
          </w:p>
        </w:tc>
        <w:tc>
          <w:tcPr>
            <w:tcW w:w="1724" w:type="dxa"/>
            <w:vAlign w:val="center"/>
          </w:tcPr>
          <w:p w:rsidR="00B56E89" w:rsidRDefault="006976AF">
            <w:pPr>
              <w:jc w:val="right"/>
            </w:pPr>
            <w:r>
              <w:rPr>
                <w:color w:val="000000"/>
                <w:sz w:val="24"/>
                <w:szCs w:val="24"/>
              </w:rPr>
              <w:t>0.84</w:t>
            </w:r>
          </w:p>
        </w:tc>
        <w:tc>
          <w:tcPr>
            <w:tcW w:w="1424" w:type="dxa"/>
            <w:vAlign w:val="center"/>
          </w:tcPr>
          <w:p w:rsidR="00B56E89" w:rsidRDefault="006976AF">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1,698,785,312.26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9,672,533.42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124,190,768.77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1,584,267,076.91</w:t>
            </w:r>
          </w:p>
        </w:tc>
      </w:tr>
    </w:tbl>
    <w:p w:rsidR="00B56E89" w:rsidRDefault="006976A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56E89" w:rsidRDefault="006976A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、中国证监会准予交银施罗德品质升级混合型证券投资基金募集注册的文件；</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、《交银施罗德品质升级混合型证券投资基金基金合同》；</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、《交银施罗德品质升级混合型证券投资基金招募说明书》；</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、《交银施罗德品质升级混合型证券投资基金托管协议》；</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、关于申请募集注册交银施罗德品质升级混合型证券投资基金的法律意见书；</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56E89" w:rsidRDefault="006976A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、报告期内交银施罗德品质升级混合型证券投资基金在指定报刊上各项公告的原稿。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56E89" w:rsidRDefault="006976A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w:t>
      </w:r>
      <w:r>
        <w:rPr>
          <w:color w:val="000000"/>
          <w:sz w:val="24"/>
          <w:szCs w:val="24"/>
        </w:rPr>
        <w:lastRenderedPageBreak/>
        <w:t>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6F" w:rsidRDefault="00A5526F" w:rsidP="00876D65">
      <w:r>
        <w:separator/>
      </w:r>
    </w:p>
  </w:endnote>
  <w:endnote w:type="continuationSeparator" w:id="0">
    <w:p w:rsidR="00A5526F" w:rsidRDefault="00A5526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10CE4">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10CE4">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6F" w:rsidRDefault="00A5526F" w:rsidP="00876D65">
      <w:r>
        <w:separator/>
      </w:r>
    </w:p>
  </w:footnote>
  <w:footnote w:type="continuationSeparator" w:id="0">
    <w:p w:rsidR="00A5526F" w:rsidRDefault="00A5526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交银施罗德品质升级混合型证券投资基金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279"/>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976AF"/>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6F6D2B"/>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0CE4"/>
    <w:rsid w:val="00A21300"/>
    <w:rsid w:val="00A22AD0"/>
    <w:rsid w:val="00A22DA8"/>
    <w:rsid w:val="00A3030E"/>
    <w:rsid w:val="00A31574"/>
    <w:rsid w:val="00A31671"/>
    <w:rsid w:val="00A324F4"/>
    <w:rsid w:val="00A36930"/>
    <w:rsid w:val="00A45320"/>
    <w:rsid w:val="00A504C9"/>
    <w:rsid w:val="00A54C7D"/>
    <w:rsid w:val="00A5526F"/>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E89"/>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EC172-DD97-48DA-A153-286BB0BA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F82F-C1E3-4093-9921-453E4291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582</cp:revision>
  <dcterms:created xsi:type="dcterms:W3CDTF">2012-10-16T06:07:00Z</dcterms:created>
  <dcterms:modified xsi:type="dcterms:W3CDTF">2019-04-17T09:14:00Z</dcterms:modified>
</cp:coreProperties>
</file>