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交银施罗德致远量化智投策略定期开放混合型证券投资基金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基金托管人：中信银行股份有限公司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7715C" w:rsidRDefault="00917BD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基金托管人中信银行股份有限公司根据本基金合同规定，于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交银致远智投混合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005724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005724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228,753,120.21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股票量化策略的核心在于通过长期投资以摊薄买入成本，待收益达标时止盈减仓。本基金量化智投策略主要利用量化投资模型，以大数据分析为基础，结合对市场风格和市场环境的持续研究，动态调整每期投资金额，采取定期不定额的投资模式，以此增强投资效率，可帮助投资人优化投资组合成本。</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上证国债指数收益率</w:t>
            </w:r>
            <w:r w:rsidRPr="00414345">
              <w:rPr>
                <w:color w:val="000000"/>
                <w:kern w:val="0"/>
                <w:sz w:val="24"/>
                <w:szCs w:val="24"/>
              </w:rPr>
              <w:t>+25%×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中信银行股份有限公司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17BD7" w:rsidRPr="00414345" w:rsidTr="00917BD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17BD7" w:rsidRPr="00414345" w:rsidTr="00917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1,857,932.49</w:t>
            </w:r>
          </w:p>
        </w:tc>
      </w:tr>
      <w:tr w:rsidR="00917BD7" w:rsidRPr="00414345" w:rsidTr="00917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12,266,993.62</w:t>
            </w:r>
          </w:p>
        </w:tc>
      </w:tr>
      <w:tr w:rsidR="00917BD7" w:rsidRPr="00414345" w:rsidTr="00917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0.0536</w:t>
            </w:r>
          </w:p>
        </w:tc>
      </w:tr>
      <w:tr w:rsidR="00917BD7" w:rsidRPr="00414345" w:rsidTr="00917BD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235,397,032.25</w:t>
            </w:r>
          </w:p>
        </w:tc>
      </w:tr>
      <w:tr w:rsidR="00917BD7" w:rsidRPr="00414345" w:rsidTr="00917BD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1.0290</w:t>
            </w:r>
          </w:p>
        </w:tc>
      </w:tr>
    </w:tbl>
    <w:p w:rsidR="00F7715C" w:rsidRDefault="00917B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942"/>
        <w:gridCol w:w="1150"/>
      </w:tblGrid>
      <w:tr w:rsidR="00EF6FA5" w:rsidRPr="00414345" w:rsidTr="00917BD7">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94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150"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7715C" w:rsidTr="00917BD7">
        <w:trPr>
          <w:jc w:val="center"/>
        </w:trPr>
        <w:tc>
          <w:tcPr>
            <w:tcW w:w="1701" w:type="dxa"/>
            <w:vAlign w:val="center"/>
          </w:tcPr>
          <w:p w:rsidR="00F7715C" w:rsidRDefault="00917BD7">
            <w:pPr>
              <w:jc w:val="left"/>
            </w:pPr>
            <w:r>
              <w:rPr>
                <w:color w:val="000000"/>
                <w:sz w:val="24"/>
                <w:szCs w:val="24"/>
              </w:rPr>
              <w:t>过去三个月</w:t>
            </w:r>
          </w:p>
        </w:tc>
        <w:tc>
          <w:tcPr>
            <w:tcW w:w="1045" w:type="dxa"/>
            <w:vAlign w:val="center"/>
          </w:tcPr>
          <w:p w:rsidR="00F7715C" w:rsidRDefault="00917BD7">
            <w:pPr>
              <w:jc w:val="center"/>
            </w:pPr>
            <w:r>
              <w:rPr>
                <w:color w:val="000000"/>
                <w:sz w:val="24"/>
                <w:szCs w:val="24"/>
              </w:rPr>
              <w:t>5.50%</w:t>
            </w:r>
          </w:p>
        </w:tc>
        <w:tc>
          <w:tcPr>
            <w:tcW w:w="1344" w:type="dxa"/>
            <w:vAlign w:val="center"/>
          </w:tcPr>
          <w:p w:rsidR="00F7715C" w:rsidRDefault="00917BD7">
            <w:pPr>
              <w:jc w:val="center"/>
            </w:pPr>
            <w:r>
              <w:rPr>
                <w:color w:val="000000"/>
                <w:sz w:val="24"/>
                <w:szCs w:val="24"/>
              </w:rPr>
              <w:t>0.32%</w:t>
            </w:r>
          </w:p>
        </w:tc>
        <w:tc>
          <w:tcPr>
            <w:tcW w:w="1194" w:type="dxa"/>
            <w:vAlign w:val="center"/>
          </w:tcPr>
          <w:p w:rsidR="00F7715C" w:rsidRDefault="00917BD7">
            <w:pPr>
              <w:jc w:val="center"/>
            </w:pPr>
            <w:r>
              <w:rPr>
                <w:color w:val="000000"/>
                <w:sz w:val="24"/>
                <w:szCs w:val="24"/>
              </w:rPr>
              <w:t>7.65%</w:t>
            </w:r>
          </w:p>
        </w:tc>
        <w:tc>
          <w:tcPr>
            <w:tcW w:w="1492" w:type="dxa"/>
            <w:vAlign w:val="center"/>
          </w:tcPr>
          <w:p w:rsidR="00F7715C" w:rsidRDefault="00917BD7">
            <w:pPr>
              <w:jc w:val="center"/>
            </w:pPr>
            <w:r>
              <w:rPr>
                <w:color w:val="000000"/>
                <w:sz w:val="24"/>
                <w:szCs w:val="24"/>
              </w:rPr>
              <w:t>0.39%</w:t>
            </w:r>
          </w:p>
        </w:tc>
        <w:tc>
          <w:tcPr>
            <w:tcW w:w="942" w:type="dxa"/>
            <w:vAlign w:val="center"/>
          </w:tcPr>
          <w:p w:rsidR="00F7715C" w:rsidRDefault="00917BD7">
            <w:pPr>
              <w:jc w:val="center"/>
            </w:pPr>
            <w:r>
              <w:rPr>
                <w:color w:val="000000"/>
                <w:sz w:val="24"/>
                <w:szCs w:val="24"/>
              </w:rPr>
              <w:t>-2.15%</w:t>
            </w:r>
          </w:p>
        </w:tc>
        <w:tc>
          <w:tcPr>
            <w:tcW w:w="1150" w:type="dxa"/>
            <w:vAlign w:val="center"/>
          </w:tcPr>
          <w:p w:rsidR="00F7715C" w:rsidRDefault="00917BD7">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交银施罗德致远量化智投策略定期开放混合型证券投资基金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EF667D" w:rsidRDefault="00693843" w:rsidP="00C15CAC">
      <w:pPr>
        <w:tabs>
          <w:tab w:val="left" w:pos="1800"/>
        </w:tabs>
        <w:spacing w:before="29" w:line="288" w:lineRule="auto"/>
        <w:rPr>
          <w:color w:val="000000"/>
          <w:sz w:val="24"/>
          <w:szCs w:val="24"/>
        </w:rPr>
      </w:pPr>
      <w:bookmarkStart w:id="0" w:name="_GoBack"/>
      <w:bookmarkEnd w:id="0"/>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7715C">
        <w:trPr>
          <w:jc w:val="center"/>
        </w:trPr>
        <w:tc>
          <w:tcPr>
            <w:tcW w:w="846" w:type="dxa"/>
            <w:vAlign w:val="center"/>
          </w:tcPr>
          <w:p w:rsidR="00F7715C" w:rsidRDefault="00917BD7">
            <w:pPr>
              <w:jc w:val="center"/>
            </w:pPr>
            <w:r>
              <w:rPr>
                <w:color w:val="000000"/>
                <w:sz w:val="24"/>
                <w:szCs w:val="24"/>
              </w:rPr>
              <w:t>蔡铮</w:t>
            </w:r>
          </w:p>
        </w:tc>
        <w:tc>
          <w:tcPr>
            <w:tcW w:w="845" w:type="dxa"/>
            <w:vAlign w:val="center"/>
          </w:tcPr>
          <w:p w:rsidR="00F7715C" w:rsidRDefault="00917BD7">
            <w:pPr>
              <w:jc w:val="center"/>
            </w:pPr>
            <w:r>
              <w:rPr>
                <w:color w:val="000000"/>
                <w:sz w:val="24"/>
                <w:szCs w:val="24"/>
              </w:rPr>
              <w:t>交银上证</w:t>
            </w:r>
            <w:r>
              <w:rPr>
                <w:color w:val="000000"/>
                <w:sz w:val="24"/>
                <w:szCs w:val="24"/>
              </w:rPr>
              <w:t>180</w:t>
            </w:r>
            <w:r>
              <w:rPr>
                <w:color w:val="000000"/>
                <w:sz w:val="24"/>
                <w:szCs w:val="24"/>
              </w:rPr>
              <w:t>公司治理</w:t>
            </w:r>
            <w:r>
              <w:rPr>
                <w:color w:val="000000"/>
                <w:sz w:val="24"/>
                <w:szCs w:val="24"/>
              </w:rPr>
              <w:t>ETF</w:t>
            </w:r>
            <w:r>
              <w:rPr>
                <w:color w:val="000000"/>
                <w:sz w:val="24"/>
                <w:szCs w:val="24"/>
              </w:rPr>
              <w:t>及其联接、交银深证</w:t>
            </w:r>
            <w:r>
              <w:rPr>
                <w:color w:val="000000"/>
                <w:sz w:val="24"/>
                <w:szCs w:val="24"/>
              </w:rPr>
              <w:t>300</w:t>
            </w:r>
            <w:r>
              <w:rPr>
                <w:color w:val="000000"/>
                <w:sz w:val="24"/>
                <w:szCs w:val="24"/>
              </w:rPr>
              <w:t>价值</w:t>
            </w:r>
            <w:r>
              <w:rPr>
                <w:color w:val="000000"/>
                <w:sz w:val="24"/>
                <w:szCs w:val="24"/>
              </w:rPr>
              <w:t>ETF</w:t>
            </w:r>
            <w:r>
              <w:rPr>
                <w:color w:val="000000"/>
                <w:sz w:val="24"/>
                <w:szCs w:val="24"/>
              </w:rPr>
              <w:t>及其联接、交银国证新能源指数分级、交银中证海外中国互联网指数（</w:t>
            </w:r>
            <w:r>
              <w:rPr>
                <w:color w:val="000000"/>
                <w:sz w:val="24"/>
                <w:szCs w:val="24"/>
              </w:rPr>
              <w:t>QDII-LOF)</w:t>
            </w:r>
            <w:r>
              <w:rPr>
                <w:color w:val="000000"/>
                <w:sz w:val="24"/>
                <w:szCs w:val="24"/>
              </w:rPr>
              <w:t>、交银中证互联网金融指数分级、交银中证环境治理指数（</w:t>
            </w:r>
            <w:r>
              <w:rPr>
                <w:color w:val="000000"/>
                <w:sz w:val="24"/>
                <w:szCs w:val="24"/>
              </w:rPr>
              <w:t>LOF</w:t>
            </w:r>
            <w:r>
              <w:rPr>
                <w:color w:val="000000"/>
                <w:sz w:val="24"/>
                <w:szCs w:val="24"/>
              </w:rPr>
              <w:t>）、交银致远智投混合的基金经理，公司量化投资副总监兼多元资产管理副总监</w:t>
            </w:r>
          </w:p>
        </w:tc>
        <w:tc>
          <w:tcPr>
            <w:tcW w:w="1549" w:type="dxa"/>
            <w:vAlign w:val="center"/>
          </w:tcPr>
          <w:p w:rsidR="00F7715C" w:rsidRDefault="00917BD7">
            <w:pPr>
              <w:jc w:val="center"/>
            </w:pPr>
            <w:r>
              <w:rPr>
                <w:color w:val="000000"/>
                <w:sz w:val="24"/>
                <w:szCs w:val="24"/>
              </w:rPr>
              <w:t>2018-05-18</w:t>
            </w:r>
          </w:p>
        </w:tc>
        <w:tc>
          <w:tcPr>
            <w:tcW w:w="1548" w:type="dxa"/>
            <w:vAlign w:val="center"/>
          </w:tcPr>
          <w:p w:rsidR="00F7715C" w:rsidRDefault="00917BD7">
            <w:pPr>
              <w:jc w:val="center"/>
            </w:pPr>
            <w:r>
              <w:rPr>
                <w:color w:val="000000"/>
                <w:sz w:val="24"/>
                <w:szCs w:val="24"/>
              </w:rPr>
              <w:t>-</w:t>
            </w:r>
          </w:p>
        </w:tc>
        <w:tc>
          <w:tcPr>
            <w:tcW w:w="1407" w:type="dxa"/>
            <w:vAlign w:val="center"/>
          </w:tcPr>
          <w:p w:rsidR="00F7715C" w:rsidRDefault="00917BD7">
            <w:pPr>
              <w:jc w:val="center"/>
            </w:pPr>
            <w:r>
              <w:rPr>
                <w:color w:val="000000"/>
                <w:sz w:val="24"/>
                <w:szCs w:val="24"/>
              </w:rPr>
              <w:t>10</w:t>
            </w:r>
            <w:r>
              <w:rPr>
                <w:color w:val="000000"/>
                <w:sz w:val="24"/>
                <w:szCs w:val="24"/>
              </w:rPr>
              <w:t>年</w:t>
            </w:r>
          </w:p>
        </w:tc>
        <w:tc>
          <w:tcPr>
            <w:tcW w:w="2673" w:type="dxa"/>
            <w:vAlign w:val="center"/>
          </w:tcPr>
          <w:p w:rsidR="00F7715C" w:rsidRDefault="00917BD7">
            <w:r>
              <w:rPr>
                <w:color w:val="000000"/>
                <w:sz w:val="24"/>
                <w:szCs w:val="24"/>
              </w:rPr>
              <w:t>蔡铮先生，中国国籍，复旦大学电子工程硕士。历任瑞士银行香港分行分析员。</w:t>
            </w:r>
            <w:r>
              <w:rPr>
                <w:color w:val="000000"/>
                <w:sz w:val="24"/>
                <w:szCs w:val="24"/>
              </w:rPr>
              <w:t>2009</w:t>
            </w:r>
            <w:r>
              <w:rPr>
                <w:color w:val="000000"/>
                <w:sz w:val="24"/>
                <w:szCs w:val="24"/>
              </w:rPr>
              <w:t>年加入交银施罗德基金管理有限公司，历任投资研究部数量分析师、基金经理助理、量化投资部助理总经理、量化投资部副总经理。</w:t>
            </w:r>
            <w:r>
              <w:rPr>
                <w:color w:val="000000"/>
                <w:sz w:val="24"/>
                <w:szCs w:val="24"/>
              </w:rPr>
              <w:t>2012</w:t>
            </w:r>
            <w:r>
              <w:rPr>
                <w:color w:val="000000"/>
                <w:sz w:val="24"/>
                <w:szCs w:val="24"/>
              </w:rPr>
              <w:t>年</w:t>
            </w:r>
            <w:r>
              <w:rPr>
                <w:color w:val="000000"/>
                <w:sz w:val="24"/>
                <w:szCs w:val="24"/>
              </w:rPr>
              <w:t>12</w:t>
            </w:r>
            <w:r>
              <w:rPr>
                <w:color w:val="000000"/>
                <w:sz w:val="24"/>
                <w:szCs w:val="24"/>
              </w:rPr>
              <w:t>月</w:t>
            </w:r>
            <w:r>
              <w:rPr>
                <w:color w:val="000000"/>
                <w:sz w:val="24"/>
                <w:szCs w:val="24"/>
              </w:rPr>
              <w:t>27</w:t>
            </w:r>
            <w:r>
              <w:rPr>
                <w:color w:val="000000"/>
                <w:sz w:val="24"/>
                <w:szCs w:val="24"/>
              </w:rPr>
              <w:t>日至</w:t>
            </w:r>
            <w:r>
              <w:rPr>
                <w:color w:val="000000"/>
                <w:sz w:val="24"/>
                <w:szCs w:val="24"/>
              </w:rPr>
              <w:t>2015</w:t>
            </w:r>
            <w:r>
              <w:rPr>
                <w:color w:val="000000"/>
                <w:sz w:val="24"/>
                <w:szCs w:val="24"/>
              </w:rPr>
              <w:t>年</w:t>
            </w:r>
            <w:r>
              <w:rPr>
                <w:color w:val="000000"/>
                <w:sz w:val="24"/>
                <w:szCs w:val="24"/>
              </w:rPr>
              <w:t>6</w:t>
            </w:r>
            <w:r>
              <w:rPr>
                <w:color w:val="000000"/>
                <w:sz w:val="24"/>
                <w:szCs w:val="24"/>
              </w:rPr>
              <w:t>月</w:t>
            </w:r>
            <w:r>
              <w:rPr>
                <w:color w:val="000000"/>
                <w:sz w:val="24"/>
                <w:szCs w:val="24"/>
              </w:rPr>
              <w:t>30</w:t>
            </w:r>
            <w:r>
              <w:rPr>
                <w:color w:val="000000"/>
                <w:sz w:val="24"/>
                <w:szCs w:val="24"/>
              </w:rPr>
              <w:t>日担任交银施罗德沪深</w:t>
            </w:r>
            <w:r>
              <w:rPr>
                <w:color w:val="000000"/>
                <w:sz w:val="24"/>
                <w:szCs w:val="24"/>
              </w:rPr>
              <w:t>300</w:t>
            </w:r>
            <w:r>
              <w:rPr>
                <w:color w:val="000000"/>
                <w:sz w:val="24"/>
                <w:szCs w:val="24"/>
              </w:rPr>
              <w:t>行业分层等权重指数证券投资基金基金经理，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日担任交银施罗德环球精选价值证券投资基金基金经理，</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24</w:t>
            </w:r>
            <w:r>
              <w:rPr>
                <w:color w:val="000000"/>
                <w:sz w:val="24"/>
                <w:szCs w:val="24"/>
              </w:rPr>
              <w:t>日担任交银施罗德全球自然资源证券投资基金基金经理，</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13</w:t>
            </w:r>
            <w:r>
              <w:rPr>
                <w:color w:val="000000"/>
                <w:sz w:val="24"/>
                <w:szCs w:val="24"/>
              </w:rPr>
              <w:t>日至</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日担任交银施罗德中证环境治理指数分级证券投资基金基金经理。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7715C" w:rsidRDefault="00917BD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7715C" w:rsidRDefault="00917BD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7715C" w:rsidRDefault="00917BD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7715C" w:rsidRDefault="00917BD7">
      <w:pPr>
        <w:spacing w:before="29" w:line="288" w:lineRule="auto"/>
        <w:ind w:firstLineChars="200" w:firstLine="480"/>
        <w:rPr>
          <w:color w:val="000000"/>
          <w:sz w:val="24"/>
          <w:szCs w:val="24"/>
        </w:rPr>
      </w:pPr>
      <w:r>
        <w:rPr>
          <w:color w:val="000000"/>
          <w:sz w:val="24"/>
          <w:szCs w:val="24"/>
        </w:rPr>
        <w:t>2019</w:t>
      </w:r>
      <w:r>
        <w:rPr>
          <w:color w:val="000000"/>
          <w:sz w:val="24"/>
          <w:szCs w:val="24"/>
        </w:rPr>
        <w:t>年一季度国内宏观环境基本稳定，央行货币政策维持稳健，财政政策加力提效，减税降费力度加大，政府积极扶持中小企业和新经济发展，多方面政策持续发力缓解经济下行压力。在上述市场环境下，本基金采取定期不定额的模式进行投资，固定收益部分配置了较高信用等级的固定收益资产作为收益增强，净值表现总体呈现出稳步上行的走势。</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414345">
        <w:rPr>
          <w:color w:val="000000"/>
          <w:sz w:val="24"/>
          <w:szCs w:val="24"/>
        </w:rPr>
        <w:t>A</w:t>
      </w:r>
      <w:r w:rsidRPr="00414345">
        <w:rPr>
          <w:color w:val="000000"/>
          <w:sz w:val="24"/>
          <w:szCs w:val="24"/>
        </w:rPr>
        <w:t>股市场仍维持谨慎乐观的看法。</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51,868,970.88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51,868,970.88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20.28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10,078,000.00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10,078,000.00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160,000,000.00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62.55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33,517,075.77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323,109.25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255,787,155.90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296,191.00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2,081,616.00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28,397,622.08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2,259,246.00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1,169,129.00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3,058,176.20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1,489,392.60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435,204.00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4,505,562.00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1,473,004.00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3,771,647.00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275,280.00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1,028,969.00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1,111,932.00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51,868,970.88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22.03</w:t>
            </w:r>
          </w:p>
        </w:tc>
      </w:tr>
    </w:tbl>
    <w:p w:rsidR="00917BD7" w:rsidRDefault="00917BD7"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7715C">
        <w:trPr>
          <w:jc w:val="center"/>
        </w:trPr>
        <w:tc>
          <w:tcPr>
            <w:tcW w:w="855" w:type="dxa"/>
            <w:vAlign w:val="center"/>
          </w:tcPr>
          <w:p w:rsidR="00F7715C" w:rsidRDefault="00917BD7">
            <w:pPr>
              <w:jc w:val="center"/>
            </w:pPr>
            <w:r>
              <w:rPr>
                <w:color w:val="000000"/>
                <w:sz w:val="24"/>
                <w:szCs w:val="24"/>
              </w:rPr>
              <w:t>1</w:t>
            </w:r>
          </w:p>
        </w:tc>
        <w:tc>
          <w:tcPr>
            <w:tcW w:w="1334" w:type="dxa"/>
            <w:vAlign w:val="center"/>
          </w:tcPr>
          <w:p w:rsidR="00F7715C" w:rsidRDefault="00917BD7">
            <w:pPr>
              <w:jc w:val="center"/>
            </w:pPr>
            <w:r>
              <w:rPr>
                <w:color w:val="000000"/>
                <w:sz w:val="24"/>
                <w:szCs w:val="24"/>
              </w:rPr>
              <w:t>000656</w:t>
            </w:r>
          </w:p>
        </w:tc>
        <w:tc>
          <w:tcPr>
            <w:tcW w:w="1777" w:type="dxa"/>
            <w:vAlign w:val="center"/>
          </w:tcPr>
          <w:p w:rsidR="00F7715C" w:rsidRDefault="00917BD7">
            <w:pPr>
              <w:jc w:val="center"/>
            </w:pPr>
            <w:r>
              <w:rPr>
                <w:color w:val="000000"/>
                <w:sz w:val="24"/>
                <w:szCs w:val="24"/>
              </w:rPr>
              <w:t>金科股份</w:t>
            </w:r>
          </w:p>
        </w:tc>
        <w:tc>
          <w:tcPr>
            <w:tcW w:w="1334" w:type="dxa"/>
            <w:vAlign w:val="center"/>
          </w:tcPr>
          <w:p w:rsidR="00F7715C" w:rsidRDefault="00917BD7">
            <w:pPr>
              <w:jc w:val="right"/>
            </w:pPr>
            <w:r>
              <w:rPr>
                <w:color w:val="000000"/>
                <w:sz w:val="24"/>
                <w:szCs w:val="24"/>
              </w:rPr>
              <w:t>209,200</w:t>
            </w:r>
          </w:p>
        </w:tc>
        <w:tc>
          <w:tcPr>
            <w:tcW w:w="1924" w:type="dxa"/>
            <w:vAlign w:val="center"/>
          </w:tcPr>
          <w:p w:rsidR="00F7715C" w:rsidRDefault="00917BD7">
            <w:pPr>
              <w:jc w:val="right"/>
            </w:pPr>
            <w:r>
              <w:rPr>
                <w:color w:val="000000"/>
                <w:sz w:val="24"/>
                <w:szCs w:val="24"/>
              </w:rPr>
              <w:t>1,527,160.00</w:t>
            </w:r>
          </w:p>
        </w:tc>
        <w:tc>
          <w:tcPr>
            <w:tcW w:w="1644" w:type="dxa"/>
            <w:vAlign w:val="center"/>
          </w:tcPr>
          <w:p w:rsidR="00F7715C" w:rsidRDefault="00917BD7">
            <w:pPr>
              <w:jc w:val="right"/>
            </w:pPr>
            <w:r>
              <w:rPr>
                <w:color w:val="000000"/>
                <w:sz w:val="24"/>
                <w:szCs w:val="24"/>
              </w:rPr>
              <w:t>0.65</w:t>
            </w:r>
          </w:p>
        </w:tc>
      </w:tr>
      <w:tr w:rsidR="00F7715C">
        <w:trPr>
          <w:jc w:val="center"/>
        </w:trPr>
        <w:tc>
          <w:tcPr>
            <w:tcW w:w="855" w:type="dxa"/>
            <w:vAlign w:val="center"/>
          </w:tcPr>
          <w:p w:rsidR="00F7715C" w:rsidRDefault="00917BD7">
            <w:pPr>
              <w:jc w:val="center"/>
            </w:pPr>
            <w:r>
              <w:rPr>
                <w:color w:val="000000"/>
                <w:sz w:val="24"/>
                <w:szCs w:val="24"/>
              </w:rPr>
              <w:t>2</w:t>
            </w:r>
          </w:p>
        </w:tc>
        <w:tc>
          <w:tcPr>
            <w:tcW w:w="1334" w:type="dxa"/>
            <w:vAlign w:val="center"/>
          </w:tcPr>
          <w:p w:rsidR="00F7715C" w:rsidRDefault="00917BD7">
            <w:pPr>
              <w:jc w:val="center"/>
            </w:pPr>
            <w:r>
              <w:rPr>
                <w:color w:val="000000"/>
                <w:sz w:val="24"/>
                <w:szCs w:val="24"/>
              </w:rPr>
              <w:t>002195</w:t>
            </w:r>
          </w:p>
        </w:tc>
        <w:tc>
          <w:tcPr>
            <w:tcW w:w="1777" w:type="dxa"/>
            <w:vAlign w:val="center"/>
          </w:tcPr>
          <w:p w:rsidR="00F7715C" w:rsidRDefault="00917BD7">
            <w:pPr>
              <w:jc w:val="center"/>
            </w:pPr>
            <w:r>
              <w:rPr>
                <w:color w:val="000000"/>
                <w:sz w:val="24"/>
                <w:szCs w:val="24"/>
              </w:rPr>
              <w:t>二三四五</w:t>
            </w:r>
          </w:p>
        </w:tc>
        <w:tc>
          <w:tcPr>
            <w:tcW w:w="1334" w:type="dxa"/>
            <w:vAlign w:val="center"/>
          </w:tcPr>
          <w:p w:rsidR="00F7715C" w:rsidRDefault="00917BD7">
            <w:pPr>
              <w:jc w:val="right"/>
            </w:pPr>
            <w:r>
              <w:rPr>
                <w:color w:val="000000"/>
                <w:sz w:val="24"/>
                <w:szCs w:val="24"/>
              </w:rPr>
              <w:t>248,900</w:t>
            </w:r>
          </w:p>
        </w:tc>
        <w:tc>
          <w:tcPr>
            <w:tcW w:w="1924" w:type="dxa"/>
            <w:vAlign w:val="center"/>
          </w:tcPr>
          <w:p w:rsidR="00F7715C" w:rsidRDefault="00917BD7">
            <w:pPr>
              <w:jc w:val="right"/>
            </w:pPr>
            <w:r>
              <w:rPr>
                <w:color w:val="000000"/>
                <w:sz w:val="24"/>
                <w:szCs w:val="24"/>
              </w:rPr>
              <w:t>1,508,334.00</w:t>
            </w:r>
          </w:p>
        </w:tc>
        <w:tc>
          <w:tcPr>
            <w:tcW w:w="1644" w:type="dxa"/>
            <w:vAlign w:val="center"/>
          </w:tcPr>
          <w:p w:rsidR="00F7715C" w:rsidRDefault="00917BD7">
            <w:pPr>
              <w:jc w:val="right"/>
            </w:pPr>
            <w:r>
              <w:rPr>
                <w:color w:val="000000"/>
                <w:sz w:val="24"/>
                <w:szCs w:val="24"/>
              </w:rPr>
              <w:t>0.64</w:t>
            </w:r>
          </w:p>
        </w:tc>
      </w:tr>
      <w:tr w:rsidR="00F7715C">
        <w:trPr>
          <w:jc w:val="center"/>
        </w:trPr>
        <w:tc>
          <w:tcPr>
            <w:tcW w:w="855" w:type="dxa"/>
            <w:vAlign w:val="center"/>
          </w:tcPr>
          <w:p w:rsidR="00F7715C" w:rsidRDefault="00917BD7">
            <w:pPr>
              <w:jc w:val="center"/>
            </w:pPr>
            <w:r>
              <w:rPr>
                <w:color w:val="000000"/>
                <w:sz w:val="24"/>
                <w:szCs w:val="24"/>
              </w:rPr>
              <w:t>3</w:t>
            </w:r>
          </w:p>
        </w:tc>
        <w:tc>
          <w:tcPr>
            <w:tcW w:w="1334" w:type="dxa"/>
            <w:vAlign w:val="center"/>
          </w:tcPr>
          <w:p w:rsidR="00F7715C" w:rsidRDefault="00917BD7">
            <w:pPr>
              <w:jc w:val="center"/>
            </w:pPr>
            <w:r>
              <w:rPr>
                <w:color w:val="000000"/>
                <w:sz w:val="24"/>
                <w:szCs w:val="24"/>
              </w:rPr>
              <w:t>600426</w:t>
            </w:r>
          </w:p>
        </w:tc>
        <w:tc>
          <w:tcPr>
            <w:tcW w:w="1777" w:type="dxa"/>
            <w:vAlign w:val="center"/>
          </w:tcPr>
          <w:p w:rsidR="00F7715C" w:rsidRDefault="00917BD7">
            <w:pPr>
              <w:jc w:val="center"/>
            </w:pPr>
            <w:r>
              <w:rPr>
                <w:color w:val="000000"/>
                <w:sz w:val="24"/>
                <w:szCs w:val="24"/>
              </w:rPr>
              <w:t>华鲁恒升</w:t>
            </w:r>
          </w:p>
        </w:tc>
        <w:tc>
          <w:tcPr>
            <w:tcW w:w="1334" w:type="dxa"/>
            <w:vAlign w:val="center"/>
          </w:tcPr>
          <w:p w:rsidR="00F7715C" w:rsidRDefault="00917BD7">
            <w:pPr>
              <w:jc w:val="right"/>
            </w:pPr>
            <w:r>
              <w:rPr>
                <w:color w:val="000000"/>
                <w:sz w:val="24"/>
                <w:szCs w:val="24"/>
              </w:rPr>
              <w:t>90,800</w:t>
            </w:r>
          </w:p>
        </w:tc>
        <w:tc>
          <w:tcPr>
            <w:tcW w:w="1924" w:type="dxa"/>
            <w:vAlign w:val="center"/>
          </w:tcPr>
          <w:p w:rsidR="00F7715C" w:rsidRDefault="00917BD7">
            <w:pPr>
              <w:jc w:val="right"/>
            </w:pPr>
            <w:r>
              <w:rPr>
                <w:color w:val="000000"/>
                <w:sz w:val="24"/>
                <w:szCs w:val="24"/>
              </w:rPr>
              <w:t>1,388,332.00</w:t>
            </w:r>
          </w:p>
        </w:tc>
        <w:tc>
          <w:tcPr>
            <w:tcW w:w="1644" w:type="dxa"/>
            <w:vAlign w:val="center"/>
          </w:tcPr>
          <w:p w:rsidR="00F7715C" w:rsidRDefault="00917BD7">
            <w:pPr>
              <w:jc w:val="right"/>
            </w:pPr>
            <w:r>
              <w:rPr>
                <w:color w:val="000000"/>
                <w:sz w:val="24"/>
                <w:szCs w:val="24"/>
              </w:rPr>
              <w:t>0.59</w:t>
            </w:r>
          </w:p>
        </w:tc>
      </w:tr>
      <w:tr w:rsidR="00F7715C">
        <w:trPr>
          <w:jc w:val="center"/>
        </w:trPr>
        <w:tc>
          <w:tcPr>
            <w:tcW w:w="855" w:type="dxa"/>
            <w:vAlign w:val="center"/>
          </w:tcPr>
          <w:p w:rsidR="00F7715C" w:rsidRDefault="00917BD7">
            <w:pPr>
              <w:jc w:val="center"/>
            </w:pPr>
            <w:r>
              <w:rPr>
                <w:color w:val="000000"/>
                <w:sz w:val="24"/>
                <w:szCs w:val="24"/>
              </w:rPr>
              <w:t>4</w:t>
            </w:r>
          </w:p>
        </w:tc>
        <w:tc>
          <w:tcPr>
            <w:tcW w:w="1334" w:type="dxa"/>
            <w:vAlign w:val="center"/>
          </w:tcPr>
          <w:p w:rsidR="00F7715C" w:rsidRDefault="00917BD7">
            <w:pPr>
              <w:jc w:val="center"/>
            </w:pPr>
            <w:r>
              <w:rPr>
                <w:color w:val="000000"/>
                <w:sz w:val="24"/>
                <w:szCs w:val="24"/>
              </w:rPr>
              <w:t>002507</w:t>
            </w:r>
          </w:p>
        </w:tc>
        <w:tc>
          <w:tcPr>
            <w:tcW w:w="1777" w:type="dxa"/>
            <w:vAlign w:val="center"/>
          </w:tcPr>
          <w:p w:rsidR="00F7715C" w:rsidRDefault="00917BD7">
            <w:pPr>
              <w:jc w:val="center"/>
            </w:pPr>
            <w:r>
              <w:rPr>
                <w:color w:val="000000"/>
                <w:sz w:val="24"/>
                <w:szCs w:val="24"/>
              </w:rPr>
              <w:t>涪陵榨菜</w:t>
            </w:r>
          </w:p>
        </w:tc>
        <w:tc>
          <w:tcPr>
            <w:tcW w:w="1334" w:type="dxa"/>
            <w:vAlign w:val="center"/>
          </w:tcPr>
          <w:p w:rsidR="00F7715C" w:rsidRDefault="00917BD7">
            <w:pPr>
              <w:jc w:val="right"/>
            </w:pPr>
            <w:r>
              <w:rPr>
                <w:color w:val="000000"/>
                <w:sz w:val="24"/>
                <w:szCs w:val="24"/>
              </w:rPr>
              <w:t>37,900</w:t>
            </w:r>
          </w:p>
        </w:tc>
        <w:tc>
          <w:tcPr>
            <w:tcW w:w="1924" w:type="dxa"/>
            <w:vAlign w:val="center"/>
          </w:tcPr>
          <w:p w:rsidR="00F7715C" w:rsidRDefault="00917BD7">
            <w:pPr>
              <w:jc w:val="right"/>
            </w:pPr>
            <w:r>
              <w:rPr>
                <w:color w:val="000000"/>
                <w:sz w:val="24"/>
                <w:szCs w:val="24"/>
              </w:rPr>
              <w:t>1,175,658.00</w:t>
            </w:r>
          </w:p>
        </w:tc>
        <w:tc>
          <w:tcPr>
            <w:tcW w:w="1644" w:type="dxa"/>
            <w:vAlign w:val="center"/>
          </w:tcPr>
          <w:p w:rsidR="00F7715C" w:rsidRDefault="00917BD7">
            <w:pPr>
              <w:jc w:val="right"/>
            </w:pPr>
            <w:r>
              <w:rPr>
                <w:color w:val="000000"/>
                <w:sz w:val="24"/>
                <w:szCs w:val="24"/>
              </w:rPr>
              <w:t>0.50</w:t>
            </w:r>
          </w:p>
        </w:tc>
      </w:tr>
      <w:tr w:rsidR="00F7715C">
        <w:trPr>
          <w:jc w:val="center"/>
        </w:trPr>
        <w:tc>
          <w:tcPr>
            <w:tcW w:w="855" w:type="dxa"/>
            <w:vAlign w:val="center"/>
          </w:tcPr>
          <w:p w:rsidR="00F7715C" w:rsidRDefault="00917BD7">
            <w:pPr>
              <w:jc w:val="center"/>
            </w:pPr>
            <w:r>
              <w:rPr>
                <w:color w:val="000000"/>
                <w:sz w:val="24"/>
                <w:szCs w:val="24"/>
              </w:rPr>
              <w:t>5</w:t>
            </w:r>
          </w:p>
        </w:tc>
        <w:tc>
          <w:tcPr>
            <w:tcW w:w="1334" w:type="dxa"/>
            <w:vAlign w:val="center"/>
          </w:tcPr>
          <w:p w:rsidR="00F7715C" w:rsidRDefault="00917BD7">
            <w:pPr>
              <w:jc w:val="center"/>
            </w:pPr>
            <w:r>
              <w:rPr>
                <w:color w:val="000000"/>
                <w:sz w:val="24"/>
                <w:szCs w:val="24"/>
              </w:rPr>
              <w:t>601005</w:t>
            </w:r>
          </w:p>
        </w:tc>
        <w:tc>
          <w:tcPr>
            <w:tcW w:w="1777" w:type="dxa"/>
            <w:vAlign w:val="center"/>
          </w:tcPr>
          <w:p w:rsidR="00F7715C" w:rsidRDefault="00917BD7">
            <w:pPr>
              <w:jc w:val="center"/>
            </w:pPr>
            <w:r>
              <w:rPr>
                <w:color w:val="000000"/>
                <w:sz w:val="24"/>
                <w:szCs w:val="24"/>
              </w:rPr>
              <w:t>重庆钢铁</w:t>
            </w:r>
          </w:p>
        </w:tc>
        <w:tc>
          <w:tcPr>
            <w:tcW w:w="1334" w:type="dxa"/>
            <w:vAlign w:val="center"/>
          </w:tcPr>
          <w:p w:rsidR="00F7715C" w:rsidRDefault="00917BD7">
            <w:pPr>
              <w:jc w:val="right"/>
            </w:pPr>
            <w:r>
              <w:rPr>
                <w:color w:val="000000"/>
                <w:sz w:val="24"/>
                <w:szCs w:val="24"/>
              </w:rPr>
              <w:t>535,900</w:t>
            </w:r>
          </w:p>
        </w:tc>
        <w:tc>
          <w:tcPr>
            <w:tcW w:w="1924" w:type="dxa"/>
            <w:vAlign w:val="center"/>
          </w:tcPr>
          <w:p w:rsidR="00F7715C" w:rsidRDefault="00917BD7">
            <w:pPr>
              <w:jc w:val="right"/>
            </w:pPr>
            <w:r>
              <w:rPr>
                <w:color w:val="000000"/>
                <w:sz w:val="24"/>
                <w:szCs w:val="24"/>
              </w:rPr>
              <w:t>1,173,621.00</w:t>
            </w:r>
          </w:p>
        </w:tc>
        <w:tc>
          <w:tcPr>
            <w:tcW w:w="1644" w:type="dxa"/>
            <w:vAlign w:val="center"/>
          </w:tcPr>
          <w:p w:rsidR="00F7715C" w:rsidRDefault="00917BD7">
            <w:pPr>
              <w:jc w:val="right"/>
            </w:pPr>
            <w:r>
              <w:rPr>
                <w:color w:val="000000"/>
                <w:sz w:val="24"/>
                <w:szCs w:val="24"/>
              </w:rPr>
              <w:t>0.50</w:t>
            </w:r>
          </w:p>
        </w:tc>
      </w:tr>
      <w:tr w:rsidR="00F7715C">
        <w:trPr>
          <w:jc w:val="center"/>
        </w:trPr>
        <w:tc>
          <w:tcPr>
            <w:tcW w:w="855" w:type="dxa"/>
            <w:vAlign w:val="center"/>
          </w:tcPr>
          <w:p w:rsidR="00F7715C" w:rsidRDefault="00917BD7">
            <w:pPr>
              <w:jc w:val="center"/>
            </w:pPr>
            <w:r>
              <w:rPr>
                <w:color w:val="000000"/>
                <w:sz w:val="24"/>
                <w:szCs w:val="24"/>
              </w:rPr>
              <w:t>6</w:t>
            </w:r>
          </w:p>
        </w:tc>
        <w:tc>
          <w:tcPr>
            <w:tcW w:w="1334" w:type="dxa"/>
            <w:vAlign w:val="center"/>
          </w:tcPr>
          <w:p w:rsidR="00F7715C" w:rsidRDefault="00917BD7">
            <w:pPr>
              <w:jc w:val="center"/>
            </w:pPr>
            <w:r>
              <w:rPr>
                <w:color w:val="000000"/>
                <w:sz w:val="24"/>
                <w:szCs w:val="24"/>
              </w:rPr>
              <w:t>002373</w:t>
            </w:r>
          </w:p>
        </w:tc>
        <w:tc>
          <w:tcPr>
            <w:tcW w:w="1777" w:type="dxa"/>
            <w:vAlign w:val="center"/>
          </w:tcPr>
          <w:p w:rsidR="00F7715C" w:rsidRDefault="00917BD7">
            <w:pPr>
              <w:jc w:val="center"/>
            </w:pPr>
            <w:r>
              <w:rPr>
                <w:color w:val="000000"/>
                <w:sz w:val="24"/>
                <w:szCs w:val="24"/>
              </w:rPr>
              <w:t>千方科技</w:t>
            </w:r>
          </w:p>
        </w:tc>
        <w:tc>
          <w:tcPr>
            <w:tcW w:w="1334" w:type="dxa"/>
            <w:vAlign w:val="center"/>
          </w:tcPr>
          <w:p w:rsidR="00F7715C" w:rsidRDefault="00917BD7">
            <w:pPr>
              <w:jc w:val="right"/>
            </w:pPr>
            <w:r>
              <w:rPr>
                <w:color w:val="000000"/>
                <w:sz w:val="24"/>
                <w:szCs w:val="24"/>
              </w:rPr>
              <w:t>58,800</w:t>
            </w:r>
          </w:p>
        </w:tc>
        <w:tc>
          <w:tcPr>
            <w:tcW w:w="1924" w:type="dxa"/>
            <w:vAlign w:val="center"/>
          </w:tcPr>
          <w:p w:rsidR="00F7715C" w:rsidRDefault="00917BD7">
            <w:pPr>
              <w:jc w:val="right"/>
            </w:pPr>
            <w:r>
              <w:rPr>
                <w:color w:val="000000"/>
                <w:sz w:val="24"/>
                <w:szCs w:val="24"/>
              </w:rPr>
              <w:t>1,113,084.00</w:t>
            </w:r>
          </w:p>
        </w:tc>
        <w:tc>
          <w:tcPr>
            <w:tcW w:w="1644" w:type="dxa"/>
            <w:vAlign w:val="center"/>
          </w:tcPr>
          <w:p w:rsidR="00F7715C" w:rsidRDefault="00917BD7">
            <w:pPr>
              <w:jc w:val="right"/>
            </w:pPr>
            <w:r>
              <w:rPr>
                <w:color w:val="000000"/>
                <w:sz w:val="24"/>
                <w:szCs w:val="24"/>
              </w:rPr>
              <w:t>0.47</w:t>
            </w:r>
          </w:p>
        </w:tc>
      </w:tr>
      <w:tr w:rsidR="00F7715C">
        <w:trPr>
          <w:jc w:val="center"/>
        </w:trPr>
        <w:tc>
          <w:tcPr>
            <w:tcW w:w="855" w:type="dxa"/>
            <w:vAlign w:val="center"/>
          </w:tcPr>
          <w:p w:rsidR="00F7715C" w:rsidRDefault="00917BD7">
            <w:pPr>
              <w:jc w:val="center"/>
            </w:pPr>
            <w:r>
              <w:rPr>
                <w:color w:val="000000"/>
                <w:sz w:val="24"/>
                <w:szCs w:val="24"/>
              </w:rPr>
              <w:t>7</w:t>
            </w:r>
          </w:p>
        </w:tc>
        <w:tc>
          <w:tcPr>
            <w:tcW w:w="1334" w:type="dxa"/>
            <w:vAlign w:val="center"/>
          </w:tcPr>
          <w:p w:rsidR="00F7715C" w:rsidRDefault="00917BD7">
            <w:pPr>
              <w:jc w:val="center"/>
            </w:pPr>
            <w:r>
              <w:rPr>
                <w:color w:val="000000"/>
                <w:sz w:val="24"/>
                <w:szCs w:val="24"/>
              </w:rPr>
              <w:t>600673</w:t>
            </w:r>
          </w:p>
        </w:tc>
        <w:tc>
          <w:tcPr>
            <w:tcW w:w="1777" w:type="dxa"/>
            <w:vAlign w:val="center"/>
          </w:tcPr>
          <w:p w:rsidR="00F7715C" w:rsidRDefault="00917BD7">
            <w:pPr>
              <w:jc w:val="center"/>
            </w:pPr>
            <w:r>
              <w:rPr>
                <w:color w:val="000000"/>
                <w:sz w:val="24"/>
                <w:szCs w:val="24"/>
              </w:rPr>
              <w:t>东阳光科</w:t>
            </w:r>
          </w:p>
        </w:tc>
        <w:tc>
          <w:tcPr>
            <w:tcW w:w="1334" w:type="dxa"/>
            <w:vAlign w:val="center"/>
          </w:tcPr>
          <w:p w:rsidR="00F7715C" w:rsidRDefault="00917BD7">
            <w:pPr>
              <w:jc w:val="right"/>
            </w:pPr>
            <w:r>
              <w:rPr>
                <w:color w:val="000000"/>
                <w:sz w:val="24"/>
                <w:szCs w:val="24"/>
              </w:rPr>
              <w:t>120,600</w:t>
            </w:r>
          </w:p>
        </w:tc>
        <w:tc>
          <w:tcPr>
            <w:tcW w:w="1924" w:type="dxa"/>
            <w:vAlign w:val="center"/>
          </w:tcPr>
          <w:p w:rsidR="00F7715C" w:rsidRDefault="00917BD7">
            <w:pPr>
              <w:jc w:val="right"/>
            </w:pPr>
            <w:r>
              <w:rPr>
                <w:color w:val="000000"/>
                <w:sz w:val="24"/>
                <w:szCs w:val="24"/>
              </w:rPr>
              <w:t>1,111,932.00</w:t>
            </w:r>
          </w:p>
        </w:tc>
        <w:tc>
          <w:tcPr>
            <w:tcW w:w="1644" w:type="dxa"/>
            <w:vAlign w:val="center"/>
          </w:tcPr>
          <w:p w:rsidR="00F7715C" w:rsidRDefault="00917BD7">
            <w:pPr>
              <w:jc w:val="right"/>
            </w:pPr>
            <w:r>
              <w:rPr>
                <w:color w:val="000000"/>
                <w:sz w:val="24"/>
                <w:szCs w:val="24"/>
              </w:rPr>
              <w:t>0.47</w:t>
            </w:r>
          </w:p>
        </w:tc>
      </w:tr>
      <w:tr w:rsidR="00F7715C">
        <w:trPr>
          <w:jc w:val="center"/>
        </w:trPr>
        <w:tc>
          <w:tcPr>
            <w:tcW w:w="855" w:type="dxa"/>
            <w:vAlign w:val="center"/>
          </w:tcPr>
          <w:p w:rsidR="00F7715C" w:rsidRDefault="00917BD7">
            <w:pPr>
              <w:jc w:val="center"/>
            </w:pPr>
            <w:r>
              <w:rPr>
                <w:color w:val="000000"/>
                <w:sz w:val="24"/>
                <w:szCs w:val="24"/>
              </w:rPr>
              <w:t>8</w:t>
            </w:r>
          </w:p>
        </w:tc>
        <w:tc>
          <w:tcPr>
            <w:tcW w:w="1334" w:type="dxa"/>
            <w:vAlign w:val="center"/>
          </w:tcPr>
          <w:p w:rsidR="00F7715C" w:rsidRDefault="00917BD7">
            <w:pPr>
              <w:jc w:val="center"/>
            </w:pPr>
            <w:r>
              <w:rPr>
                <w:color w:val="000000"/>
                <w:sz w:val="24"/>
                <w:szCs w:val="24"/>
              </w:rPr>
              <w:t>000690</w:t>
            </w:r>
          </w:p>
        </w:tc>
        <w:tc>
          <w:tcPr>
            <w:tcW w:w="1777" w:type="dxa"/>
            <w:vAlign w:val="center"/>
          </w:tcPr>
          <w:p w:rsidR="00F7715C" w:rsidRDefault="00917BD7">
            <w:pPr>
              <w:jc w:val="center"/>
            </w:pPr>
            <w:r>
              <w:rPr>
                <w:color w:val="000000"/>
                <w:sz w:val="24"/>
                <w:szCs w:val="24"/>
              </w:rPr>
              <w:t>宝新能源</w:t>
            </w:r>
          </w:p>
        </w:tc>
        <w:tc>
          <w:tcPr>
            <w:tcW w:w="1334" w:type="dxa"/>
            <w:vAlign w:val="center"/>
          </w:tcPr>
          <w:p w:rsidR="00F7715C" w:rsidRDefault="00917BD7">
            <w:pPr>
              <w:jc w:val="right"/>
            </w:pPr>
            <w:r>
              <w:rPr>
                <w:color w:val="000000"/>
                <w:sz w:val="24"/>
                <w:szCs w:val="24"/>
              </w:rPr>
              <w:t>131,900</w:t>
            </w:r>
          </w:p>
        </w:tc>
        <w:tc>
          <w:tcPr>
            <w:tcW w:w="1924" w:type="dxa"/>
            <w:vAlign w:val="center"/>
          </w:tcPr>
          <w:p w:rsidR="00F7715C" w:rsidRDefault="00917BD7">
            <w:pPr>
              <w:jc w:val="right"/>
            </w:pPr>
            <w:r>
              <w:rPr>
                <w:color w:val="000000"/>
                <w:sz w:val="24"/>
                <w:szCs w:val="24"/>
              </w:rPr>
              <w:t>1,078,942.00</w:t>
            </w:r>
          </w:p>
        </w:tc>
        <w:tc>
          <w:tcPr>
            <w:tcW w:w="1644" w:type="dxa"/>
            <w:vAlign w:val="center"/>
          </w:tcPr>
          <w:p w:rsidR="00F7715C" w:rsidRDefault="00917BD7">
            <w:pPr>
              <w:jc w:val="right"/>
            </w:pPr>
            <w:r>
              <w:rPr>
                <w:color w:val="000000"/>
                <w:sz w:val="24"/>
                <w:szCs w:val="24"/>
              </w:rPr>
              <w:t>0.46</w:t>
            </w:r>
          </w:p>
        </w:tc>
      </w:tr>
      <w:tr w:rsidR="00F7715C">
        <w:trPr>
          <w:jc w:val="center"/>
        </w:trPr>
        <w:tc>
          <w:tcPr>
            <w:tcW w:w="855" w:type="dxa"/>
            <w:vAlign w:val="center"/>
          </w:tcPr>
          <w:p w:rsidR="00F7715C" w:rsidRDefault="00917BD7">
            <w:pPr>
              <w:jc w:val="center"/>
            </w:pPr>
            <w:r>
              <w:rPr>
                <w:color w:val="000000"/>
                <w:sz w:val="24"/>
                <w:szCs w:val="24"/>
              </w:rPr>
              <w:t>9</w:t>
            </w:r>
          </w:p>
        </w:tc>
        <w:tc>
          <w:tcPr>
            <w:tcW w:w="1334" w:type="dxa"/>
            <w:vAlign w:val="center"/>
          </w:tcPr>
          <w:p w:rsidR="00F7715C" w:rsidRDefault="00917BD7">
            <w:pPr>
              <w:jc w:val="center"/>
            </w:pPr>
            <w:r>
              <w:rPr>
                <w:color w:val="000000"/>
                <w:sz w:val="24"/>
                <w:szCs w:val="24"/>
              </w:rPr>
              <w:t>601168</w:t>
            </w:r>
          </w:p>
        </w:tc>
        <w:tc>
          <w:tcPr>
            <w:tcW w:w="1777" w:type="dxa"/>
            <w:vAlign w:val="center"/>
          </w:tcPr>
          <w:p w:rsidR="00F7715C" w:rsidRDefault="00917BD7">
            <w:pPr>
              <w:jc w:val="center"/>
            </w:pPr>
            <w:r>
              <w:rPr>
                <w:color w:val="000000"/>
                <w:sz w:val="24"/>
                <w:szCs w:val="24"/>
              </w:rPr>
              <w:t>西部矿业</w:t>
            </w:r>
          </w:p>
        </w:tc>
        <w:tc>
          <w:tcPr>
            <w:tcW w:w="1334" w:type="dxa"/>
            <w:vAlign w:val="center"/>
          </w:tcPr>
          <w:p w:rsidR="00F7715C" w:rsidRDefault="00917BD7">
            <w:pPr>
              <w:jc w:val="right"/>
            </w:pPr>
            <w:r>
              <w:rPr>
                <w:color w:val="000000"/>
                <w:sz w:val="24"/>
                <w:szCs w:val="24"/>
              </w:rPr>
              <w:t>152,700</w:t>
            </w:r>
          </w:p>
        </w:tc>
        <w:tc>
          <w:tcPr>
            <w:tcW w:w="1924" w:type="dxa"/>
            <w:vAlign w:val="center"/>
          </w:tcPr>
          <w:p w:rsidR="00F7715C" w:rsidRDefault="00917BD7">
            <w:pPr>
              <w:jc w:val="right"/>
            </w:pPr>
            <w:r>
              <w:rPr>
                <w:color w:val="000000"/>
                <w:sz w:val="24"/>
                <w:szCs w:val="24"/>
              </w:rPr>
              <w:t>986,442.00</w:t>
            </w:r>
          </w:p>
        </w:tc>
        <w:tc>
          <w:tcPr>
            <w:tcW w:w="1644" w:type="dxa"/>
            <w:vAlign w:val="center"/>
          </w:tcPr>
          <w:p w:rsidR="00F7715C" w:rsidRDefault="00917BD7">
            <w:pPr>
              <w:jc w:val="right"/>
            </w:pPr>
            <w:r>
              <w:rPr>
                <w:color w:val="000000"/>
                <w:sz w:val="24"/>
                <w:szCs w:val="24"/>
              </w:rPr>
              <w:t>0.42</w:t>
            </w:r>
          </w:p>
        </w:tc>
      </w:tr>
      <w:tr w:rsidR="00F7715C">
        <w:trPr>
          <w:jc w:val="center"/>
        </w:trPr>
        <w:tc>
          <w:tcPr>
            <w:tcW w:w="855" w:type="dxa"/>
            <w:vAlign w:val="center"/>
          </w:tcPr>
          <w:p w:rsidR="00F7715C" w:rsidRDefault="00917BD7">
            <w:pPr>
              <w:jc w:val="center"/>
            </w:pPr>
            <w:r>
              <w:rPr>
                <w:color w:val="000000"/>
                <w:sz w:val="24"/>
                <w:szCs w:val="24"/>
              </w:rPr>
              <w:t>10</w:t>
            </w:r>
          </w:p>
        </w:tc>
        <w:tc>
          <w:tcPr>
            <w:tcW w:w="1334" w:type="dxa"/>
            <w:vAlign w:val="center"/>
          </w:tcPr>
          <w:p w:rsidR="00F7715C" w:rsidRDefault="00917BD7">
            <w:pPr>
              <w:jc w:val="center"/>
            </w:pPr>
            <w:r>
              <w:rPr>
                <w:color w:val="000000"/>
                <w:sz w:val="24"/>
                <w:szCs w:val="24"/>
              </w:rPr>
              <w:t>002174</w:t>
            </w:r>
          </w:p>
        </w:tc>
        <w:tc>
          <w:tcPr>
            <w:tcW w:w="1777" w:type="dxa"/>
            <w:vAlign w:val="center"/>
          </w:tcPr>
          <w:p w:rsidR="00F7715C" w:rsidRDefault="00917BD7">
            <w:pPr>
              <w:jc w:val="center"/>
            </w:pPr>
            <w:r>
              <w:rPr>
                <w:color w:val="000000"/>
                <w:sz w:val="24"/>
                <w:szCs w:val="24"/>
              </w:rPr>
              <w:t>游族网络</w:t>
            </w:r>
          </w:p>
        </w:tc>
        <w:tc>
          <w:tcPr>
            <w:tcW w:w="1334" w:type="dxa"/>
            <w:vAlign w:val="center"/>
          </w:tcPr>
          <w:p w:rsidR="00F7715C" w:rsidRDefault="00917BD7">
            <w:pPr>
              <w:jc w:val="right"/>
            </w:pPr>
            <w:r>
              <w:rPr>
                <w:color w:val="000000"/>
                <w:sz w:val="24"/>
                <w:szCs w:val="24"/>
              </w:rPr>
              <w:t>41,400</w:t>
            </w:r>
          </w:p>
        </w:tc>
        <w:tc>
          <w:tcPr>
            <w:tcW w:w="1924" w:type="dxa"/>
            <w:vAlign w:val="center"/>
          </w:tcPr>
          <w:p w:rsidR="00F7715C" w:rsidRDefault="00917BD7">
            <w:pPr>
              <w:jc w:val="right"/>
            </w:pPr>
            <w:r>
              <w:rPr>
                <w:color w:val="000000"/>
                <w:sz w:val="24"/>
                <w:szCs w:val="24"/>
              </w:rPr>
              <w:t>985,320.00</w:t>
            </w:r>
          </w:p>
        </w:tc>
        <w:tc>
          <w:tcPr>
            <w:tcW w:w="1644" w:type="dxa"/>
            <w:vAlign w:val="center"/>
          </w:tcPr>
          <w:p w:rsidR="00F7715C" w:rsidRDefault="00917BD7">
            <w:pPr>
              <w:jc w:val="right"/>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4.28</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10,078,000.00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7715C">
        <w:trPr>
          <w:jc w:val="center"/>
        </w:trPr>
        <w:tc>
          <w:tcPr>
            <w:tcW w:w="850" w:type="dxa"/>
            <w:vAlign w:val="center"/>
          </w:tcPr>
          <w:p w:rsidR="00F7715C" w:rsidRDefault="00917BD7">
            <w:pPr>
              <w:jc w:val="center"/>
            </w:pPr>
            <w:r>
              <w:rPr>
                <w:color w:val="000000"/>
                <w:sz w:val="24"/>
                <w:szCs w:val="24"/>
              </w:rPr>
              <w:t>1</w:t>
            </w:r>
          </w:p>
        </w:tc>
        <w:tc>
          <w:tcPr>
            <w:tcW w:w="1475" w:type="dxa"/>
            <w:vAlign w:val="center"/>
          </w:tcPr>
          <w:p w:rsidR="00F7715C" w:rsidRDefault="00917BD7">
            <w:pPr>
              <w:jc w:val="center"/>
            </w:pPr>
            <w:r>
              <w:rPr>
                <w:color w:val="000000"/>
                <w:sz w:val="24"/>
                <w:szCs w:val="24"/>
              </w:rPr>
              <w:t>011801362</w:t>
            </w:r>
          </w:p>
        </w:tc>
        <w:tc>
          <w:tcPr>
            <w:tcW w:w="1769" w:type="dxa"/>
            <w:vAlign w:val="center"/>
          </w:tcPr>
          <w:p w:rsidR="00F7715C" w:rsidRDefault="00917BD7">
            <w:pPr>
              <w:jc w:val="center"/>
            </w:pPr>
            <w:r>
              <w:rPr>
                <w:color w:val="000000"/>
                <w:sz w:val="24"/>
                <w:szCs w:val="24"/>
              </w:rPr>
              <w:t>18</w:t>
            </w:r>
            <w:r>
              <w:rPr>
                <w:color w:val="000000"/>
                <w:sz w:val="24"/>
                <w:szCs w:val="24"/>
              </w:rPr>
              <w:t>新中泰集</w:t>
            </w:r>
            <w:r>
              <w:rPr>
                <w:color w:val="000000"/>
                <w:sz w:val="24"/>
                <w:szCs w:val="24"/>
              </w:rPr>
              <w:t>SCP004</w:t>
            </w:r>
          </w:p>
        </w:tc>
        <w:tc>
          <w:tcPr>
            <w:tcW w:w="1387" w:type="dxa"/>
            <w:vAlign w:val="center"/>
          </w:tcPr>
          <w:p w:rsidR="00F7715C" w:rsidRDefault="00917BD7">
            <w:pPr>
              <w:jc w:val="right"/>
            </w:pPr>
            <w:r>
              <w:rPr>
                <w:color w:val="000000"/>
                <w:sz w:val="24"/>
                <w:szCs w:val="24"/>
              </w:rPr>
              <w:t>100,000</w:t>
            </w:r>
          </w:p>
        </w:tc>
        <w:tc>
          <w:tcPr>
            <w:tcW w:w="2150" w:type="dxa"/>
            <w:vAlign w:val="center"/>
          </w:tcPr>
          <w:p w:rsidR="00F7715C" w:rsidRDefault="00917BD7">
            <w:pPr>
              <w:jc w:val="right"/>
            </w:pPr>
            <w:r>
              <w:rPr>
                <w:color w:val="000000"/>
                <w:sz w:val="24"/>
                <w:szCs w:val="24"/>
              </w:rPr>
              <w:t>10,078,000.00</w:t>
            </w:r>
          </w:p>
        </w:tc>
        <w:tc>
          <w:tcPr>
            <w:tcW w:w="1237" w:type="dxa"/>
            <w:vAlign w:val="center"/>
          </w:tcPr>
          <w:p w:rsidR="00F7715C" w:rsidRDefault="00917BD7">
            <w:pPr>
              <w:jc w:val="right"/>
            </w:pPr>
            <w:r>
              <w:rPr>
                <w:color w:val="000000"/>
                <w:sz w:val="24"/>
                <w:szCs w:val="24"/>
              </w:rPr>
              <w:t>4.28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16,515.84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306,593.41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323,109.25</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228,753,120.21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228,753,120.21</w:t>
            </w:r>
          </w:p>
        </w:tc>
      </w:tr>
    </w:tbl>
    <w:p w:rsidR="00F7715C" w:rsidRDefault="00917BD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7715C" w:rsidRDefault="00917BD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、中国证监会准予交银施罗德致远量化智投策略定期开放混合型证券投资基金募集注册的文件；</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、《交银施罗德致远量化智投策略定期开放混合型证券投资基金基金合同》；</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、《交银施罗德致远量化智投策略定期开放混合型证券投资基金招募说明书》；</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、《交银施罗德致远量化智投策略定期开放混合型证券投资基金托管协议》；</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、关于申请募集注册交银施罗德致远量化智投策略定期开放混合型证券投资基金的法律意见书；</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7715C" w:rsidRDefault="00917BD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、报告期内交银施罗德致远量化智投策略定期开放混合型证券投资基金在指定报刊上各项公告的原稿。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7715C" w:rsidRDefault="00917BD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F667D">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F667D">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交银施罗德致远量化智投策略定期开放混合型证券投资基金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7BD7"/>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67D"/>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715C"/>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03BBF079-21CA-49E7-8314-52AED375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449F5-41E0-4155-8463-DFD007248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13</Pages>
  <Words>1032</Words>
  <Characters>5886</Characters>
  <Application>Microsoft Office Word</Application>
  <DocSecurity>0</DocSecurity>
  <Lines>49</Lines>
  <Paragraphs>13</Paragraphs>
  <ScaleCrop>false</ScaleCrop>
  <Company/>
  <LinksUpToDate>false</LinksUpToDate>
  <CharactersWithSpaces>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2019-04-17T08:20:00Z</dcterms:modified>
</cp:coreProperties>
</file>