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2019</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2019</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二〇一九年四月二十日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BF3513" w:rsidRDefault="00C6071F">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F3513" w:rsidRDefault="00C6071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F3513" w:rsidRDefault="00C6071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F3513" w:rsidRDefault="00C6071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F3513" w:rsidRDefault="00C6071F">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2019</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41,329,693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6071F" w:rsidRPr="0036023B" w:rsidTr="00C6071F">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(2019</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-2019</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C6071F" w:rsidRPr="0036023B" w:rsidTr="00C6071F">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297,511.99</w:t>
            </w:r>
          </w:p>
        </w:tc>
      </w:tr>
      <w:tr w:rsidR="00C6071F" w:rsidRPr="0036023B" w:rsidTr="00C6071F">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21,371,009.20</w:t>
            </w:r>
          </w:p>
        </w:tc>
      </w:tr>
      <w:tr w:rsidR="00C6071F" w:rsidRPr="0036023B" w:rsidTr="00C6071F">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0.5094</w:t>
            </w:r>
          </w:p>
        </w:tc>
      </w:tr>
      <w:tr w:rsidR="00C6071F" w:rsidRPr="0036023B" w:rsidTr="00C6071F">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76,790,493.98</w:t>
            </w:r>
          </w:p>
        </w:tc>
      </w:tr>
      <w:tr w:rsidR="00C6071F" w:rsidRPr="0036023B" w:rsidTr="00C6071F">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1.858</w:t>
            </w:r>
          </w:p>
        </w:tc>
      </w:tr>
    </w:tbl>
    <w:p w:rsidR="00BF3513" w:rsidRDefault="00C6071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BF3513">
        <w:trPr>
          <w:jc w:val="center"/>
        </w:trPr>
        <w:tc>
          <w:tcPr>
            <w:tcW w:w="1469" w:type="dxa"/>
            <w:vAlign w:val="center"/>
          </w:tcPr>
          <w:p w:rsidR="00BF3513" w:rsidRDefault="00C6071F">
            <w:pPr>
              <w:jc w:val="left"/>
            </w:pPr>
            <w:r>
              <w:rPr>
                <w:color w:val="000000"/>
                <w:sz w:val="24"/>
              </w:rPr>
              <w:t>过去三个月</w:t>
            </w:r>
          </w:p>
        </w:tc>
        <w:tc>
          <w:tcPr>
            <w:tcW w:w="1150" w:type="dxa"/>
            <w:vAlign w:val="center"/>
          </w:tcPr>
          <w:p w:rsidR="00BF3513" w:rsidRDefault="00C6071F">
            <w:pPr>
              <w:jc w:val="center"/>
            </w:pPr>
            <w:r>
              <w:rPr>
                <w:color w:val="000000"/>
                <w:sz w:val="24"/>
              </w:rPr>
              <w:t>37.73%</w:t>
            </w:r>
          </w:p>
        </w:tc>
        <w:tc>
          <w:tcPr>
            <w:tcW w:w="1223" w:type="dxa"/>
            <w:vAlign w:val="center"/>
          </w:tcPr>
          <w:p w:rsidR="00BF3513" w:rsidRDefault="00C6071F">
            <w:pPr>
              <w:jc w:val="center"/>
            </w:pPr>
            <w:r>
              <w:rPr>
                <w:color w:val="000000"/>
                <w:sz w:val="24"/>
              </w:rPr>
              <w:t>1.65%</w:t>
            </w:r>
          </w:p>
        </w:tc>
        <w:tc>
          <w:tcPr>
            <w:tcW w:w="1244" w:type="dxa"/>
            <w:vAlign w:val="center"/>
          </w:tcPr>
          <w:p w:rsidR="00BF3513" w:rsidRDefault="00C6071F">
            <w:pPr>
              <w:jc w:val="center"/>
            </w:pPr>
            <w:r>
              <w:rPr>
                <w:color w:val="000000"/>
                <w:sz w:val="24"/>
              </w:rPr>
              <w:t>38.39%</w:t>
            </w:r>
          </w:p>
        </w:tc>
        <w:tc>
          <w:tcPr>
            <w:tcW w:w="1251" w:type="dxa"/>
            <w:vAlign w:val="center"/>
          </w:tcPr>
          <w:p w:rsidR="00BF3513" w:rsidRDefault="00C6071F">
            <w:pPr>
              <w:jc w:val="center"/>
            </w:pPr>
            <w:r>
              <w:rPr>
                <w:color w:val="000000"/>
                <w:sz w:val="24"/>
              </w:rPr>
              <w:t>1.66%</w:t>
            </w:r>
          </w:p>
        </w:tc>
        <w:tc>
          <w:tcPr>
            <w:tcW w:w="1263" w:type="dxa"/>
            <w:vAlign w:val="center"/>
          </w:tcPr>
          <w:p w:rsidR="00BF3513" w:rsidRDefault="00C6071F">
            <w:pPr>
              <w:jc w:val="center"/>
            </w:pPr>
            <w:r>
              <w:rPr>
                <w:color w:val="000000"/>
                <w:sz w:val="24"/>
              </w:rPr>
              <w:t>-0.66%</w:t>
            </w:r>
          </w:p>
        </w:tc>
        <w:tc>
          <w:tcPr>
            <w:tcW w:w="1268" w:type="dxa"/>
            <w:vAlign w:val="center"/>
          </w:tcPr>
          <w:p w:rsidR="00BF3513" w:rsidRDefault="00C6071F">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2019</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BF3513">
        <w:trPr>
          <w:jc w:val="center"/>
        </w:trPr>
        <w:tc>
          <w:tcPr>
            <w:tcW w:w="846" w:type="dxa"/>
            <w:vAlign w:val="center"/>
          </w:tcPr>
          <w:p w:rsidR="00BF3513" w:rsidRDefault="00C6071F">
            <w:pPr>
              <w:jc w:val="center"/>
            </w:pPr>
            <w:r>
              <w:rPr>
                <w:color w:val="000000"/>
                <w:sz w:val="24"/>
              </w:rPr>
              <w:t>蔡铮</w:t>
            </w:r>
          </w:p>
        </w:tc>
        <w:tc>
          <w:tcPr>
            <w:tcW w:w="845" w:type="dxa"/>
            <w:vAlign w:val="center"/>
          </w:tcPr>
          <w:p w:rsidR="00BF3513" w:rsidRDefault="00C6071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BF3513" w:rsidRDefault="00C6071F">
            <w:pPr>
              <w:jc w:val="center"/>
            </w:pPr>
            <w:r>
              <w:rPr>
                <w:color w:val="000000"/>
                <w:sz w:val="24"/>
              </w:rPr>
              <w:t>2012-12-27</w:t>
            </w:r>
          </w:p>
        </w:tc>
        <w:tc>
          <w:tcPr>
            <w:tcW w:w="1548" w:type="dxa"/>
            <w:vAlign w:val="center"/>
          </w:tcPr>
          <w:p w:rsidR="00BF3513" w:rsidRDefault="00C6071F">
            <w:pPr>
              <w:jc w:val="center"/>
            </w:pPr>
            <w:r>
              <w:rPr>
                <w:color w:val="000000"/>
                <w:sz w:val="24"/>
              </w:rPr>
              <w:t>-</w:t>
            </w:r>
          </w:p>
        </w:tc>
        <w:tc>
          <w:tcPr>
            <w:tcW w:w="1407" w:type="dxa"/>
            <w:vAlign w:val="center"/>
          </w:tcPr>
          <w:p w:rsidR="00BF3513" w:rsidRDefault="00C6071F">
            <w:pPr>
              <w:jc w:val="center"/>
            </w:pPr>
            <w:r>
              <w:rPr>
                <w:color w:val="000000"/>
                <w:sz w:val="24"/>
              </w:rPr>
              <w:t>10</w:t>
            </w:r>
            <w:r>
              <w:rPr>
                <w:color w:val="000000"/>
                <w:sz w:val="24"/>
              </w:rPr>
              <w:t>年</w:t>
            </w:r>
          </w:p>
        </w:tc>
        <w:tc>
          <w:tcPr>
            <w:tcW w:w="2673" w:type="dxa"/>
            <w:vAlign w:val="center"/>
          </w:tcPr>
          <w:p w:rsidR="00BF3513" w:rsidRDefault="00C6071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BF3513" w:rsidRDefault="00C6071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F3513" w:rsidRDefault="00C6071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F3513" w:rsidRDefault="00C6071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BF3513" w:rsidRDefault="00C6071F">
      <w:pPr>
        <w:spacing w:before="29" w:line="288" w:lineRule="auto"/>
        <w:ind w:firstLineChars="200" w:firstLine="480"/>
        <w:rPr>
          <w:color w:val="000000"/>
          <w:sz w:val="24"/>
        </w:rPr>
      </w:pPr>
      <w:r>
        <w:rPr>
          <w:color w:val="000000"/>
          <w:sz w:val="24"/>
        </w:rPr>
        <w:t>2019</w:t>
      </w:r>
      <w:r>
        <w:rPr>
          <w:color w:val="000000"/>
          <w:sz w:val="24"/>
        </w:rPr>
        <w:t>年一季度国内宏观环境基本稳定，央行货币政策维持稳健，财政政策加力提效，减税降费力度加大，政府积极扶持中小企业和新经济发展，多方面政策持续发力缓解经济下行压力。在此经济背景下，一季度</w:t>
      </w:r>
      <w:r>
        <w:rPr>
          <w:color w:val="000000"/>
          <w:sz w:val="24"/>
        </w:rPr>
        <w:t>A</w:t>
      </w:r>
      <w:r>
        <w:rPr>
          <w:color w:val="000000"/>
          <w:sz w:val="24"/>
        </w:rPr>
        <w:t>股市场风险偏好显著回升，市场点位大幅上行。作为跟踪基准指数的指数基金，一季度基金总体呈现稳步上行的趋势。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2019</w:t>
      </w:r>
      <w:r w:rsidRPr="0036023B">
        <w:rPr>
          <w:color w:val="000000"/>
          <w:sz w:val="24"/>
        </w:rPr>
        <w:t>年二季度，我们认为宏观经济依然面临一定挑战，投资和消费增速下行压力犹存，政策力度或将持续加码，新兴产业加速发展，科创板稳步推进。市场经历了一季度的快速反弹，整体估值水平有所修复。总体而言，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75,928,675.89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98.52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75,928,675.89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98.52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696,204.97</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0.90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441,409.65</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0.57</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77,066,290.51</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5,633,820.20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7.34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458,304.76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0.60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49,547,226.36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64.52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973,135.11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706,890.32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683,214.00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162,532.00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7,387,713.34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9.62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8,784,227.70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11.44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243,957.60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763,336.00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584,318.50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75,928,675.89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98.88</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BF3513">
        <w:trPr>
          <w:jc w:val="center"/>
        </w:trPr>
        <w:tc>
          <w:tcPr>
            <w:tcW w:w="850" w:type="dxa"/>
            <w:vAlign w:val="center"/>
          </w:tcPr>
          <w:p w:rsidR="00BF3513" w:rsidRDefault="00C6071F">
            <w:pPr>
              <w:jc w:val="center"/>
            </w:pPr>
            <w:r>
              <w:rPr>
                <w:color w:val="000000"/>
                <w:sz w:val="24"/>
              </w:rPr>
              <w:t>1</w:t>
            </w:r>
          </w:p>
        </w:tc>
        <w:tc>
          <w:tcPr>
            <w:tcW w:w="1327" w:type="dxa"/>
            <w:vAlign w:val="center"/>
          </w:tcPr>
          <w:p w:rsidR="00BF3513" w:rsidRDefault="00C6071F">
            <w:pPr>
              <w:jc w:val="center"/>
            </w:pPr>
            <w:r>
              <w:rPr>
                <w:color w:val="000000"/>
                <w:sz w:val="24"/>
              </w:rPr>
              <w:t>000333</w:t>
            </w:r>
          </w:p>
        </w:tc>
        <w:tc>
          <w:tcPr>
            <w:tcW w:w="1769" w:type="dxa"/>
            <w:vAlign w:val="center"/>
          </w:tcPr>
          <w:p w:rsidR="00BF3513" w:rsidRDefault="00C6071F">
            <w:pPr>
              <w:jc w:val="center"/>
            </w:pPr>
            <w:r>
              <w:rPr>
                <w:color w:val="000000"/>
                <w:sz w:val="24"/>
              </w:rPr>
              <w:t>美的集团</w:t>
            </w:r>
          </w:p>
        </w:tc>
        <w:tc>
          <w:tcPr>
            <w:tcW w:w="1327" w:type="dxa"/>
            <w:vAlign w:val="center"/>
          </w:tcPr>
          <w:p w:rsidR="00BF3513" w:rsidRDefault="00C6071F">
            <w:pPr>
              <w:jc w:val="right"/>
            </w:pPr>
            <w:r>
              <w:rPr>
                <w:color w:val="000000"/>
                <w:sz w:val="24"/>
              </w:rPr>
              <w:t>138,053</w:t>
            </w:r>
          </w:p>
        </w:tc>
        <w:tc>
          <w:tcPr>
            <w:tcW w:w="1915" w:type="dxa"/>
            <w:vAlign w:val="center"/>
          </w:tcPr>
          <w:p w:rsidR="00BF3513" w:rsidRDefault="00C6071F">
            <w:pPr>
              <w:jc w:val="right"/>
            </w:pPr>
            <w:r>
              <w:rPr>
                <w:color w:val="000000"/>
                <w:sz w:val="24"/>
              </w:rPr>
              <w:t>6,727,322.69</w:t>
            </w:r>
          </w:p>
        </w:tc>
        <w:tc>
          <w:tcPr>
            <w:tcW w:w="1680" w:type="dxa"/>
            <w:vAlign w:val="center"/>
          </w:tcPr>
          <w:p w:rsidR="00BF3513" w:rsidRDefault="00C6071F">
            <w:pPr>
              <w:jc w:val="right"/>
            </w:pPr>
            <w:r>
              <w:rPr>
                <w:color w:val="000000"/>
                <w:sz w:val="24"/>
              </w:rPr>
              <w:t>8.76</w:t>
            </w:r>
          </w:p>
        </w:tc>
      </w:tr>
      <w:tr w:rsidR="00BF3513">
        <w:trPr>
          <w:jc w:val="center"/>
        </w:trPr>
        <w:tc>
          <w:tcPr>
            <w:tcW w:w="850" w:type="dxa"/>
            <w:vAlign w:val="center"/>
          </w:tcPr>
          <w:p w:rsidR="00BF3513" w:rsidRDefault="00C6071F">
            <w:pPr>
              <w:jc w:val="center"/>
            </w:pPr>
            <w:r>
              <w:rPr>
                <w:color w:val="000000"/>
                <w:sz w:val="24"/>
              </w:rPr>
              <w:t>2</w:t>
            </w:r>
          </w:p>
        </w:tc>
        <w:tc>
          <w:tcPr>
            <w:tcW w:w="1327" w:type="dxa"/>
            <w:vAlign w:val="center"/>
          </w:tcPr>
          <w:p w:rsidR="00BF3513" w:rsidRDefault="00C6071F">
            <w:pPr>
              <w:jc w:val="center"/>
            </w:pPr>
            <w:r>
              <w:rPr>
                <w:color w:val="000000"/>
                <w:sz w:val="24"/>
              </w:rPr>
              <w:t>000651</w:t>
            </w:r>
          </w:p>
        </w:tc>
        <w:tc>
          <w:tcPr>
            <w:tcW w:w="1769" w:type="dxa"/>
            <w:vAlign w:val="center"/>
          </w:tcPr>
          <w:p w:rsidR="00BF3513" w:rsidRDefault="00C6071F">
            <w:pPr>
              <w:jc w:val="center"/>
            </w:pPr>
            <w:r>
              <w:rPr>
                <w:color w:val="000000"/>
                <w:sz w:val="24"/>
              </w:rPr>
              <w:t>格力电器</w:t>
            </w:r>
          </w:p>
        </w:tc>
        <w:tc>
          <w:tcPr>
            <w:tcW w:w="1327" w:type="dxa"/>
            <w:vAlign w:val="center"/>
          </w:tcPr>
          <w:p w:rsidR="00BF3513" w:rsidRDefault="00C6071F">
            <w:pPr>
              <w:jc w:val="right"/>
            </w:pPr>
            <w:r>
              <w:rPr>
                <w:color w:val="000000"/>
                <w:sz w:val="24"/>
              </w:rPr>
              <w:t>140,374</w:t>
            </w:r>
          </w:p>
        </w:tc>
        <w:tc>
          <w:tcPr>
            <w:tcW w:w="1915" w:type="dxa"/>
            <w:vAlign w:val="center"/>
          </w:tcPr>
          <w:p w:rsidR="00BF3513" w:rsidRDefault="00C6071F">
            <w:pPr>
              <w:jc w:val="right"/>
            </w:pPr>
            <w:r>
              <w:rPr>
                <w:color w:val="000000"/>
                <w:sz w:val="24"/>
              </w:rPr>
              <w:t>6,627,056.54</w:t>
            </w:r>
          </w:p>
        </w:tc>
        <w:tc>
          <w:tcPr>
            <w:tcW w:w="1680" w:type="dxa"/>
            <w:vAlign w:val="center"/>
          </w:tcPr>
          <w:p w:rsidR="00BF3513" w:rsidRDefault="00C6071F">
            <w:pPr>
              <w:jc w:val="right"/>
            </w:pPr>
            <w:r>
              <w:rPr>
                <w:color w:val="000000"/>
                <w:sz w:val="24"/>
              </w:rPr>
              <w:t>8.63</w:t>
            </w:r>
          </w:p>
        </w:tc>
      </w:tr>
      <w:tr w:rsidR="00BF3513">
        <w:trPr>
          <w:jc w:val="center"/>
        </w:trPr>
        <w:tc>
          <w:tcPr>
            <w:tcW w:w="850" w:type="dxa"/>
            <w:vAlign w:val="center"/>
          </w:tcPr>
          <w:p w:rsidR="00BF3513" w:rsidRDefault="00C6071F">
            <w:pPr>
              <w:jc w:val="center"/>
            </w:pPr>
            <w:r>
              <w:rPr>
                <w:color w:val="000000"/>
                <w:sz w:val="24"/>
              </w:rPr>
              <w:t>3</w:t>
            </w:r>
          </w:p>
        </w:tc>
        <w:tc>
          <w:tcPr>
            <w:tcW w:w="1327" w:type="dxa"/>
            <w:vAlign w:val="center"/>
          </w:tcPr>
          <w:p w:rsidR="00BF3513" w:rsidRDefault="00C6071F">
            <w:pPr>
              <w:jc w:val="center"/>
            </w:pPr>
            <w:r>
              <w:rPr>
                <w:color w:val="000000"/>
                <w:sz w:val="24"/>
              </w:rPr>
              <w:t>000858</w:t>
            </w:r>
          </w:p>
        </w:tc>
        <w:tc>
          <w:tcPr>
            <w:tcW w:w="1769" w:type="dxa"/>
            <w:vAlign w:val="center"/>
          </w:tcPr>
          <w:p w:rsidR="00BF3513" w:rsidRDefault="00C6071F">
            <w:pPr>
              <w:jc w:val="center"/>
            </w:pPr>
            <w:r>
              <w:rPr>
                <w:color w:val="000000"/>
                <w:sz w:val="24"/>
              </w:rPr>
              <w:t>五粮液</w:t>
            </w:r>
          </w:p>
        </w:tc>
        <w:tc>
          <w:tcPr>
            <w:tcW w:w="1327" w:type="dxa"/>
            <w:vAlign w:val="center"/>
          </w:tcPr>
          <w:p w:rsidR="00BF3513" w:rsidRDefault="00C6071F">
            <w:pPr>
              <w:jc w:val="right"/>
            </w:pPr>
            <w:r>
              <w:rPr>
                <w:color w:val="000000"/>
                <w:sz w:val="24"/>
              </w:rPr>
              <w:t>53,926</w:t>
            </w:r>
          </w:p>
        </w:tc>
        <w:tc>
          <w:tcPr>
            <w:tcW w:w="1915" w:type="dxa"/>
            <w:vAlign w:val="center"/>
          </w:tcPr>
          <w:p w:rsidR="00BF3513" w:rsidRDefault="00C6071F">
            <w:pPr>
              <w:jc w:val="right"/>
            </w:pPr>
            <w:r>
              <w:rPr>
                <w:color w:val="000000"/>
                <w:sz w:val="24"/>
              </w:rPr>
              <w:t>5,122,970.00</w:t>
            </w:r>
          </w:p>
        </w:tc>
        <w:tc>
          <w:tcPr>
            <w:tcW w:w="1680" w:type="dxa"/>
            <w:vAlign w:val="center"/>
          </w:tcPr>
          <w:p w:rsidR="00BF3513" w:rsidRDefault="00C6071F">
            <w:pPr>
              <w:jc w:val="right"/>
            </w:pPr>
            <w:r>
              <w:rPr>
                <w:color w:val="000000"/>
                <w:sz w:val="24"/>
              </w:rPr>
              <w:t>6.67</w:t>
            </w:r>
          </w:p>
        </w:tc>
      </w:tr>
      <w:tr w:rsidR="00BF3513">
        <w:trPr>
          <w:jc w:val="center"/>
        </w:trPr>
        <w:tc>
          <w:tcPr>
            <w:tcW w:w="850" w:type="dxa"/>
            <w:vAlign w:val="center"/>
          </w:tcPr>
          <w:p w:rsidR="00BF3513" w:rsidRDefault="00C6071F">
            <w:pPr>
              <w:jc w:val="center"/>
            </w:pPr>
            <w:r>
              <w:rPr>
                <w:color w:val="000000"/>
                <w:sz w:val="24"/>
              </w:rPr>
              <w:t>4</w:t>
            </w:r>
          </w:p>
        </w:tc>
        <w:tc>
          <w:tcPr>
            <w:tcW w:w="1327" w:type="dxa"/>
            <w:vAlign w:val="center"/>
          </w:tcPr>
          <w:p w:rsidR="00BF3513" w:rsidRDefault="00C6071F">
            <w:pPr>
              <w:jc w:val="center"/>
            </w:pPr>
            <w:r>
              <w:rPr>
                <w:color w:val="000000"/>
                <w:sz w:val="24"/>
              </w:rPr>
              <w:t>300498</w:t>
            </w:r>
          </w:p>
        </w:tc>
        <w:tc>
          <w:tcPr>
            <w:tcW w:w="1769" w:type="dxa"/>
            <w:vAlign w:val="center"/>
          </w:tcPr>
          <w:p w:rsidR="00BF3513" w:rsidRDefault="00C6071F">
            <w:pPr>
              <w:jc w:val="center"/>
            </w:pPr>
            <w:r>
              <w:rPr>
                <w:color w:val="000000"/>
                <w:sz w:val="24"/>
              </w:rPr>
              <w:t>温氏股份</w:t>
            </w:r>
          </w:p>
        </w:tc>
        <w:tc>
          <w:tcPr>
            <w:tcW w:w="1327" w:type="dxa"/>
            <w:vAlign w:val="center"/>
          </w:tcPr>
          <w:p w:rsidR="00BF3513" w:rsidRDefault="00C6071F">
            <w:pPr>
              <w:jc w:val="right"/>
            </w:pPr>
            <w:r>
              <w:rPr>
                <w:color w:val="000000"/>
                <w:sz w:val="24"/>
              </w:rPr>
              <w:t>111,600</w:t>
            </w:r>
          </w:p>
        </w:tc>
        <w:tc>
          <w:tcPr>
            <w:tcW w:w="1915" w:type="dxa"/>
            <w:vAlign w:val="center"/>
          </w:tcPr>
          <w:p w:rsidR="00BF3513" w:rsidRDefault="00C6071F">
            <w:pPr>
              <w:jc w:val="right"/>
            </w:pPr>
            <w:r>
              <w:rPr>
                <w:color w:val="000000"/>
                <w:sz w:val="24"/>
              </w:rPr>
              <w:t>4,530,960.00</w:t>
            </w:r>
          </w:p>
        </w:tc>
        <w:tc>
          <w:tcPr>
            <w:tcW w:w="1680" w:type="dxa"/>
            <w:vAlign w:val="center"/>
          </w:tcPr>
          <w:p w:rsidR="00BF3513" w:rsidRDefault="00C6071F">
            <w:pPr>
              <w:jc w:val="right"/>
            </w:pPr>
            <w:r>
              <w:rPr>
                <w:color w:val="000000"/>
                <w:sz w:val="24"/>
              </w:rPr>
              <w:t>5.90</w:t>
            </w:r>
          </w:p>
        </w:tc>
      </w:tr>
      <w:tr w:rsidR="00BF3513">
        <w:trPr>
          <w:jc w:val="center"/>
        </w:trPr>
        <w:tc>
          <w:tcPr>
            <w:tcW w:w="850" w:type="dxa"/>
            <w:vAlign w:val="center"/>
          </w:tcPr>
          <w:p w:rsidR="00BF3513" w:rsidRDefault="00C6071F">
            <w:pPr>
              <w:jc w:val="center"/>
            </w:pPr>
            <w:r>
              <w:rPr>
                <w:color w:val="000000"/>
                <w:sz w:val="24"/>
              </w:rPr>
              <w:t>5</w:t>
            </w:r>
          </w:p>
        </w:tc>
        <w:tc>
          <w:tcPr>
            <w:tcW w:w="1327" w:type="dxa"/>
            <w:vAlign w:val="center"/>
          </w:tcPr>
          <w:p w:rsidR="00BF3513" w:rsidRDefault="00C6071F">
            <w:pPr>
              <w:jc w:val="center"/>
            </w:pPr>
            <w:r>
              <w:rPr>
                <w:color w:val="000000"/>
                <w:sz w:val="24"/>
              </w:rPr>
              <w:t>000002</w:t>
            </w:r>
          </w:p>
        </w:tc>
        <w:tc>
          <w:tcPr>
            <w:tcW w:w="1769" w:type="dxa"/>
            <w:vAlign w:val="center"/>
          </w:tcPr>
          <w:p w:rsidR="00BF3513" w:rsidRDefault="00C6071F">
            <w:pPr>
              <w:jc w:val="center"/>
            </w:pPr>
            <w:r>
              <w:rPr>
                <w:color w:val="000000"/>
                <w:sz w:val="24"/>
              </w:rPr>
              <w:t>万科</w:t>
            </w:r>
            <w:r>
              <w:rPr>
                <w:color w:val="000000"/>
                <w:sz w:val="24"/>
              </w:rPr>
              <w:t>A</w:t>
            </w:r>
          </w:p>
        </w:tc>
        <w:tc>
          <w:tcPr>
            <w:tcW w:w="1327" w:type="dxa"/>
            <w:vAlign w:val="center"/>
          </w:tcPr>
          <w:p w:rsidR="00BF3513" w:rsidRDefault="00C6071F">
            <w:pPr>
              <w:jc w:val="right"/>
            </w:pPr>
            <w:r>
              <w:rPr>
                <w:color w:val="000000"/>
                <w:sz w:val="24"/>
              </w:rPr>
              <w:t>132,700</w:t>
            </w:r>
          </w:p>
        </w:tc>
        <w:tc>
          <w:tcPr>
            <w:tcW w:w="1915" w:type="dxa"/>
            <w:vAlign w:val="center"/>
          </w:tcPr>
          <w:p w:rsidR="00BF3513" w:rsidRDefault="00C6071F">
            <w:pPr>
              <w:jc w:val="right"/>
            </w:pPr>
            <w:r>
              <w:rPr>
                <w:color w:val="000000"/>
                <w:sz w:val="24"/>
              </w:rPr>
              <w:t>4,076,544.00</w:t>
            </w:r>
          </w:p>
        </w:tc>
        <w:tc>
          <w:tcPr>
            <w:tcW w:w="1680" w:type="dxa"/>
            <w:vAlign w:val="center"/>
          </w:tcPr>
          <w:p w:rsidR="00BF3513" w:rsidRDefault="00C6071F">
            <w:pPr>
              <w:jc w:val="right"/>
            </w:pPr>
            <w:r>
              <w:rPr>
                <w:color w:val="000000"/>
                <w:sz w:val="24"/>
              </w:rPr>
              <w:t>5.31</w:t>
            </w:r>
          </w:p>
        </w:tc>
      </w:tr>
      <w:tr w:rsidR="00BF3513">
        <w:trPr>
          <w:jc w:val="center"/>
        </w:trPr>
        <w:tc>
          <w:tcPr>
            <w:tcW w:w="850" w:type="dxa"/>
            <w:vAlign w:val="center"/>
          </w:tcPr>
          <w:p w:rsidR="00BF3513" w:rsidRDefault="00C6071F">
            <w:pPr>
              <w:jc w:val="center"/>
            </w:pPr>
            <w:r>
              <w:rPr>
                <w:color w:val="000000"/>
                <w:sz w:val="24"/>
              </w:rPr>
              <w:t>6</w:t>
            </w:r>
          </w:p>
        </w:tc>
        <w:tc>
          <w:tcPr>
            <w:tcW w:w="1327" w:type="dxa"/>
            <w:vAlign w:val="center"/>
          </w:tcPr>
          <w:p w:rsidR="00BF3513" w:rsidRDefault="00C6071F">
            <w:pPr>
              <w:jc w:val="center"/>
            </w:pPr>
            <w:r>
              <w:rPr>
                <w:color w:val="000000"/>
                <w:sz w:val="24"/>
              </w:rPr>
              <w:t>000001</w:t>
            </w:r>
          </w:p>
        </w:tc>
        <w:tc>
          <w:tcPr>
            <w:tcW w:w="1769" w:type="dxa"/>
            <w:vAlign w:val="center"/>
          </w:tcPr>
          <w:p w:rsidR="00BF3513" w:rsidRDefault="00C6071F">
            <w:pPr>
              <w:jc w:val="center"/>
            </w:pPr>
            <w:r>
              <w:rPr>
                <w:color w:val="000000"/>
                <w:sz w:val="24"/>
              </w:rPr>
              <w:t>平安银行</w:t>
            </w:r>
          </w:p>
        </w:tc>
        <w:tc>
          <w:tcPr>
            <w:tcW w:w="1327" w:type="dxa"/>
            <w:vAlign w:val="center"/>
          </w:tcPr>
          <w:p w:rsidR="00BF3513" w:rsidRDefault="00C6071F">
            <w:pPr>
              <w:jc w:val="right"/>
            </w:pPr>
            <w:r>
              <w:rPr>
                <w:color w:val="000000"/>
                <w:sz w:val="24"/>
              </w:rPr>
              <w:t>246,294</w:t>
            </w:r>
          </w:p>
        </w:tc>
        <w:tc>
          <w:tcPr>
            <w:tcW w:w="1915" w:type="dxa"/>
            <w:vAlign w:val="center"/>
          </w:tcPr>
          <w:p w:rsidR="00BF3513" w:rsidRDefault="00C6071F">
            <w:pPr>
              <w:jc w:val="right"/>
            </w:pPr>
            <w:r>
              <w:rPr>
                <w:color w:val="000000"/>
                <w:sz w:val="24"/>
              </w:rPr>
              <w:t>3,157,489.08</w:t>
            </w:r>
          </w:p>
        </w:tc>
        <w:tc>
          <w:tcPr>
            <w:tcW w:w="1680" w:type="dxa"/>
            <w:vAlign w:val="center"/>
          </w:tcPr>
          <w:p w:rsidR="00BF3513" w:rsidRDefault="00C6071F">
            <w:pPr>
              <w:jc w:val="right"/>
            </w:pPr>
            <w:r>
              <w:rPr>
                <w:color w:val="000000"/>
                <w:sz w:val="24"/>
              </w:rPr>
              <w:t>4.11</w:t>
            </w:r>
          </w:p>
        </w:tc>
      </w:tr>
      <w:tr w:rsidR="00BF3513">
        <w:trPr>
          <w:jc w:val="center"/>
        </w:trPr>
        <w:tc>
          <w:tcPr>
            <w:tcW w:w="850" w:type="dxa"/>
            <w:vAlign w:val="center"/>
          </w:tcPr>
          <w:p w:rsidR="00BF3513" w:rsidRDefault="00C6071F">
            <w:pPr>
              <w:jc w:val="center"/>
            </w:pPr>
            <w:r>
              <w:rPr>
                <w:color w:val="000000"/>
                <w:sz w:val="24"/>
              </w:rPr>
              <w:t>7</w:t>
            </w:r>
          </w:p>
        </w:tc>
        <w:tc>
          <w:tcPr>
            <w:tcW w:w="1327" w:type="dxa"/>
            <w:vAlign w:val="center"/>
          </w:tcPr>
          <w:p w:rsidR="00BF3513" w:rsidRDefault="00C6071F">
            <w:pPr>
              <w:jc w:val="center"/>
            </w:pPr>
            <w:r>
              <w:rPr>
                <w:color w:val="000000"/>
                <w:sz w:val="24"/>
              </w:rPr>
              <w:t>000725</w:t>
            </w:r>
          </w:p>
        </w:tc>
        <w:tc>
          <w:tcPr>
            <w:tcW w:w="1769" w:type="dxa"/>
            <w:vAlign w:val="center"/>
          </w:tcPr>
          <w:p w:rsidR="00BF3513" w:rsidRDefault="00C6071F">
            <w:pPr>
              <w:jc w:val="center"/>
            </w:pPr>
            <w:r>
              <w:rPr>
                <w:color w:val="000000"/>
                <w:sz w:val="24"/>
              </w:rPr>
              <w:t>京东方</w:t>
            </w:r>
            <w:r>
              <w:rPr>
                <w:color w:val="000000"/>
                <w:sz w:val="24"/>
              </w:rPr>
              <w:t>A</w:t>
            </w:r>
          </w:p>
        </w:tc>
        <w:tc>
          <w:tcPr>
            <w:tcW w:w="1327" w:type="dxa"/>
            <w:vAlign w:val="center"/>
          </w:tcPr>
          <w:p w:rsidR="00BF3513" w:rsidRDefault="00C6071F">
            <w:pPr>
              <w:jc w:val="right"/>
            </w:pPr>
            <w:r>
              <w:rPr>
                <w:color w:val="000000"/>
                <w:sz w:val="24"/>
              </w:rPr>
              <w:t>762,085</w:t>
            </w:r>
          </w:p>
        </w:tc>
        <w:tc>
          <w:tcPr>
            <w:tcW w:w="1915" w:type="dxa"/>
            <w:vAlign w:val="center"/>
          </w:tcPr>
          <w:p w:rsidR="00BF3513" w:rsidRDefault="00C6071F">
            <w:pPr>
              <w:jc w:val="right"/>
            </w:pPr>
            <w:r>
              <w:rPr>
                <w:color w:val="000000"/>
                <w:sz w:val="24"/>
              </w:rPr>
              <w:t>2,972,131.50</w:t>
            </w:r>
          </w:p>
        </w:tc>
        <w:tc>
          <w:tcPr>
            <w:tcW w:w="1680" w:type="dxa"/>
            <w:vAlign w:val="center"/>
          </w:tcPr>
          <w:p w:rsidR="00BF3513" w:rsidRDefault="00C6071F">
            <w:pPr>
              <w:jc w:val="right"/>
            </w:pPr>
            <w:r>
              <w:rPr>
                <w:color w:val="000000"/>
                <w:sz w:val="24"/>
              </w:rPr>
              <w:t>3.87</w:t>
            </w:r>
          </w:p>
        </w:tc>
      </w:tr>
      <w:tr w:rsidR="00BF3513">
        <w:trPr>
          <w:jc w:val="center"/>
        </w:trPr>
        <w:tc>
          <w:tcPr>
            <w:tcW w:w="850" w:type="dxa"/>
            <w:vAlign w:val="center"/>
          </w:tcPr>
          <w:p w:rsidR="00BF3513" w:rsidRDefault="00C6071F">
            <w:pPr>
              <w:jc w:val="center"/>
            </w:pPr>
            <w:r>
              <w:rPr>
                <w:color w:val="000000"/>
                <w:sz w:val="24"/>
              </w:rPr>
              <w:t>8</w:t>
            </w:r>
          </w:p>
        </w:tc>
        <w:tc>
          <w:tcPr>
            <w:tcW w:w="1327" w:type="dxa"/>
            <w:vAlign w:val="center"/>
          </w:tcPr>
          <w:p w:rsidR="00BF3513" w:rsidRDefault="00C6071F">
            <w:pPr>
              <w:jc w:val="center"/>
            </w:pPr>
            <w:r>
              <w:rPr>
                <w:color w:val="000000"/>
                <w:sz w:val="24"/>
              </w:rPr>
              <w:t>002304</w:t>
            </w:r>
          </w:p>
        </w:tc>
        <w:tc>
          <w:tcPr>
            <w:tcW w:w="1769" w:type="dxa"/>
            <w:vAlign w:val="center"/>
          </w:tcPr>
          <w:p w:rsidR="00BF3513" w:rsidRDefault="00C6071F">
            <w:pPr>
              <w:jc w:val="center"/>
            </w:pPr>
            <w:r>
              <w:rPr>
                <w:color w:val="000000"/>
                <w:sz w:val="24"/>
              </w:rPr>
              <w:t>洋河股份</w:t>
            </w:r>
          </w:p>
        </w:tc>
        <w:tc>
          <w:tcPr>
            <w:tcW w:w="1327" w:type="dxa"/>
            <w:vAlign w:val="center"/>
          </w:tcPr>
          <w:p w:rsidR="00BF3513" w:rsidRDefault="00C6071F">
            <w:pPr>
              <w:jc w:val="right"/>
            </w:pPr>
            <w:r>
              <w:rPr>
                <w:color w:val="000000"/>
                <w:sz w:val="24"/>
              </w:rPr>
              <w:t>16,438</w:t>
            </w:r>
          </w:p>
        </w:tc>
        <w:tc>
          <w:tcPr>
            <w:tcW w:w="1915" w:type="dxa"/>
            <w:vAlign w:val="center"/>
          </w:tcPr>
          <w:p w:rsidR="00BF3513" w:rsidRDefault="00C6071F">
            <w:pPr>
              <w:jc w:val="right"/>
            </w:pPr>
            <w:r>
              <w:rPr>
                <w:color w:val="000000"/>
                <w:sz w:val="24"/>
              </w:rPr>
              <w:t>2,143,843.96</w:t>
            </w:r>
          </w:p>
        </w:tc>
        <w:tc>
          <w:tcPr>
            <w:tcW w:w="1680" w:type="dxa"/>
            <w:vAlign w:val="center"/>
          </w:tcPr>
          <w:p w:rsidR="00BF3513" w:rsidRDefault="00C6071F">
            <w:pPr>
              <w:jc w:val="right"/>
            </w:pPr>
            <w:r>
              <w:rPr>
                <w:color w:val="000000"/>
                <w:sz w:val="24"/>
              </w:rPr>
              <w:t>2.79</w:t>
            </w:r>
          </w:p>
        </w:tc>
      </w:tr>
      <w:tr w:rsidR="00BF3513">
        <w:trPr>
          <w:jc w:val="center"/>
        </w:trPr>
        <w:tc>
          <w:tcPr>
            <w:tcW w:w="850" w:type="dxa"/>
            <w:vAlign w:val="center"/>
          </w:tcPr>
          <w:p w:rsidR="00BF3513" w:rsidRDefault="00C6071F">
            <w:pPr>
              <w:jc w:val="center"/>
            </w:pPr>
            <w:r>
              <w:rPr>
                <w:color w:val="000000"/>
                <w:sz w:val="24"/>
              </w:rPr>
              <w:t>9</w:t>
            </w:r>
          </w:p>
        </w:tc>
        <w:tc>
          <w:tcPr>
            <w:tcW w:w="1327" w:type="dxa"/>
            <w:vAlign w:val="center"/>
          </w:tcPr>
          <w:p w:rsidR="00BF3513" w:rsidRDefault="00C6071F">
            <w:pPr>
              <w:jc w:val="center"/>
            </w:pPr>
            <w:r>
              <w:rPr>
                <w:color w:val="000000"/>
                <w:sz w:val="24"/>
              </w:rPr>
              <w:t>000338</w:t>
            </w:r>
          </w:p>
        </w:tc>
        <w:tc>
          <w:tcPr>
            <w:tcW w:w="1769" w:type="dxa"/>
            <w:vAlign w:val="center"/>
          </w:tcPr>
          <w:p w:rsidR="00BF3513" w:rsidRDefault="00C6071F">
            <w:pPr>
              <w:jc w:val="center"/>
            </w:pPr>
            <w:r>
              <w:rPr>
                <w:color w:val="000000"/>
                <w:sz w:val="24"/>
              </w:rPr>
              <w:t>潍柴动力</w:t>
            </w:r>
          </w:p>
        </w:tc>
        <w:tc>
          <w:tcPr>
            <w:tcW w:w="1327" w:type="dxa"/>
            <w:vAlign w:val="center"/>
          </w:tcPr>
          <w:p w:rsidR="00BF3513" w:rsidRDefault="00C6071F">
            <w:pPr>
              <w:jc w:val="right"/>
            </w:pPr>
            <w:r>
              <w:rPr>
                <w:color w:val="000000"/>
                <w:sz w:val="24"/>
              </w:rPr>
              <w:t>138,356</w:t>
            </w:r>
          </w:p>
        </w:tc>
        <w:tc>
          <w:tcPr>
            <w:tcW w:w="1915" w:type="dxa"/>
            <w:vAlign w:val="center"/>
          </w:tcPr>
          <w:p w:rsidR="00BF3513" w:rsidRDefault="00C6071F">
            <w:pPr>
              <w:jc w:val="right"/>
            </w:pPr>
            <w:r>
              <w:rPr>
                <w:color w:val="000000"/>
                <w:sz w:val="24"/>
              </w:rPr>
              <w:t>1,639,518.60</w:t>
            </w:r>
          </w:p>
        </w:tc>
        <w:tc>
          <w:tcPr>
            <w:tcW w:w="1680" w:type="dxa"/>
            <w:vAlign w:val="center"/>
          </w:tcPr>
          <w:p w:rsidR="00BF3513" w:rsidRDefault="00C6071F">
            <w:pPr>
              <w:jc w:val="right"/>
            </w:pPr>
            <w:r>
              <w:rPr>
                <w:color w:val="000000"/>
                <w:sz w:val="24"/>
              </w:rPr>
              <w:t>2.14</w:t>
            </w:r>
          </w:p>
        </w:tc>
      </w:tr>
      <w:tr w:rsidR="00BF3513">
        <w:trPr>
          <w:jc w:val="center"/>
        </w:trPr>
        <w:tc>
          <w:tcPr>
            <w:tcW w:w="850" w:type="dxa"/>
            <w:vAlign w:val="center"/>
          </w:tcPr>
          <w:p w:rsidR="00BF3513" w:rsidRDefault="00C6071F">
            <w:pPr>
              <w:jc w:val="center"/>
            </w:pPr>
            <w:r>
              <w:rPr>
                <w:color w:val="000000"/>
                <w:sz w:val="24"/>
              </w:rPr>
              <w:t>10</w:t>
            </w:r>
          </w:p>
        </w:tc>
        <w:tc>
          <w:tcPr>
            <w:tcW w:w="1327" w:type="dxa"/>
            <w:vAlign w:val="center"/>
          </w:tcPr>
          <w:p w:rsidR="00BF3513" w:rsidRDefault="00C6071F">
            <w:pPr>
              <w:jc w:val="center"/>
            </w:pPr>
            <w:r>
              <w:rPr>
                <w:color w:val="000000"/>
                <w:sz w:val="24"/>
              </w:rPr>
              <w:t>000568</w:t>
            </w:r>
          </w:p>
        </w:tc>
        <w:tc>
          <w:tcPr>
            <w:tcW w:w="1769" w:type="dxa"/>
            <w:vAlign w:val="center"/>
          </w:tcPr>
          <w:p w:rsidR="00BF3513" w:rsidRDefault="00C6071F">
            <w:pPr>
              <w:jc w:val="center"/>
            </w:pPr>
            <w:r>
              <w:rPr>
                <w:color w:val="000000"/>
                <w:sz w:val="24"/>
              </w:rPr>
              <w:t>泸州老窖</w:t>
            </w:r>
          </w:p>
        </w:tc>
        <w:tc>
          <w:tcPr>
            <w:tcW w:w="1327" w:type="dxa"/>
            <w:vAlign w:val="center"/>
          </w:tcPr>
          <w:p w:rsidR="00BF3513" w:rsidRDefault="00C6071F">
            <w:pPr>
              <w:jc w:val="right"/>
            </w:pPr>
            <w:r>
              <w:rPr>
                <w:color w:val="000000"/>
                <w:sz w:val="24"/>
              </w:rPr>
              <w:t>23,023</w:t>
            </w:r>
          </w:p>
        </w:tc>
        <w:tc>
          <w:tcPr>
            <w:tcW w:w="1915" w:type="dxa"/>
            <w:vAlign w:val="center"/>
          </w:tcPr>
          <w:p w:rsidR="00BF3513" w:rsidRDefault="00C6071F">
            <w:pPr>
              <w:jc w:val="right"/>
            </w:pPr>
            <w:r>
              <w:rPr>
                <w:color w:val="000000"/>
                <w:sz w:val="24"/>
              </w:rPr>
              <w:t>1,532,871.34</w:t>
            </w:r>
          </w:p>
        </w:tc>
        <w:tc>
          <w:tcPr>
            <w:tcW w:w="1680" w:type="dxa"/>
            <w:vAlign w:val="center"/>
          </w:tcPr>
          <w:p w:rsidR="00BF3513" w:rsidRDefault="00C6071F">
            <w:pPr>
              <w:jc w:val="right"/>
            </w:pPr>
            <w:r>
              <w:rPr>
                <w:color w:val="000000"/>
                <w:sz w:val="24"/>
              </w:rPr>
              <w:t>2.00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91.82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441,156.24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161.59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441,409.65</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EC32B2" w:rsidRDefault="00C6071F" w:rsidP="0099526C">
      <w:pPr>
        <w:autoSpaceDE w:val="0"/>
        <w:autoSpaceDN w:val="0"/>
        <w:adjustRightInd w:val="0"/>
        <w:spacing w:before="29" w:line="288" w:lineRule="auto"/>
        <w:jc w:val="left"/>
        <w:rPr>
          <w:color w:val="000000"/>
          <w:sz w:val="24"/>
        </w:rPr>
      </w:pPr>
      <w:r w:rsidRPr="00C6071F">
        <w:rPr>
          <w:rFonts w:hint="eastAsia"/>
          <w:color w:val="000000"/>
          <w:sz w:val="24"/>
        </w:rPr>
        <w:t>本基金本报告期末</w:t>
      </w:r>
      <w:r w:rsidR="00A637CC" w:rsidRPr="0036023B">
        <w:rPr>
          <w:sz w:val="24"/>
        </w:rPr>
        <w:t>指数投资</w:t>
      </w:r>
      <w:r w:rsidRPr="00C6071F">
        <w:rPr>
          <w:rFonts w:hint="eastAsia"/>
          <w:color w:val="000000"/>
          <w:sz w:val="24"/>
        </w:rPr>
        <w:t>前十名股票中不存在流通受限情况。</w:t>
      </w:r>
    </w:p>
    <w:p w:rsidR="003B609E" w:rsidRPr="003B609E" w:rsidRDefault="003B609E" w:rsidP="0099526C">
      <w:pPr>
        <w:autoSpaceDE w:val="0"/>
        <w:autoSpaceDN w:val="0"/>
        <w:adjustRightInd w:val="0"/>
        <w:spacing w:before="29" w:line="288" w:lineRule="auto"/>
        <w:jc w:val="left"/>
        <w:rPr>
          <w:rFonts w:hint="eastAsia"/>
          <w:color w:val="000000"/>
          <w:sz w:val="24"/>
        </w:rPr>
      </w:pPr>
      <w:bookmarkStart w:id="0" w:name="_GoBack"/>
      <w:bookmarkEnd w:id="0"/>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C6071F" w:rsidP="0099526C">
      <w:pPr>
        <w:autoSpaceDE w:val="0"/>
        <w:autoSpaceDN w:val="0"/>
        <w:adjustRightInd w:val="0"/>
        <w:spacing w:before="29" w:line="288" w:lineRule="auto"/>
        <w:jc w:val="left"/>
        <w:rPr>
          <w:color w:val="000000"/>
          <w:sz w:val="24"/>
        </w:rPr>
      </w:pPr>
      <w:r w:rsidRPr="00C6071F">
        <w:rPr>
          <w:rFonts w:hint="eastAsia"/>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C51B4E" w:rsidRDefault="00742ADC" w:rsidP="00722EDF">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742ADC" w:rsidRPr="00C51B4E" w:rsidRDefault="00742ADC" w:rsidP="00742ADC">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742ADC" w:rsidRPr="00C51B4E" w:rsidTr="003E4B22">
        <w:tc>
          <w:tcPr>
            <w:tcW w:w="9036" w:type="dxa"/>
          </w:tcPr>
          <w:p w:rsidR="00742ADC" w:rsidRPr="00C51B4E" w:rsidRDefault="00742ADC" w:rsidP="0055680B">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41,329,693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41,329,693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F3513">
        <w:tc>
          <w:tcPr>
            <w:tcW w:w="992" w:type="dxa"/>
            <w:vMerge w:val="restart"/>
          </w:tcPr>
          <w:p w:rsidR="00BF3513" w:rsidRDefault="00BF3513"/>
          <w:p w:rsidR="00BF3513" w:rsidRDefault="00C6071F">
            <w:r>
              <w:rPr>
                <w:rFonts w:ascii="宋体" w:hAnsi="宋体" w:hint="eastAsia"/>
                <w:kern w:val="0"/>
                <w:szCs w:val="21"/>
              </w:rPr>
              <w:t>交银施罗德深证300价值交易型开放式指数证券投资基金联接基金</w:t>
            </w:r>
          </w:p>
        </w:tc>
        <w:tc>
          <w:tcPr>
            <w:tcW w:w="991" w:type="dxa"/>
            <w:vAlign w:val="center"/>
          </w:tcPr>
          <w:p w:rsidR="00BF3513" w:rsidRDefault="00C6071F">
            <w:pPr>
              <w:jc w:val="center"/>
            </w:pPr>
            <w:r>
              <w:rPr>
                <w:rFonts w:ascii="宋体" w:hAnsi="宋体" w:hint="eastAsia"/>
                <w:bCs/>
                <w:color w:val="000000"/>
                <w:kern w:val="0"/>
                <w:szCs w:val="21"/>
              </w:rPr>
              <w:t>1</w:t>
            </w:r>
          </w:p>
        </w:tc>
        <w:tc>
          <w:tcPr>
            <w:tcW w:w="1843" w:type="dxa"/>
            <w:vAlign w:val="center"/>
          </w:tcPr>
          <w:p w:rsidR="00BF3513" w:rsidRDefault="00C6071F">
            <w:pPr>
              <w:jc w:val="center"/>
            </w:pPr>
            <w:r>
              <w:rPr>
                <w:rFonts w:ascii="宋体" w:hAnsi="宋体" w:hint="eastAsia"/>
                <w:bCs/>
                <w:color w:val="000000"/>
                <w:kern w:val="0"/>
                <w:szCs w:val="21"/>
              </w:rPr>
              <w:t>2019/1/1-2019/3/31</w:t>
            </w:r>
          </w:p>
        </w:tc>
        <w:tc>
          <w:tcPr>
            <w:tcW w:w="851" w:type="dxa"/>
            <w:vAlign w:val="center"/>
          </w:tcPr>
          <w:p w:rsidR="00BF3513" w:rsidRDefault="00C6071F">
            <w:pPr>
              <w:jc w:val="center"/>
            </w:pPr>
            <w:r>
              <w:rPr>
                <w:rFonts w:ascii="宋体" w:hAnsi="宋体" w:hint="eastAsia"/>
                <w:bCs/>
                <w:color w:val="000000"/>
                <w:kern w:val="0"/>
                <w:szCs w:val="21"/>
              </w:rPr>
              <w:t>38,802,500.00</w:t>
            </w:r>
          </w:p>
        </w:tc>
        <w:tc>
          <w:tcPr>
            <w:tcW w:w="850" w:type="dxa"/>
            <w:vAlign w:val="center"/>
          </w:tcPr>
          <w:p w:rsidR="00BF3513" w:rsidRDefault="00C6071F">
            <w:pPr>
              <w:jc w:val="center"/>
            </w:pPr>
            <w:r>
              <w:rPr>
                <w:rFonts w:ascii="宋体" w:hAnsi="宋体" w:hint="eastAsia"/>
                <w:bCs/>
                <w:color w:val="000000"/>
                <w:kern w:val="0"/>
                <w:szCs w:val="21"/>
              </w:rPr>
              <w:t>2,000,000.00</w:t>
            </w:r>
          </w:p>
        </w:tc>
        <w:tc>
          <w:tcPr>
            <w:tcW w:w="1134" w:type="dxa"/>
            <w:vAlign w:val="center"/>
          </w:tcPr>
          <w:p w:rsidR="00BF3513" w:rsidRDefault="00C6071F">
            <w:pPr>
              <w:jc w:val="center"/>
            </w:pPr>
            <w:r>
              <w:rPr>
                <w:rFonts w:ascii="宋体" w:hAnsi="宋体" w:hint="eastAsia"/>
                <w:bCs/>
                <w:color w:val="000000"/>
                <w:kern w:val="0"/>
                <w:szCs w:val="21"/>
              </w:rPr>
              <w:t>2,000,000.00</w:t>
            </w:r>
          </w:p>
        </w:tc>
        <w:tc>
          <w:tcPr>
            <w:tcW w:w="1419" w:type="dxa"/>
            <w:vAlign w:val="center"/>
          </w:tcPr>
          <w:p w:rsidR="00BF3513" w:rsidRDefault="00C6071F">
            <w:pPr>
              <w:jc w:val="center"/>
            </w:pPr>
            <w:r>
              <w:rPr>
                <w:rFonts w:ascii="宋体" w:hAnsi="宋体" w:hint="eastAsia"/>
                <w:bCs/>
                <w:color w:val="000000"/>
                <w:kern w:val="0"/>
                <w:szCs w:val="21"/>
              </w:rPr>
              <w:t>38,802,500.00</w:t>
            </w:r>
          </w:p>
        </w:tc>
        <w:tc>
          <w:tcPr>
            <w:tcW w:w="1130" w:type="dxa"/>
            <w:vAlign w:val="center"/>
          </w:tcPr>
          <w:p w:rsidR="00BF3513" w:rsidRDefault="00C6071F">
            <w:pPr>
              <w:jc w:val="center"/>
            </w:pPr>
            <w:r>
              <w:rPr>
                <w:rFonts w:ascii="宋体" w:hAnsi="宋体" w:hint="eastAsia"/>
                <w:bCs/>
                <w:color w:val="000000"/>
                <w:kern w:val="0"/>
                <w:szCs w:val="21"/>
              </w:rPr>
              <w:t>93.89%</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BF3513" w:rsidRDefault="00C6071F">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BF3513" w:rsidRDefault="00C6071F">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BF3513" w:rsidRDefault="00C6071F">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BF3513" w:rsidRDefault="00C6071F">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BF3513" w:rsidRDefault="00C6071F">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BF3513" w:rsidRDefault="00C6071F">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BF3513" w:rsidRDefault="00C6071F">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BF3513" w:rsidRDefault="00C6071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A8" w:rsidRDefault="00DC01A8">
      <w:r>
        <w:separator/>
      </w:r>
    </w:p>
  </w:endnote>
  <w:endnote w:type="continuationSeparator" w:id="0">
    <w:p w:rsidR="00DC01A8" w:rsidRDefault="00DC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3B609E">
      <w:rPr>
        <w:noProof/>
        <w:kern w:val="0"/>
        <w:szCs w:val="21"/>
      </w:rPr>
      <w:t>10</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3B609E">
      <w:rPr>
        <w:noProof/>
        <w:kern w:val="0"/>
        <w:szCs w:val="21"/>
      </w:rPr>
      <w:t>13</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A8" w:rsidRDefault="00DC01A8">
      <w:r>
        <w:separator/>
      </w:r>
    </w:p>
  </w:footnote>
  <w:footnote w:type="continuationSeparator" w:id="0">
    <w:p w:rsidR="00DC01A8" w:rsidRDefault="00DC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深证</w:t>
    </w:r>
    <w:r w:rsidRPr="003E676C">
      <w:rPr>
        <w:sz w:val="24"/>
        <w:szCs w:val="24"/>
      </w:rPr>
      <w:t>300</w:t>
    </w:r>
    <w:r w:rsidRPr="003E676C">
      <w:rPr>
        <w:sz w:val="24"/>
        <w:szCs w:val="24"/>
      </w:rPr>
      <w:t>价值交易型开放式指数证券投资基金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B609E"/>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37CC"/>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3513"/>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071F"/>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5:docId w15:val="{FD5EA1D4-9ADB-43DE-B7A8-0D1F1EC0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13</Pages>
  <Words>1075</Words>
  <Characters>6130</Characters>
  <Application>Microsoft Office Word</Application>
  <DocSecurity>0</DocSecurity>
  <Lines>51</Lines>
  <Paragraphs>14</Paragraphs>
  <ScaleCrop>false</ScaleCrop>
  <Company>TRT. Ltd. Co.</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397</cp:revision>
  <cp:lastPrinted>2007-07-19T00:46:00Z</cp:lastPrinted>
  <dcterms:created xsi:type="dcterms:W3CDTF">2012-11-21T04:46:00Z</dcterms:created>
  <dcterms:modified xsi:type="dcterms:W3CDTF">2019-04-17T08:16:00Z</dcterms:modified>
</cp:coreProperties>
</file>