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交银施罗德多策略回报灵活配置混合型证券投资基金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2019年第1季度报告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2019年3月31日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中国农业银行股份有限公司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二〇一九年四月二十日</w:t>
      </w:r>
    </w:p>
    <w:p w:rsidP="000A2988" w:rsidR="009238DB" w:rsidRDefault="009238DB" w:rsidRPr="007F52FA">
      <w:pPr>
        <w:pStyle w:val="1"/>
        <w:spacing w:afterLines="100"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基金托管人中国农业银行股份有限公司根据本基金合同规定，于2019年4月19日复核了本报告中的财务指标、净值表现和投资组合报告等内容，保证复核内容不存在虚假记载、误导性陈述或者重大遗漏。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本报告期自2019年1月1日起至3月31日止。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Lines="100"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交银多策略回报灵活配置混合</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519755</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2015年6月2日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78,644,313.72</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本基金通过灵活运用多种投资策略，充分挖掘和利用市场中潜在的投资机会，在控制下行风险的前提下，力争为投资者提供长期稳健的投资回报。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50%×沪深300指数收益率+50%×中债综合全价指数收益率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交银多策略回报灵活配置混合A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交银多策略回报灵活配置混合C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519755</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519761</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78,426,096.49</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218,217.23</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Lines="100"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(2019年1月1日-2019年3月31日)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交银多策略回报灵活配置混合A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交银多策略回报灵活配置混合C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2,286,387.93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4,478.43</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7,130,413.06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14,000.17</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0.0862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0.0939</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97,597,506.25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272,790.33</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1.244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1.250</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注：1、上述基金A类业绩指标不包括持有人认购或交易基金的各项费用，计入费用后的实际收益水平要低于所列数字；</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交银多策略回报灵活配置混合A</w:t>
      </w:r>
      <w:r w:rsidRPr="007F52FA">
        <w:rPr>
          <w:b/>
          <w:sz w:val="24"/>
        </w:rPr>
        <w:t>：</w:t>
      </w:r>
    </w:p>
    <w:tbl>
      <w:tblPr>
        <w:tblStyle w:val="af2"/>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7.43%</w:t>
            </w:r>
          </w:p>
        </w:tc>
        <w:tc>
          <w:tcPr>
            <w:vAlign w:val="center"/>
          </w:tcPr>
          <w:p>
            <w:pPr>
              <w:jc w:val="center"/>
            </w:pPr>
            <w:r>
              <w:rPr>
                <w:color w:val="000000"/>
                <w:sz w:val="24"/>
              </w:rPr>
              <w:t>0.40%</w:t>
            </w:r>
          </w:p>
        </w:tc>
        <w:tc>
          <w:tcPr>
            <w:vAlign w:val="center"/>
          </w:tcPr>
          <w:p>
            <w:pPr>
              <w:jc w:val="center"/>
            </w:pPr>
            <w:r>
              <w:rPr>
                <w:color w:val="000000"/>
                <w:sz w:val="24"/>
              </w:rPr>
              <w:t>13.90%</w:t>
            </w:r>
          </w:p>
        </w:tc>
        <w:tc>
          <w:tcPr>
            <w:vAlign w:val="center"/>
          </w:tcPr>
          <w:p>
            <w:pPr>
              <w:jc w:val="center"/>
            </w:pPr>
            <w:r>
              <w:rPr>
                <w:color w:val="000000"/>
                <w:sz w:val="24"/>
              </w:rPr>
              <w:t>0.77%</w:t>
            </w:r>
          </w:p>
        </w:tc>
        <w:tc>
          <w:tcPr>
            <w:vAlign w:val="center"/>
          </w:tcPr>
          <w:p>
            <w:pPr>
              <w:jc w:val="center"/>
            </w:pPr>
            <w:r>
              <w:rPr>
                <w:color w:val="000000"/>
                <w:sz w:val="24"/>
              </w:rPr>
              <w:t>-6.47%</w:t>
            </w:r>
          </w:p>
        </w:tc>
        <w:tc>
          <w:tcPr>
            <w:vAlign w:val="center"/>
          </w:tcPr>
          <w:p>
            <w:pPr>
              <w:jc w:val="center"/>
            </w:pPr>
            <w:r>
              <w:rPr>
                <w:color w:val="000000"/>
                <w:sz w:val="24"/>
              </w:rPr>
              <w:t>-0.37%</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交银多策略回报灵活配置混合C</w:t>
      </w:r>
      <w:r w:rsidRPr="007F52FA">
        <w:rPr>
          <w:b/>
          <w:color w:val="000000"/>
          <w:kern w:val="0"/>
          <w:sz w:val="24"/>
        </w:rPr>
        <w:t>：</w:t>
      </w:r>
    </w:p>
    <w:tbl>
      <w:tblPr>
        <w:tblStyle w:val="af2"/>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7.76%</w:t>
            </w:r>
          </w:p>
        </w:tc>
        <w:tc>
          <w:tcPr>
            <w:vAlign w:val="center"/>
          </w:tcPr>
          <w:p>
            <w:pPr>
              <w:jc w:val="center"/>
            </w:pPr>
            <w:r>
              <w:rPr>
                <w:color w:val="000000"/>
                <w:sz w:val="24"/>
              </w:rPr>
              <w:t>0.40%</w:t>
            </w:r>
          </w:p>
        </w:tc>
        <w:tc>
          <w:tcPr>
            <w:vAlign w:val="center"/>
          </w:tcPr>
          <w:p>
            <w:pPr>
              <w:jc w:val="center"/>
            </w:pPr>
            <w:r>
              <w:rPr>
                <w:color w:val="000000"/>
                <w:sz w:val="24"/>
              </w:rPr>
              <w:t>13.90%</w:t>
            </w:r>
          </w:p>
        </w:tc>
        <w:tc>
          <w:tcPr>
            <w:vAlign w:val="center"/>
          </w:tcPr>
          <w:p>
            <w:pPr>
              <w:jc w:val="center"/>
            </w:pPr>
            <w:r>
              <w:rPr>
                <w:color w:val="000000"/>
                <w:sz w:val="24"/>
              </w:rPr>
              <w:t>0.77%</w:t>
            </w:r>
          </w:p>
        </w:tc>
        <w:tc>
          <w:tcPr>
            <w:vAlign w:val="center"/>
          </w:tcPr>
          <w:p>
            <w:pPr>
              <w:jc w:val="center"/>
            </w:pPr>
            <w:r>
              <w:rPr>
                <w:color w:val="000000"/>
                <w:sz w:val="24"/>
              </w:rPr>
              <w:t>-6.14%</w:t>
            </w:r>
          </w:p>
        </w:tc>
        <w:tc>
          <w:tcPr>
            <w:vAlign w:val="center"/>
          </w:tcPr>
          <w:p>
            <w:pPr>
              <w:jc w:val="center"/>
            </w:pPr>
            <w:r>
              <w:rPr>
                <w:color w:val="000000"/>
                <w:sz w:val="24"/>
              </w:rPr>
              <w:t>-0.37%</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交银施罗德多策略回报灵活配置混合型证券投资基金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2015年6月2日</w:t>
      </w:r>
      <w:r w:rsidR="009A045B" w:rsidRPr="007F52FA">
        <w:rPr>
          <w:rFonts w:ascii="Times New Roman" w:hAnsi="Times New Roman"/>
          <w:sz w:val="24"/>
          <w:szCs w:val="24"/>
        </w:rPr>
        <w:t>至</w:t>
      </w:r>
      <w:r w:rsidRPr="007F52FA">
        <w:rPr>
          <w:rFonts w:ascii="Times New Roman" w:hAnsi="Times New Roman"/>
          <w:sz w:val="24"/>
          <w:szCs w:val="24"/>
        </w:rPr>
        <w:t>2019年3月31日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交银多策略回报灵活配置混合A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注：图示日期为2015年6月2日至2019年3月31日。本基金建仓期为自基金合同生效日起的6个月。截至建仓期结束，本基金各项资产配置比例符合基金合同及招募说明书有关投资比例的约定。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交银多策略回报灵活配置混合C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注：本基金自2015年11月19日起，开始销售C类份额，投资者提交的申购申请于2015年11月20日被确认并将有效份额登记在册。图示日期为2015年11月20日至2019年3月31日。</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Lines="100"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李娜</w:t>
            </w:r>
          </w:p>
        </w:tc>
        <w:tc>
          <w:tcPr>
            <w:vAlign w:val="center"/>
          </w:tcPr>
          <w:p>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交银周期回报灵活配置混合、交银新回报灵活配置混合、交银多策略回报灵活配置混合、交银优选回报灵活配置混合、交银优择回报灵活配置混合、交银瑞鑫定期开放灵活配置混合、交银裕祥纯债债券的基金经理</w:t>
            </w:r>
          </w:p>
        </w:tc>
        <w:tc>
          <w:tcPr>
            <w:vAlign w:val="center"/>
          </w:tcPr>
          <w:p>
            <w:pPr>
              <w:jc w:val="center"/>
            </w:pPr>
            <w:r>
              <w:rPr>
                <w:color w:val="000000"/>
                <w:sz w:val="24"/>
              </w:rPr>
              <w:t>2015-08-04</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both"/>
            </w:pPr>
            <w:r>
              <w:rPr>
                <w:color w:val="000000"/>
                <w:sz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2016年12月21日至2018年11月16日担任交银施罗德瑞景定期开放灵活配置混合型证券投资基金的基金经理。2016年2月17日至2018年12月7日担任交银施罗德卓越回报灵活配置混合型证券投资基金的基金经理。2016年9月13日至2019年1月21日担任交银施罗德领先回报灵活配置混合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国内经济增速显现下行态势，通胀维持低位，市场在一季度经济压力较大和宽信用政策逐步见效的预期角力下持续演进。2019年初以来，美联储货币政策紧缩进程明显放缓，中美贸易争端缓和、流动性状况改善、外资持续流入以及科创板等政策推进等因素，带动了权益市场一轮估值修复，风险偏好明显回升，叠加社融数据企稳，猪价上涨推动通胀预期上调等因素，长久期利率债的进一步下行受到有力压制，但同时全球经济放缓迹象开始显现，国内货币政策宽松取向未改，年内基本面下滑压力仍在，使得长久期利率债收益率没有打开上行空间，整体维持震荡走势。报告期内，上证综指和创业板指分别上涨23.93%和35.43%，十年期国债收益率小幅下行15BP至3.07%，十年期国开债收益率小幅下行6BP至3.58%。</w:t>
      </w:r>
    </w:p>
    <w:p>
      <w:pPr>
        <w:spacing w:before="29" w:line="288" w:lineRule="auto"/>
        <w:ind w:firstLine="480" w:firstLineChars="200"/>
        <w:rPr>
          <w:color w:val="000000"/>
          <w:sz w:val="24"/>
        </w:rPr>
      </w:pPr>
      <w:r>
        <w:rPr>
          <w:color w:val="000000"/>
          <w:sz w:val="24"/>
        </w:rPr>
        <w:t>策略层面，本基金重点关注中短久期信用债的配置价值，保持适度久期，同时保持组合流动性。积极关注新股发行动态，进行权益一级市场投资，同时也关注二级市场的投资机会，争取从各方面为持有人赚取回报。</w:t>
      </w:r>
    </w:p>
    <w:p w:rsidP="007C14DF" w:rsidR="00952A72" w:rsidRDefault="00323F25" w:rsidRPr="007F52FA">
      <w:pPr>
        <w:spacing w:before="29" w:line="288" w:lineRule="auto"/>
        <w:ind w:firstLine="480" w:firstLineChars="200"/>
        <w:rPr>
          <w:color w:val="000000"/>
          <w:sz w:val="24"/>
        </w:rPr>
      </w:pPr>
      <w:r w:rsidRPr="007F52FA">
        <w:rPr>
          <w:color w:val="000000"/>
          <w:sz w:val="24"/>
        </w:rPr>
        <w:t>展望2019年二季度，基本面边际变化的弹性可能不大，大概率有所企稳，短期通胀压力有待观察，资金面波动加大，预计有阶段性压力，货币政策具备数量型工具运用的必要性。年内基本面仍有下滑压力，二季度将成为重要观测时间窗口。海外方面继续关注欧美经济增长以及货币政策取向变化。此外，我们还将密切关注低评级信用债违约风险的演化及相对应信用利差的变化。股票方面，力争继续保持稳健、审慎投资，积极关注一级市场动态。债券方面，在保持组合流动性的前提下积极关注交易机会，把握适度久期，同时特别关注信用风险。</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 主要财务指标” 及“3.2.1本报告期基金份额净值增长率及其与同期业绩比较基准收益率的比较”部分披露。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Lines="100"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rsidRPr="0028293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tbl>
      <w:tblPr>
        <w:tblStyle w:val="af2"/>
        <w:tblW w:type="dxa" w:w="8897"/>
        <w:tblInd w:type="dxa" w:w="108"/>
        <w:tblLayout w:type="fixed"/>
        <w:tblLook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r w:rsidRPr="0028293E">
              <w:rPr>
                <w:rFonts w:eastAsiaTheme="minorEastAsia"/>
                <w:color w:themeColor="text1" w:val="000000"/>
                <w:sz w:val="24"/>
              </w:rPr>
              <w:t>(</w:t>
            </w:r>
            <w:r w:rsidRPr="0028293E">
              <w:rPr>
                <w:rFonts w:eastAsiaTheme="minorEastAsia"/>
                <w:color w:themeColor="text1" w:val="000000"/>
                <w:sz w:val="24"/>
              </w:rPr>
              <w:t>元</w:t>
            </w: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25,213,434.73</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24.36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25,213,434.73</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24.36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75,695,250.00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73.13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75,695,250.00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73.13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959,254.43</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0.93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1,637,961.40</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1.58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103,505,900.56</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lastRenderedPageBreak/>
        <w:t xml:space="preserve">5.2 </w:t>
      </w:r>
      <w:r w:rsidRPr="007F52FA">
        <w:rPr>
          <w:rFonts w:eastAsiaTheme="minorEastAsia"/>
          <w:b/>
          <w:color w:val="000000"/>
          <w:kern w:val="0"/>
          <w:sz w:val="24"/>
        </w:rPr>
        <w:t>报告期末按行业分类的股票投资组合</w:t>
      </w:r>
    </w:p>
    <w:p w:rsidP="001A5D39" w:rsidR="001A5D39" w:rsidRDefault="001A5D39" w:rsidRPr="001A5D39">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公允价值（元）</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16,535,888.79</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16.90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920,800.00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0.94</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621,500.00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lastRenderedPageBreak/>
              <w:t/>
            </w:r>
            <w:r w:rsidRPr="007F52FA">
              <w:rPr>
                <w:sz w:val="24"/>
              </w:rPr>
              <w:lastRenderedPageBreak/>
              <w:t>0.64</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1,422,902.94</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1.45</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3,980,343.00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4.07</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712,000.00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0.73</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1,020,000.00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1.04</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25,213,434.73</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25.76</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002271</w:t>
            </w:r>
          </w:p>
        </w:tc>
        <w:tc>
          <w:tcPr>
            <w:vAlign w:val="center"/>
          </w:tcPr>
          <w:p>
            <w:pPr>
              <w:jc w:val="center"/>
            </w:pPr>
            <w:r>
              <w:rPr>
                <w:color w:val="000000"/>
                <w:sz w:val="24"/>
              </w:rPr>
              <w:t>东方雨虹</w:t>
            </w:r>
          </w:p>
        </w:tc>
        <w:tc>
          <w:tcPr>
            <w:vAlign w:val="center"/>
          </w:tcPr>
          <w:p>
            <w:pPr>
              <w:jc w:val="right"/>
            </w:pPr>
            <w:r>
              <w:rPr>
                <w:color w:val="000000"/>
                <w:sz w:val="24"/>
              </w:rPr>
              <w:t>200,000</w:t>
            </w:r>
          </w:p>
        </w:tc>
        <w:tc>
          <w:tcPr>
            <w:vAlign w:val="center"/>
          </w:tcPr>
          <w:p>
            <w:pPr>
              <w:jc w:val="right"/>
            </w:pPr>
            <w:r>
              <w:rPr>
                <w:color w:val="000000"/>
                <w:sz w:val="24"/>
              </w:rPr>
              <w:t>4,214,000.00</w:t>
            </w:r>
          </w:p>
        </w:tc>
        <w:tc>
          <w:tcPr>
            <w:vAlign w:val="center"/>
          </w:tcPr>
          <w:p>
            <w:pPr>
              <w:jc w:val="right"/>
            </w:pPr>
            <w:r>
              <w:rPr>
                <w:color w:val="000000"/>
                <w:sz w:val="24"/>
              </w:rPr>
              <w:t>4.31</w:t>
            </w:r>
          </w:p>
        </w:tc>
      </w:tr>
      <w:tr>
        <w:tc>
          <w:tcPr>
            <w:vAlign w:val="center"/>
          </w:tcPr>
          <w:p>
            <w:pPr>
              <w:jc w:val="center"/>
            </w:pPr>
            <w:r>
              <w:rPr>
                <w:color w:val="000000"/>
                <w:sz w:val="24"/>
              </w:rPr>
              <w:t>2</w:t>
            </w:r>
          </w:p>
        </w:tc>
        <w:tc>
          <w:tcPr>
            <w:vAlign w:val="center"/>
          </w:tcPr>
          <w:p>
            <w:pPr>
              <w:jc w:val="center"/>
            </w:pPr>
            <w:r>
              <w:rPr>
                <w:color w:val="000000"/>
                <w:sz w:val="24"/>
              </w:rPr>
              <w:t>000001</w:t>
            </w:r>
          </w:p>
        </w:tc>
        <w:tc>
          <w:tcPr>
            <w:vAlign w:val="center"/>
          </w:tcPr>
          <w:p>
            <w:pPr>
              <w:jc w:val="center"/>
            </w:pPr>
            <w:r>
              <w:rPr>
                <w:color w:val="000000"/>
                <w:sz w:val="24"/>
              </w:rPr>
              <w:t>平安银行</w:t>
            </w:r>
          </w:p>
        </w:tc>
        <w:tc>
          <w:tcPr>
            <w:vAlign w:val="center"/>
          </w:tcPr>
          <w:p>
            <w:pPr>
              <w:jc w:val="right"/>
            </w:pPr>
            <w:r>
              <w:rPr>
                <w:color w:val="000000"/>
                <w:sz w:val="24"/>
              </w:rPr>
              <w:t>300,000</w:t>
            </w:r>
          </w:p>
        </w:tc>
        <w:tc>
          <w:tcPr>
            <w:vAlign w:val="center"/>
          </w:tcPr>
          <w:p>
            <w:pPr>
              <w:jc w:val="right"/>
            </w:pPr>
            <w:r>
              <w:rPr>
                <w:color w:val="000000"/>
                <w:sz w:val="24"/>
              </w:rPr>
              <w:t>3,846,000.00</w:t>
            </w:r>
          </w:p>
        </w:tc>
        <w:tc>
          <w:tcPr>
            <w:vAlign w:val="center"/>
          </w:tcPr>
          <w:p>
            <w:pPr>
              <w:jc w:val="right"/>
            </w:pPr>
            <w:r>
              <w:rPr>
                <w:color w:val="000000"/>
                <w:sz w:val="24"/>
              </w:rPr>
              <w:t>3.93</w:t>
            </w:r>
          </w:p>
        </w:tc>
      </w:tr>
      <w:tr>
        <w:tc>
          <w:tcPr>
            <w:vAlign w:val="center"/>
          </w:tcPr>
          <w:p>
            <w:pPr>
              <w:jc w:val="center"/>
            </w:pPr>
            <w:r>
              <w:rPr>
                <w:color w:val="000000"/>
                <w:sz w:val="24"/>
              </w:rPr>
              <w:t>3</w:t>
            </w:r>
          </w:p>
        </w:tc>
        <w:tc>
          <w:tcPr>
            <w:vAlign w:val="center"/>
          </w:tcPr>
          <w:p>
            <w:pPr>
              <w:jc w:val="center"/>
            </w:pPr>
            <w:r>
              <w:rPr>
                <w:color w:val="000000"/>
                <w:sz w:val="24"/>
              </w:rPr>
              <w:t>000538</w:t>
            </w:r>
          </w:p>
        </w:tc>
        <w:tc>
          <w:tcPr>
            <w:vAlign w:val="center"/>
          </w:tcPr>
          <w:p>
            <w:pPr>
              <w:jc w:val="center"/>
            </w:pPr>
            <w:r>
              <w:rPr>
                <w:color w:val="000000"/>
                <w:sz w:val="24"/>
              </w:rPr>
              <w:t>云南白药</w:t>
            </w:r>
          </w:p>
        </w:tc>
        <w:tc>
          <w:tcPr>
            <w:vAlign w:val="center"/>
          </w:tcPr>
          <w:p>
            <w:pPr>
              <w:jc w:val="right"/>
            </w:pPr>
            <w:r>
              <w:rPr>
                <w:color w:val="000000"/>
                <w:sz w:val="24"/>
              </w:rPr>
              <w:t>39,912</w:t>
            </w:r>
          </w:p>
        </w:tc>
        <w:tc>
          <w:tcPr>
            <w:vAlign w:val="center"/>
          </w:tcPr>
          <w:p>
            <w:pPr>
              <w:jc w:val="right"/>
            </w:pPr>
            <w:r>
              <w:rPr>
                <w:color w:val="000000"/>
                <w:sz w:val="24"/>
              </w:rPr>
              <w:t>3,412,476.00</w:t>
            </w:r>
          </w:p>
        </w:tc>
        <w:tc>
          <w:tcPr>
            <w:vAlign w:val="center"/>
          </w:tcPr>
          <w:p>
            <w:pPr>
              <w:jc w:val="right"/>
            </w:pPr>
            <w:r>
              <w:rPr>
                <w:color w:val="000000"/>
                <w:sz w:val="24"/>
              </w:rPr>
              <w:t>3.49</w:t>
            </w:r>
          </w:p>
        </w:tc>
      </w:tr>
      <w:tr>
        <w:tc>
          <w:tcPr>
            <w:vAlign w:val="center"/>
          </w:tcPr>
          <w:p>
            <w:pPr>
              <w:jc w:val="center"/>
            </w:pPr>
            <w:r>
              <w:rPr>
                <w:color w:val="000000"/>
                <w:sz w:val="24"/>
              </w:rPr>
              <w:t>4</w:t>
            </w:r>
          </w:p>
        </w:tc>
        <w:tc>
          <w:tcPr>
            <w:vAlign w:val="center"/>
          </w:tcPr>
          <w:p>
            <w:pPr>
              <w:jc w:val="center"/>
            </w:pPr>
            <w:r>
              <w:rPr>
                <w:color w:val="000000"/>
                <w:sz w:val="24"/>
              </w:rPr>
              <w:t>600887</w:t>
            </w:r>
          </w:p>
        </w:tc>
        <w:tc>
          <w:tcPr>
            <w:vAlign w:val="center"/>
          </w:tcPr>
          <w:p>
            <w:pPr>
              <w:jc w:val="center"/>
            </w:pPr>
            <w:r>
              <w:rPr>
                <w:color w:val="000000"/>
                <w:sz w:val="24"/>
              </w:rPr>
              <w:t>伊利股份</w:t>
            </w:r>
          </w:p>
        </w:tc>
        <w:tc>
          <w:tcPr>
            <w:vAlign w:val="center"/>
          </w:tcPr>
          <w:p>
            <w:pPr>
              <w:jc w:val="right"/>
            </w:pPr>
            <w:r>
              <w:rPr>
                <w:color w:val="000000"/>
                <w:sz w:val="24"/>
              </w:rPr>
              <w:t>100,000</w:t>
            </w:r>
          </w:p>
        </w:tc>
        <w:tc>
          <w:tcPr>
            <w:vAlign w:val="center"/>
          </w:tcPr>
          <w:p>
            <w:pPr>
              <w:jc w:val="right"/>
            </w:pPr>
            <w:r>
              <w:rPr>
                <w:color w:val="000000"/>
                <w:sz w:val="24"/>
              </w:rPr>
              <w:t>2,911,000.00</w:t>
            </w:r>
          </w:p>
        </w:tc>
        <w:tc>
          <w:tcPr>
            <w:vAlign w:val="center"/>
          </w:tcPr>
          <w:p>
            <w:pPr>
              <w:jc w:val="right"/>
            </w:pPr>
            <w:r>
              <w:rPr>
                <w:color w:val="000000"/>
                <w:sz w:val="24"/>
              </w:rPr>
              <w:t>2.97</w:t>
            </w:r>
          </w:p>
        </w:tc>
      </w:tr>
      <w:tr>
        <w:tc>
          <w:tcPr>
            <w:vAlign w:val="center"/>
          </w:tcPr>
          <w:p>
            <w:pPr>
              <w:jc w:val="center"/>
            </w:pPr>
            <w:r>
              <w:rPr>
                <w:color w:val="000000"/>
                <w:sz w:val="24"/>
              </w:rPr>
              <w:t>5</w:t>
            </w:r>
          </w:p>
        </w:tc>
        <w:tc>
          <w:tcPr>
            <w:vAlign w:val="center"/>
          </w:tcPr>
          <w:p>
            <w:pPr>
              <w:jc w:val="center"/>
            </w:pPr>
            <w:r>
              <w:rPr>
                <w:color w:val="000000"/>
                <w:sz w:val="24"/>
              </w:rPr>
              <w:t>600519</w:t>
            </w:r>
          </w:p>
        </w:tc>
        <w:tc>
          <w:tcPr>
            <w:vAlign w:val="center"/>
          </w:tcPr>
          <w:p>
            <w:pPr>
              <w:jc w:val="center"/>
            </w:pPr>
            <w:r>
              <w:rPr>
                <w:color w:val="000000"/>
                <w:sz w:val="24"/>
              </w:rPr>
              <w:t>贵州茅台</w:t>
            </w:r>
          </w:p>
        </w:tc>
        <w:tc>
          <w:tcPr>
            <w:vAlign w:val="center"/>
          </w:tcPr>
          <w:p>
            <w:pPr>
              <w:jc w:val="right"/>
            </w:pPr>
            <w:r>
              <w:rPr>
                <w:color w:val="000000"/>
                <w:sz w:val="24"/>
              </w:rPr>
              <w:t>3,000</w:t>
            </w:r>
          </w:p>
        </w:tc>
        <w:tc>
          <w:tcPr>
            <w:vAlign w:val="center"/>
          </w:tcPr>
          <w:p>
            <w:pPr>
              <w:jc w:val="right"/>
            </w:pPr>
            <w:r>
              <w:rPr>
                <w:color w:val="000000"/>
                <w:sz w:val="24"/>
              </w:rPr>
              <w:t>2,561,970.00</w:t>
            </w:r>
          </w:p>
        </w:tc>
        <w:tc>
          <w:tcPr>
            <w:vAlign w:val="center"/>
          </w:tcPr>
          <w:p>
            <w:pPr>
              <w:jc w:val="right"/>
            </w:pPr>
            <w:r>
              <w:rPr>
                <w:color w:val="000000"/>
                <w:sz w:val="24"/>
              </w:rPr>
              <w:t>2.62</w:t>
            </w:r>
          </w:p>
        </w:tc>
      </w:tr>
      <w:tr>
        <w:tc>
          <w:tcPr>
            <w:vAlign w:val="center"/>
          </w:tcPr>
          <w:p>
            <w:pPr>
              <w:jc w:val="center"/>
            </w:pPr>
            <w:r>
              <w:rPr>
                <w:color w:val="000000"/>
                <w:sz w:val="24"/>
              </w:rPr>
              <w:t>6</w:t>
            </w:r>
          </w:p>
        </w:tc>
        <w:tc>
          <w:tcPr>
            <w:vAlign w:val="center"/>
          </w:tcPr>
          <w:p>
            <w:pPr>
              <w:jc w:val="center"/>
            </w:pPr>
            <w:r>
              <w:rPr>
                <w:color w:val="000000"/>
                <w:sz w:val="24"/>
              </w:rPr>
              <w:t>002555</w:t>
            </w:r>
          </w:p>
        </w:tc>
        <w:tc>
          <w:tcPr>
            <w:vAlign w:val="center"/>
          </w:tcPr>
          <w:p>
            <w:pPr>
              <w:jc w:val="center"/>
            </w:pPr>
            <w:r>
              <w:rPr>
                <w:color w:val="000000"/>
                <w:sz w:val="24"/>
              </w:rPr>
              <w:t>三七互娱</w:t>
            </w:r>
          </w:p>
        </w:tc>
        <w:tc>
          <w:tcPr>
            <w:vAlign w:val="center"/>
          </w:tcPr>
          <w:p>
            <w:pPr>
              <w:jc w:val="right"/>
            </w:pPr>
            <w:r>
              <w:rPr>
                <w:color w:val="000000"/>
                <w:sz w:val="24"/>
              </w:rPr>
              <w:t>100,000</w:t>
            </w:r>
          </w:p>
        </w:tc>
        <w:tc>
          <w:tcPr>
            <w:vAlign w:val="center"/>
          </w:tcPr>
          <w:p>
            <w:pPr>
              <w:jc w:val="right"/>
            </w:pPr>
            <w:r>
              <w:rPr>
                <w:color w:val="000000"/>
                <w:sz w:val="24"/>
              </w:rPr>
              <w:t>1,390,000.00</w:t>
            </w:r>
          </w:p>
        </w:tc>
        <w:tc>
          <w:tcPr>
            <w:vAlign w:val="center"/>
          </w:tcPr>
          <w:p>
            <w:pPr>
              <w:jc w:val="right"/>
            </w:pPr>
            <w:r>
              <w:rPr>
                <w:color w:val="000000"/>
                <w:sz w:val="24"/>
              </w:rPr>
              <w:t>1.42</w:t>
            </w:r>
          </w:p>
        </w:tc>
      </w:tr>
      <w:tr>
        <w:tc>
          <w:tcPr>
            <w:vAlign w:val="center"/>
          </w:tcPr>
          <w:p>
            <w:pPr>
              <w:jc w:val="center"/>
            </w:pPr>
            <w:r>
              <w:rPr>
                <w:color w:val="000000"/>
                <w:sz w:val="24"/>
              </w:rPr>
              <w:t>7</w:t>
            </w:r>
          </w:p>
        </w:tc>
        <w:tc>
          <w:tcPr>
            <w:vAlign w:val="center"/>
          </w:tcPr>
          <w:p>
            <w:pPr>
              <w:jc w:val="center"/>
            </w:pPr>
            <w:r>
              <w:rPr>
                <w:color w:val="000000"/>
                <w:sz w:val="24"/>
              </w:rPr>
              <w:t>300015</w:t>
            </w:r>
          </w:p>
        </w:tc>
        <w:tc>
          <w:tcPr>
            <w:vAlign w:val="center"/>
          </w:tcPr>
          <w:p>
            <w:pPr>
              <w:jc w:val="center"/>
            </w:pPr>
            <w:r>
              <w:rPr>
                <w:color w:val="000000"/>
                <w:sz w:val="24"/>
              </w:rPr>
              <w:t>爱尔眼科</w:t>
            </w:r>
          </w:p>
        </w:tc>
        <w:tc>
          <w:tcPr>
            <w:vAlign w:val="center"/>
          </w:tcPr>
          <w:p>
            <w:pPr>
              <w:jc w:val="right"/>
            </w:pPr>
            <w:r>
              <w:rPr>
                <w:color w:val="000000"/>
                <w:sz w:val="24"/>
              </w:rPr>
              <w:t>30,000</w:t>
            </w:r>
          </w:p>
        </w:tc>
        <w:tc>
          <w:tcPr>
            <w:vAlign w:val="center"/>
          </w:tcPr>
          <w:p>
            <w:pPr>
              <w:jc w:val="right"/>
            </w:pPr>
            <w:r>
              <w:rPr>
                <w:color w:val="000000"/>
                <w:sz w:val="24"/>
              </w:rPr>
              <w:t>1,020,000.00</w:t>
            </w:r>
          </w:p>
        </w:tc>
        <w:tc>
          <w:tcPr>
            <w:vAlign w:val="center"/>
          </w:tcPr>
          <w:p>
            <w:pPr>
              <w:jc w:val="right"/>
            </w:pPr>
            <w:r>
              <w:rPr>
                <w:color w:val="000000"/>
                <w:sz w:val="24"/>
              </w:rPr>
              <w:t>1.04</w:t>
            </w:r>
          </w:p>
        </w:tc>
      </w:tr>
      <w:tr>
        <w:tc>
          <w:tcPr>
            <w:vAlign w:val="center"/>
          </w:tcPr>
          <w:p>
            <w:pPr>
              <w:jc w:val="center"/>
            </w:pPr>
            <w:r>
              <w:rPr>
                <w:color w:val="000000"/>
                <w:sz w:val="24"/>
              </w:rPr>
              <w:t>8</w:t>
            </w:r>
          </w:p>
        </w:tc>
        <w:tc>
          <w:tcPr>
            <w:vAlign w:val="center"/>
          </w:tcPr>
          <w:p>
            <w:pPr>
              <w:jc w:val="center"/>
            </w:pPr>
            <w:r>
              <w:rPr>
                <w:color w:val="000000"/>
                <w:sz w:val="24"/>
              </w:rPr>
              <w:t>600038</w:t>
            </w:r>
          </w:p>
        </w:tc>
        <w:tc>
          <w:tcPr>
            <w:vAlign w:val="center"/>
          </w:tcPr>
          <w:p>
            <w:pPr>
              <w:jc w:val="center"/>
            </w:pPr>
            <w:r>
              <w:rPr>
                <w:color w:val="000000"/>
                <w:sz w:val="24"/>
              </w:rPr>
              <w:t>中直股份</w:t>
            </w:r>
          </w:p>
        </w:tc>
        <w:tc>
          <w:tcPr>
            <w:vAlign w:val="center"/>
          </w:tcPr>
          <w:p>
            <w:pPr>
              <w:jc w:val="right"/>
            </w:pPr>
            <w:r>
              <w:rPr>
                <w:color w:val="000000"/>
                <w:sz w:val="24"/>
              </w:rPr>
              <w:t>20,000</w:t>
            </w:r>
          </w:p>
        </w:tc>
        <w:tc>
          <w:tcPr>
            <w:vAlign w:val="center"/>
          </w:tcPr>
          <w:p>
            <w:pPr>
              <w:jc w:val="right"/>
            </w:pPr>
            <w:r>
              <w:rPr>
                <w:color w:val="000000"/>
                <w:sz w:val="24"/>
              </w:rPr>
              <w:t>935,000.00</w:t>
            </w:r>
          </w:p>
        </w:tc>
        <w:tc>
          <w:tcPr>
            <w:vAlign w:val="center"/>
          </w:tcPr>
          <w:p>
            <w:pPr>
              <w:jc w:val="right"/>
            </w:pPr>
            <w:r>
              <w:rPr>
                <w:color w:val="000000"/>
                <w:sz w:val="24"/>
              </w:rPr>
              <w:t>0.96</w:t>
            </w:r>
          </w:p>
        </w:tc>
      </w:tr>
      <w:tr>
        <w:tc>
          <w:tcPr>
            <w:vAlign w:val="center"/>
          </w:tcPr>
          <w:p>
            <w:pPr>
              <w:jc w:val="center"/>
            </w:pPr>
            <w:r>
              <w:rPr>
                <w:color w:val="000000"/>
                <w:sz w:val="24"/>
              </w:rPr>
              <w:t>9</w:t>
            </w:r>
          </w:p>
        </w:tc>
        <w:tc>
          <w:tcPr>
            <w:vAlign w:val="center"/>
          </w:tcPr>
          <w:p>
            <w:pPr>
              <w:jc w:val="center"/>
            </w:pPr>
            <w:r>
              <w:rPr>
                <w:color w:val="000000"/>
                <w:sz w:val="24"/>
              </w:rPr>
              <w:t>601186</w:t>
            </w:r>
          </w:p>
        </w:tc>
        <w:tc>
          <w:tcPr>
            <w:vAlign w:val="center"/>
          </w:tcPr>
          <w:p>
            <w:pPr>
              <w:jc w:val="center"/>
            </w:pPr>
            <w:r>
              <w:rPr>
                <w:color w:val="000000"/>
                <w:sz w:val="24"/>
              </w:rPr>
              <w:t>中国铁建</w:t>
            </w:r>
          </w:p>
        </w:tc>
        <w:tc>
          <w:tcPr>
            <w:vAlign w:val="center"/>
          </w:tcPr>
          <w:p>
            <w:pPr>
              <w:jc w:val="right"/>
            </w:pPr>
            <w:r>
              <w:rPr>
                <w:color w:val="000000"/>
                <w:sz w:val="24"/>
              </w:rPr>
              <w:t>80,000</w:t>
            </w:r>
          </w:p>
        </w:tc>
        <w:tc>
          <w:tcPr>
            <w:vAlign w:val="center"/>
          </w:tcPr>
          <w:p>
            <w:pPr>
              <w:jc w:val="right"/>
            </w:pPr>
            <w:r>
              <w:rPr>
                <w:color w:val="000000"/>
                <w:sz w:val="24"/>
              </w:rPr>
              <w:t>920,800.00</w:t>
            </w:r>
          </w:p>
        </w:tc>
        <w:tc>
          <w:tcPr>
            <w:vAlign w:val="center"/>
          </w:tcPr>
          <w:p>
            <w:pPr>
              <w:jc w:val="right"/>
            </w:pPr>
            <w:r>
              <w:rPr>
                <w:color w:val="000000"/>
                <w:sz w:val="24"/>
              </w:rPr>
              <w:t>0.94</w:t>
            </w:r>
          </w:p>
        </w:tc>
      </w:tr>
      <w:tr>
        <w:tc>
          <w:tcPr>
            <w:vAlign w:val="center"/>
          </w:tcPr>
          <w:p>
            <w:pPr>
              <w:jc w:val="center"/>
            </w:pPr>
            <w:r>
              <w:rPr>
                <w:color w:val="000000"/>
                <w:sz w:val="24"/>
              </w:rPr>
              <w:t>10</w:t>
            </w:r>
          </w:p>
        </w:tc>
        <w:tc>
          <w:tcPr>
            <w:vAlign w:val="center"/>
          </w:tcPr>
          <w:p>
            <w:pPr>
              <w:jc w:val="center"/>
            </w:pPr>
            <w:r>
              <w:rPr>
                <w:color w:val="000000"/>
                <w:sz w:val="24"/>
              </w:rPr>
              <w:t>600690</w:t>
            </w:r>
          </w:p>
        </w:tc>
        <w:tc>
          <w:tcPr>
            <w:vAlign w:val="center"/>
          </w:tcPr>
          <w:p>
            <w:pPr>
              <w:jc w:val="center"/>
            </w:pPr>
            <w:r>
              <w:rPr>
                <w:color w:val="000000"/>
                <w:sz w:val="24"/>
              </w:rPr>
              <w:t>青岛海尔</w:t>
            </w:r>
          </w:p>
        </w:tc>
        <w:tc>
          <w:tcPr>
            <w:vAlign w:val="center"/>
          </w:tcPr>
          <w:p>
            <w:pPr>
              <w:jc w:val="right"/>
            </w:pPr>
            <w:r>
              <w:rPr>
                <w:color w:val="000000"/>
                <w:sz w:val="24"/>
              </w:rPr>
              <w:t>50,000</w:t>
            </w:r>
          </w:p>
        </w:tc>
        <w:tc>
          <w:tcPr>
            <w:vAlign w:val="center"/>
          </w:tcPr>
          <w:p>
            <w:pPr>
              <w:jc w:val="right"/>
            </w:pPr>
            <w:r>
              <w:rPr>
                <w:color w:val="000000"/>
                <w:sz w:val="24"/>
              </w:rPr>
              <w:t>855,500.00</w:t>
            </w:r>
          </w:p>
        </w:tc>
        <w:tc>
          <w:tcPr>
            <w:vAlign w:val="center"/>
          </w:tcPr>
          <w:p>
            <w:pPr>
              <w:jc w:val="right"/>
            </w:pPr>
            <w:r>
              <w:rPr>
                <w:color w:val="000000"/>
                <w:sz w:val="24"/>
              </w:rPr>
              <w:t>0.87</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45,465,000.00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46.45</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45,465,000.00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46.45</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28,062,650.00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28.67</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2,167,600.00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2.21</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75,695,250.00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77.34</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type="dxa" w:w="8868"/>
        <w:jc w:val="center"/>
        <w:tblLayout w:type="fixed"/>
        <w:tblCellMar>
          <w:top w:type="dxa" w:w="57"/>
          <w:bottom w:type="dxa" w:w="57"/>
        </w:tblCellMar>
        <w:tblLook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018007</w:t>
            </w:r>
          </w:p>
        </w:tc>
        <w:tc>
          <w:tcPr>
            <w:vAlign w:val="center"/>
          </w:tcPr>
          <w:p>
            <w:pPr>
              <w:jc w:val="center"/>
            </w:pPr>
            <w:r>
              <w:rPr>
                <w:color w:val="000000"/>
                <w:sz w:val="24"/>
              </w:rPr>
              <w:t>国开1801</w:t>
            </w:r>
          </w:p>
        </w:tc>
        <w:tc>
          <w:tcPr>
            <w:vAlign w:val="center"/>
          </w:tcPr>
          <w:p>
            <w:pPr>
              <w:jc w:val="right"/>
            </w:pPr>
            <w:r>
              <w:rPr>
                <w:color w:val="000000"/>
                <w:sz w:val="24"/>
              </w:rPr>
              <w:t>400,000</w:t>
            </w:r>
          </w:p>
        </w:tc>
        <w:tc>
          <w:tcPr>
            <w:vAlign w:val="center"/>
          </w:tcPr>
          <w:p>
            <w:pPr>
              <w:jc w:val="right"/>
            </w:pPr>
            <w:r>
              <w:rPr>
                <w:color w:val="000000"/>
                <w:sz w:val="24"/>
              </w:rPr>
              <w:t>40,440,000.00</w:t>
            </w:r>
          </w:p>
        </w:tc>
        <w:tc>
          <w:tcPr>
            <w:vAlign w:val="center"/>
          </w:tcPr>
          <w:p>
            <w:pPr>
              <w:jc w:val="right"/>
            </w:pPr>
            <w:r>
              <w:rPr>
                <w:color w:val="000000"/>
                <w:sz w:val="24"/>
              </w:rPr>
              <w:t>41.32</w:t>
            </w:r>
          </w:p>
        </w:tc>
      </w:tr>
      <w:tr>
        <w:tc>
          <w:tcPr>
            <w:vAlign w:val="center"/>
          </w:tcPr>
          <w:p>
            <w:pPr>
              <w:jc w:val="center"/>
            </w:pPr>
            <w:r>
              <w:rPr>
                <w:color w:val="000000"/>
                <w:sz w:val="24"/>
              </w:rPr>
              <w:t>2</w:t>
            </w:r>
          </w:p>
        </w:tc>
        <w:tc>
          <w:tcPr>
            <w:vAlign w:val="center"/>
          </w:tcPr>
          <w:p>
            <w:pPr>
              <w:jc w:val="center"/>
            </w:pPr>
            <w:r>
              <w:rPr>
                <w:color w:val="000000"/>
                <w:sz w:val="24"/>
              </w:rPr>
              <w:t>143260</w:t>
            </w:r>
          </w:p>
        </w:tc>
        <w:tc>
          <w:tcPr>
            <w:vAlign w:val="center"/>
          </w:tcPr>
          <w:p>
            <w:pPr>
              <w:jc w:val="center"/>
            </w:pPr>
            <w:r>
              <w:rPr>
                <w:color w:val="000000"/>
                <w:sz w:val="24"/>
              </w:rPr>
              <w:t>17国投01</w:t>
            </w:r>
          </w:p>
        </w:tc>
        <w:tc>
          <w:tcPr>
            <w:vAlign w:val="center"/>
          </w:tcPr>
          <w:p>
            <w:pPr>
              <w:jc w:val="right"/>
            </w:pPr>
            <w:r>
              <w:rPr>
                <w:color w:val="000000"/>
                <w:sz w:val="24"/>
              </w:rPr>
              <w:t>95,000</w:t>
            </w:r>
          </w:p>
        </w:tc>
        <w:tc>
          <w:tcPr>
            <w:vAlign w:val="center"/>
          </w:tcPr>
          <w:p>
            <w:pPr>
              <w:jc w:val="right"/>
            </w:pPr>
            <w:r>
              <w:rPr>
                <w:color w:val="000000"/>
                <w:sz w:val="24"/>
              </w:rPr>
              <w:t>9,662,450.00</w:t>
            </w:r>
          </w:p>
        </w:tc>
        <w:tc>
          <w:tcPr>
            <w:vAlign w:val="center"/>
          </w:tcPr>
          <w:p>
            <w:pPr>
              <w:jc w:val="right"/>
            </w:pPr>
            <w:r>
              <w:rPr>
                <w:color w:val="000000"/>
                <w:sz w:val="24"/>
              </w:rPr>
              <w:t>9.87</w:t>
            </w:r>
          </w:p>
        </w:tc>
      </w:tr>
      <w:tr>
        <w:tc>
          <w:tcPr>
            <w:vAlign w:val="center"/>
          </w:tcPr>
          <w:p>
            <w:pPr>
              <w:jc w:val="center"/>
            </w:pPr>
            <w:r>
              <w:rPr>
                <w:color w:val="000000"/>
                <w:sz w:val="24"/>
              </w:rPr>
              <w:t>3</w:t>
            </w:r>
          </w:p>
        </w:tc>
        <w:tc>
          <w:tcPr>
            <w:vAlign w:val="center"/>
          </w:tcPr>
          <w:p>
            <w:pPr>
              <w:jc w:val="center"/>
            </w:pPr>
            <w:r>
              <w:rPr>
                <w:color w:val="000000"/>
                <w:sz w:val="24"/>
              </w:rPr>
              <w:t>143647</w:t>
            </w:r>
          </w:p>
        </w:tc>
        <w:tc>
          <w:tcPr>
            <w:vAlign w:val="center"/>
          </w:tcPr>
          <w:p>
            <w:pPr>
              <w:jc w:val="center"/>
            </w:pPr>
            <w:r>
              <w:rPr>
                <w:color w:val="000000"/>
                <w:sz w:val="24"/>
              </w:rPr>
              <w:t>18电投03</w:t>
            </w:r>
          </w:p>
        </w:tc>
        <w:tc>
          <w:tcPr>
            <w:vAlign w:val="center"/>
          </w:tcPr>
          <w:p>
            <w:pPr>
              <w:jc w:val="right"/>
            </w:pPr>
            <w:r>
              <w:rPr>
                <w:color w:val="000000"/>
                <w:sz w:val="24"/>
              </w:rPr>
              <w:t>90,000</w:t>
            </w:r>
          </w:p>
        </w:tc>
        <w:tc>
          <w:tcPr>
            <w:vAlign w:val="center"/>
          </w:tcPr>
          <w:p>
            <w:pPr>
              <w:jc w:val="right"/>
            </w:pPr>
            <w:r>
              <w:rPr>
                <w:color w:val="000000"/>
                <w:sz w:val="24"/>
              </w:rPr>
              <w:t>9,237,600.00</w:t>
            </w:r>
          </w:p>
        </w:tc>
        <w:tc>
          <w:tcPr>
            <w:vAlign w:val="center"/>
          </w:tcPr>
          <w:p>
            <w:pPr>
              <w:jc w:val="right"/>
            </w:pPr>
            <w:r>
              <w:rPr>
                <w:color w:val="000000"/>
                <w:sz w:val="24"/>
              </w:rPr>
              <w:t>9.44</w:t>
            </w:r>
          </w:p>
        </w:tc>
      </w:tr>
      <w:tr>
        <w:tc>
          <w:tcPr>
            <w:vAlign w:val="center"/>
          </w:tcPr>
          <w:p>
            <w:pPr>
              <w:jc w:val="center"/>
            </w:pPr>
            <w:r>
              <w:rPr>
                <w:color w:val="000000"/>
                <w:sz w:val="24"/>
              </w:rPr>
              <w:t>4</w:t>
            </w:r>
          </w:p>
        </w:tc>
        <w:tc>
          <w:tcPr>
            <w:vAlign w:val="center"/>
          </w:tcPr>
          <w:p>
            <w:pPr>
              <w:jc w:val="center"/>
            </w:pPr>
            <w:r>
              <w:rPr>
                <w:color w:val="000000"/>
                <w:sz w:val="24"/>
              </w:rPr>
              <w:t>143010</w:t>
            </w:r>
          </w:p>
        </w:tc>
        <w:tc>
          <w:tcPr>
            <w:vAlign w:val="center"/>
          </w:tcPr>
          <w:p>
            <w:pPr>
              <w:jc w:val="center"/>
            </w:pPr>
            <w:r>
              <w:rPr>
                <w:color w:val="000000"/>
                <w:sz w:val="24"/>
              </w:rPr>
              <w:t>17鲁资01</w:t>
            </w:r>
          </w:p>
        </w:tc>
        <w:tc>
          <w:tcPr>
            <w:vAlign w:val="center"/>
          </w:tcPr>
          <w:p>
            <w:pPr>
              <w:jc w:val="right"/>
            </w:pPr>
            <w:r>
              <w:rPr>
                <w:color w:val="000000"/>
                <w:sz w:val="24"/>
              </w:rPr>
              <w:t>70,000</w:t>
            </w:r>
          </w:p>
        </w:tc>
        <w:tc>
          <w:tcPr>
            <w:vAlign w:val="center"/>
          </w:tcPr>
          <w:p>
            <w:pPr>
              <w:jc w:val="right"/>
            </w:pPr>
            <w:r>
              <w:rPr>
                <w:color w:val="000000"/>
                <w:sz w:val="24"/>
              </w:rPr>
              <w:t>7,163,800.00</w:t>
            </w:r>
          </w:p>
        </w:tc>
        <w:tc>
          <w:tcPr>
            <w:vAlign w:val="center"/>
          </w:tcPr>
          <w:p>
            <w:pPr>
              <w:jc w:val="right"/>
            </w:pPr>
            <w:r>
              <w:rPr>
                <w:color w:val="000000"/>
                <w:sz w:val="24"/>
              </w:rPr>
              <w:t>7.32</w:t>
            </w:r>
          </w:p>
        </w:tc>
      </w:tr>
      <w:tr>
        <w:tc>
          <w:tcPr>
            <w:vAlign w:val="center"/>
          </w:tcPr>
          <w:p>
            <w:pPr>
              <w:jc w:val="center"/>
            </w:pPr>
            <w:r>
              <w:rPr>
                <w:color w:val="000000"/>
                <w:sz w:val="24"/>
              </w:rPr>
              <w:t>5</w:t>
            </w:r>
          </w:p>
        </w:tc>
        <w:tc>
          <w:tcPr>
            <w:vAlign w:val="center"/>
          </w:tcPr>
          <w:p>
            <w:pPr>
              <w:jc w:val="center"/>
            </w:pPr>
            <w:r>
              <w:rPr>
                <w:color w:val="000000"/>
                <w:sz w:val="24"/>
              </w:rPr>
              <w:t>108603</w:t>
            </w:r>
          </w:p>
        </w:tc>
        <w:tc>
          <w:tcPr>
            <w:vAlign w:val="center"/>
          </w:tcPr>
          <w:p>
            <w:pPr>
              <w:jc w:val="center"/>
            </w:pPr>
            <w:r>
              <w:rPr>
                <w:color w:val="000000"/>
                <w:sz w:val="24"/>
              </w:rPr>
              <w:t>国开1804</w:t>
            </w:r>
          </w:p>
        </w:tc>
        <w:tc>
          <w:tcPr>
            <w:vAlign w:val="center"/>
          </w:tcPr>
          <w:p>
            <w:pPr>
              <w:jc w:val="right"/>
            </w:pPr>
            <w:r>
              <w:rPr>
                <w:color w:val="000000"/>
                <w:sz w:val="24"/>
              </w:rPr>
              <w:t>50,000</w:t>
            </w:r>
          </w:p>
        </w:tc>
        <w:tc>
          <w:tcPr>
            <w:vAlign w:val="center"/>
          </w:tcPr>
          <w:p>
            <w:pPr>
              <w:jc w:val="right"/>
            </w:pPr>
            <w:r>
              <w:rPr>
                <w:color w:val="000000"/>
                <w:sz w:val="24"/>
              </w:rPr>
              <w:t>5,025,000.00</w:t>
            </w:r>
          </w:p>
        </w:tc>
        <w:tc>
          <w:tcPr>
            <w:vAlign w:val="center"/>
          </w:tcPr>
          <w:p>
            <w:pPr>
              <w:jc w:val="right"/>
            </w:pPr>
            <w:r>
              <w:rPr>
                <w:color w:val="000000"/>
                <w:sz w:val="24"/>
              </w:rPr>
              <w:t>5.13</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lastRenderedPageBreak/>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rsidRPr="007F52FA">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type="dxa" w:w="8868"/>
        <w:jc w:val="center"/>
        <w:tblLook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13,271.75</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1,587,363.71</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37,325.94</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1,637,961.40</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7F52FA">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P="007C14DF" w:rsidR="001D5CD0" w:rsidRDefault="001D5CD0" w:rsidRPr="007F52FA">
      <w:pPr>
        <w:spacing w:before="29" w:line="288" w:lineRule="auto"/>
        <w:rPr>
          <w:rFonts w:eastAsiaTheme="minorEastAsia"/>
          <w:sz w:val="24"/>
        </w:rPr>
      </w:pPr>
    </w:p>
    <w:p w:rsidP="007C14DF" w:rsidR="001D5CD0" w:rsidRDefault="001D5CD0" w:rsidRPr="007F52FA">
      <w:pPr>
        <w:spacing w:before="29" w:line="288" w:lineRule="auto"/>
        <w:rPr>
          <w:rFonts w:eastAsiaTheme="minorEastAsia"/>
          <w:color w:val="000000"/>
          <w:kern w:val="0"/>
          <w:sz w:val="24"/>
        </w:rPr>
      </w:pPr>
      <w:r w:rsidRPr="007F52FA">
        <w:rPr>
          <w:rFonts w:eastAsiaTheme="minorEastAsia"/>
          <w:color w:val="000000"/>
          <w:kern w:val="0"/>
          <w:sz w:val="24"/>
        </w:rPr>
        <w:lastRenderedPageBreak/>
        <w:t/>
      </w: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C51B4E" w:rsidRDefault="00C51B4E" w:rsidRPr="00C51B4E">
      <w:pPr>
        <w:pStyle w:val="1"/>
        <w:spacing w:afterLines="100" w:beforeLines="100" w:line="360" w:lineRule="auto"/>
        <w:jc w:val="center"/>
        <w:rPr>
          <w:rFonts w:eastAsiaTheme="minorEastAsia"/>
          <w:color w:themeColor="text1" w:val="000000"/>
          <w:kern w:val="0"/>
          <w:sz w:val="21"/>
          <w:szCs w:val="21"/>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Pr="00C51B4E">
        <w:rPr>
          <w:rFonts w:eastAsiaTheme="minorEastAsia" w:hint="eastAsia"/>
          <w:color w:themeColor="text1" w:val="000000"/>
          <w:kern w:val="0"/>
          <w:sz w:val="21"/>
          <w:szCs w:val="21"/>
        </w:rPr>
        <w:t>基金中基金</w:t>
      </w:r>
    </w:p>
    <w:p w:rsidP="00C51B4E" w:rsidR="00C51B4E" w:rsidRDefault="00C51B4E" w:rsidRPr="00C51B4E">
      <w:pPr>
        <w:adjustRightInd w:val="0"/>
        <w:snapToGrid w:val="0"/>
        <w:spacing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1</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报告期末按公允价值占基金资产净值比例大小排序的前十名基金投资明细</w:t>
      </w:r>
    </w:p>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本基金本报告期末未持有基金。</w:t>
      </w:r>
    </w:p>
    <w:p w:rsidP="000A2988" w:rsidR="00C51B4E" w:rsidRDefault="00C51B4E" w:rsidRPr="00C51B4E">
      <w:pPr>
        <w:adjustRightInd w:val="0"/>
        <w:snapToGrid w:val="0"/>
        <w:spacing w:beforeLines="50"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2</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当期交易及持有基金产生的费用</w:t>
      </w:r>
    </w:p>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本基金本报告期内未交易或持有基金。</w:t>
      </w:r>
    </w:p>
    <w:p w:rsidP="000A2988" w:rsidR="00C51B4E" w:rsidRDefault="00C51B4E" w:rsidRPr="00C51B4E">
      <w:pPr>
        <w:adjustRightInd w:val="0"/>
        <w:snapToGrid w:val="0"/>
        <w:spacing w:beforeLines="50"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3</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本报告期持有的基金发生的重大影响事件</w:t>
      </w:r>
    </w:p>
    <w:tbl>
      <w:tblPr>
        <w:tblStyle w:val="af2"/>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036"/>
      </w:tblGrid>
      <w:tr w:rsidR="00C51B4E" w:rsidRPr="00C51B4E" w:rsidTr="00F103C8">
        <w:tc>
          <w:tcPr>
            <w:tcW w:type="dxa" w:w="9036"/>
          </w:tcPr>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
            </w:r>
            <w:r w:rsidRPr="00C51B4E">
              <w:rPr>
                <w:rFonts w:eastAsiaTheme="minorEastAsia" w:hint="eastAsia"/>
                <w:color w:themeColor="text1" w:val="000000"/>
                <w:szCs w:val="21"/>
              </w:rPr>
              <w:t/>
            </w:r>
            <w:r w:rsidRPr="00C51B4E">
              <w:rPr>
                <w:rFonts w:eastAsiaTheme="minorEastAsia"/>
                <w:color w:themeColor="text1" w:val="000000"/>
                <w:szCs w:val="21"/>
              </w:rPr>
              <w:t/>
            </w:r>
            <w:r w:rsidRPr="00C51B4E">
              <w:rPr>
                <w:rFonts w:eastAsiaTheme="minorEastAsia" w:hint="eastAsia"/>
                <w:color w:themeColor="text1" w:val="000000"/>
                <w:szCs w:val="21"/>
              </w:rPr>
              <w:t>无。</w:t>
            </w:r>
          </w:p>
        </w:tc>
      </w:tr>
    </w:tbl>
    <w:p w:rsidP="000A2988" w:rsidR="009238DB" w:rsidRDefault="00C51B4E" w:rsidRPr="007F52FA">
      <w:pPr>
        <w:pStyle w:val="1"/>
        <w:spacing w:afterLines="100"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§7</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交银多策略回报灵活配置混合A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交银多策略回报灵活配置混合C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86,843,711.81</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117,488.21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851,596.92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229,077.05</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9,269,212.24</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128,348.03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78,426,096.49</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218,217.23</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Lines="100"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Lines="100"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§9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9.1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2019/1/1-2019/3/31</w:t>
            </w:r>
          </w:p>
        </w:tc>
        <w:tc>
          <w:tcPr>
            <w:vAlign w:val="center"/>
          </w:tcPr>
          <w:p>
            <w:pPr>
              <w:jc w:val="center"/>
            </w:pPr>
            <w:r>
              <w:rPr>
                <w:rFonts w:ascii="宋体" w:hAnsi="宋体" w:hint="eastAsia"/>
                <w:color w:val="000000"/>
                <w:kern w:val="0"/>
                <w:szCs w:val="21"/>
              </w:rPr>
              <w:t>17,482,431.15</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17,482,431.15</w:t>
            </w:r>
          </w:p>
        </w:tc>
        <w:tc>
          <w:tcPr>
            <w:vAlign w:val="center"/>
          </w:tcPr>
          <w:p>
            <w:pPr>
              <w:jc w:val="center"/>
            </w:pPr>
            <w:r>
              <w:rPr>
                <w:rFonts w:ascii="宋体" w:hAnsi="宋体" w:hint="eastAsia"/>
                <w:color w:val="000000"/>
                <w:kern w:val="0"/>
                <w:szCs w:val="21"/>
              </w:rPr>
              <w:t>22.23%</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Lines="100"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bookmarkStart w:id="2" w:name="_GoBack"/>
      <w:bookmarkEnd w:id="2"/>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1、中国证监会准予交银施罗德多策略回报灵活配置混合型证券投资基金募集注册的文件；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2、《交银施罗德多策略回报灵活配置混合型证券投资基金基金合同》；</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3、《交银施罗德多策略回报灵活配置混合型证券投资基金招募说明书》；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4、《交银施罗德多策略回报灵活配置混合型证券投资基金托管协议》；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5、基金管理人业务资格批件、营业执照；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6、基金托管人业务资格批件、营业执照；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7、关于申请募集注册交银施罗德多策略回报灵活配置混合型证券投资基金的法律意见书；</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8、报告期内交银施罗德多策略回报灵活配置混合型证券投资基金在指定报刊上各项公告的原稿。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0A2988">
      <w:rPr>
        <w:noProof/>
        <w:kern w:val="0"/>
        <w:szCs w:val="21"/>
      </w:rPr>
      <w:t>21</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0A2988">
      <w:rPr>
        <w:noProof/>
        <w:kern w:val="0"/>
        <w:szCs w:val="21"/>
      </w:rPr>
      <w:t>28</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1B5A1E" w:rsidRDefault="001B5A1E">
      <w:r>
        <w:separator/>
      </w:r>
    </w:p>
  </w:footnote>
  <w:footnote w:id="0" w:type="continuationSeparator">
    <w:p w:rsidR="001B5A1E" w:rsidRDefault="001B5A1E">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交银施罗德多策略回报灵活配置混合型证券投资基金2019年第1季度报告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0" w:defUnhideWhenUsed="1">
    <w:lsdException w:name="Normal" w:qFormat="1" w:semiHidden="0" w:unhideWhenUsed="0"/>
    <w:lsdException w:name="heading 1" w:qFormat="1" w:semiHidden="0" w:uiPriority="99" w:unhideWhenUsed="0"/>
    <w:lsdException w:name="heading 2" w:qFormat="1" w:semiHidden="0" w:unhideWhenUsed="0"/>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qFormat="1" w:semiHidden="0" w:unhideWhenUsed="0"/>
    <w:lsdException w:name="Subtitle" w:qFormat="1" w:semiHidden="0" w:unhideWhenUsed="0"/>
    <w:lsdException w:name="Salutation" w:semiHidden="0" w:unhideWhenUsed="0"/>
    <w:lsdException w:name="Date" w:semiHidden="0" w:unhideWhenUsed="0"/>
    <w:lsdException w:name="Body Text First Indent" w:semiHidden="0" w:unhideWhenUsed="0"/>
    <w:lsdException w:name="Strong" w:qFormat="1" w:semiHidden="0" w:uiPriority="22" w:unhideWhenUsed="0"/>
    <w:lsdException w:name="Emphasis" w:qFormat="1" w:semiHidden="0" w:unhideWhenUsed="0"/>
    <w:lsdException w:name="Plain Text" w:uiPriority="99"/>
    <w:lsdException w:name="Table Grid" w:qFormat="1" w:semiHidden="0" w:unhideWhenUsed="0"/>
    <w:lsdException w:name="Placeholder Text" w:uiPriority="99"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1B44A-4F1F-404E-8194-4BCDA7DFD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208</TotalTime>
  <Pages>28</Pages>
  <Words>4625</Words>
  <Characters>26366</Characters>
  <Application>Microsoft Office Word</Application>
  <DocSecurity>0</DocSecurity>
  <Lines>219</Lines>
  <Paragraphs>61</Paragraphs>
  <ScaleCrop>false</ScaleCrop>
  <Company>TRT. Ltd. Co.</Company>
  <LinksUpToDate>false</LinksUpToDate>
  <CharactersWithSpaces>30930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Administrator</cp:lastModifiedBy>
  <cp:lastPrinted>2007-07-19T00:46:00Z</cp:lastPrinted>
  <dcterms:modified xsi:type="dcterms:W3CDTF">2018-09-13T02:52:00Z</dcterms:modified>
  <cp:revision>377</cp:revision>
</cp:coreProperties>
</file>