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交银施罗德双利债券证券投资基金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2019年第1季度报告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2019年3月31日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中国建设银行股份有限公司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二〇一九年四月二十日</w:t>
      </w:r>
    </w:p>
    <w:p w:rsidP="000A2988" w:rsidR="009238DB" w:rsidRDefault="009238DB" w:rsidRPr="007F52FA">
      <w:pPr>
        <w:pStyle w:val="1"/>
        <w:spacing w:afterLines="100"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基金托管人中国建设银行股份有限公司根据本基金合同规定，于2019年4月19日复核了本报告中的财务指标、净值表现和投资组合报告等内容，保证复核内容不存在虚假记载、误导性陈述或者重大遗漏。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本报告期自2019年1月1日起至3月31日止。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Lines="100"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交银双利债券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519683</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2011年9月26日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145,016,024.31</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况与相应风险收益特征，在严格控制基金资产运作风险的基础上，把握投资机会，力争为投资者提供高于业绩比较基准的长期稳定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中债综合全价指数收益率×90%+沪深300指数收益率×10%</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交银双利债券A/B</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交银双利债券C</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下属两级基金的交易代码</w:t>
            </w:r>
          </w:p>
        </w:tc>
        <w:tc>
          <w:tcPr>
            <w:tcW w:type="dxa" w:w="2922"/>
            <w:vAlign w:val="center"/>
          </w:tcPr>
          <w:p w:rsidP="007C14DF" w:rsidR="00C23B30" w:rsidRDefault="00C23B30" w:rsidRPr="007F52FA">
            <w:pPr>
              <w:spacing w:before="29" w:line="288" w:lineRule="auto"/>
              <w:jc w:val="left"/>
              <w:rPr>
                <w:sz w:val="24"/>
              </w:rPr>
            </w:pPr>
            <w:r w:rsidRPr="007F52FA">
              <w:rPr>
                <w:color w:themeColor="text1" w:val="000000"/>
                <w:sz w:val="24"/>
              </w:rPr>
              <w:t>519683</w:t>
            </w:r>
            <w:r w:rsidRPr="007F52FA">
              <w:rPr>
                <w:color w:themeColor="text1" w:val="000000"/>
                <w:sz w:val="24"/>
              </w:rPr>
              <w:t>（前端）、</w:t>
            </w:r>
            <w:r w:rsidRPr="007F52FA">
              <w:rPr>
                <w:color w:themeColor="text1" w:val="000000"/>
                <w:sz w:val="24"/>
              </w:rPr>
              <w:t>519684</w:t>
            </w:r>
            <w:r w:rsidRPr="007F52FA">
              <w:rPr>
                <w:color w:themeColor="text1" w:val="000000"/>
                <w:sz w:val="24"/>
              </w:rPr>
              <w:t>（后端）</w:t>
            </w:r>
          </w:p>
        </w:tc>
        <w:tc>
          <w:tcPr>
            <w:tcW w:type="dxa" w:w="3048"/>
            <w:vAlign w:val="center"/>
          </w:tcPr>
          <w:p w:rsidP="007C14DF" w:rsidR="00C23B30" w:rsidRDefault="00C23B30" w:rsidRPr="007F52FA">
            <w:pPr>
              <w:spacing w:before="29" w:line="288" w:lineRule="auto"/>
              <w:jc w:val="left"/>
              <w:rPr>
                <w:color w:themeColor="text1" w:val="000000"/>
                <w:sz w:val="24"/>
              </w:rPr>
            </w:pPr>
            <w:r w:rsidRPr="007F52FA">
              <w:rPr>
                <w:color w:themeColor="text1" w:val="000000"/>
                <w:sz w:val="24"/>
              </w:rPr>
              <w:t>519685</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133,845,524.37</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11,170,499.94</w:t>
            </w:r>
            <w:r w:rsidRPr="007F52FA">
              <w:rPr>
                <w:color w:val="000000"/>
                <w:kern w:val="0"/>
                <w:sz w:val="24"/>
              </w:rPr>
              <w:t>份</w:t>
            </w:r>
          </w:p>
        </w:tc>
      </w:tr>
    </w:tbl>
    <w:p w:rsidP="007C14DF" w:rsidR="009238DB" w:rsidRDefault="00A6200E"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注：本基金A类基金份额采用前端收费模式，B类基金份额采用后端收费模式，前端交易代码即为A类基金份额交易代码，后端交易代码即为B类基金份额交易代码。</w:t>
      </w:r>
    </w:p>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Lines="100"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(2019年1月1日-2019年3月31日)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交银双利债券A/B</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交银双利债券C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2,299,175.07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168,139.24</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2,505,396.83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179,512.29</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0.0179</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0.0159</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159,055,506.76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12,838,056.79</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1.188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1.149</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注：1、本基金A/B类业绩指标不包括持有人认购或交易基金的各项费用，计入费用后的实际收益水平要低于所列数字。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交银双利债券A/B</w:t>
      </w:r>
      <w:r w:rsidRPr="007F52FA">
        <w:rPr>
          <w:b/>
          <w:sz w:val="24"/>
        </w:rPr>
        <w:t>：</w:t>
      </w:r>
    </w:p>
    <w:tbl>
      <w:tblPr>
        <w:tblStyle w:val="af2"/>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1.45%</w:t>
            </w:r>
          </w:p>
        </w:tc>
        <w:tc>
          <w:tcPr>
            <w:vAlign w:val="center"/>
          </w:tcPr>
          <w:p>
            <w:pPr>
              <w:jc w:val="center"/>
            </w:pPr>
            <w:r>
              <w:rPr>
                <w:color w:val="000000"/>
                <w:sz w:val="24"/>
              </w:rPr>
              <w:t>0.24%</w:t>
            </w:r>
          </w:p>
        </w:tc>
        <w:tc>
          <w:tcPr>
            <w:vAlign w:val="center"/>
          </w:tcPr>
          <w:p>
            <w:pPr>
              <w:jc w:val="center"/>
            </w:pPr>
            <w:r>
              <w:rPr>
                <w:color w:val="000000"/>
                <w:sz w:val="24"/>
              </w:rPr>
              <w:t>3.05%</w:t>
            </w:r>
          </w:p>
        </w:tc>
        <w:tc>
          <w:tcPr>
            <w:vAlign w:val="center"/>
          </w:tcPr>
          <w:p>
            <w:pPr>
              <w:jc w:val="center"/>
            </w:pPr>
            <w:r>
              <w:rPr>
                <w:color w:val="000000"/>
                <w:sz w:val="24"/>
              </w:rPr>
              <w:t>0.15%</w:t>
            </w:r>
          </w:p>
        </w:tc>
        <w:tc>
          <w:tcPr>
            <w:vAlign w:val="center"/>
          </w:tcPr>
          <w:p>
            <w:pPr>
              <w:jc w:val="center"/>
            </w:pPr>
            <w:r>
              <w:rPr>
                <w:color w:val="000000"/>
                <w:sz w:val="24"/>
              </w:rPr>
              <w:t>-1.60%</w:t>
            </w:r>
          </w:p>
        </w:tc>
        <w:tc>
          <w:tcPr>
            <w:vAlign w:val="center"/>
          </w:tcPr>
          <w:p>
            <w:pPr>
              <w:jc w:val="center"/>
            </w:pPr>
            <w:r>
              <w:rPr>
                <w:color w:val="000000"/>
                <w:sz w:val="24"/>
              </w:rPr>
              <w:t>0.09%</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交银双利债券C</w:t>
      </w:r>
      <w:r w:rsidRPr="007F52FA">
        <w:rPr>
          <w:b/>
          <w:color w:val="000000"/>
          <w:kern w:val="0"/>
          <w:sz w:val="24"/>
        </w:rPr>
        <w:t>：</w:t>
      </w:r>
    </w:p>
    <w:tbl>
      <w:tblPr>
        <w:tblStyle w:val="af2"/>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1.32%</w:t>
            </w:r>
          </w:p>
        </w:tc>
        <w:tc>
          <w:tcPr>
            <w:vAlign w:val="center"/>
          </w:tcPr>
          <w:p>
            <w:pPr>
              <w:jc w:val="center"/>
            </w:pPr>
            <w:r>
              <w:rPr>
                <w:color w:val="000000"/>
                <w:sz w:val="24"/>
              </w:rPr>
              <w:t>0.25%</w:t>
            </w:r>
          </w:p>
        </w:tc>
        <w:tc>
          <w:tcPr>
            <w:vAlign w:val="center"/>
          </w:tcPr>
          <w:p>
            <w:pPr>
              <w:jc w:val="center"/>
            </w:pPr>
            <w:r>
              <w:rPr>
                <w:color w:val="000000"/>
                <w:sz w:val="24"/>
              </w:rPr>
              <w:t>3.05%</w:t>
            </w:r>
          </w:p>
        </w:tc>
        <w:tc>
          <w:tcPr>
            <w:vAlign w:val="center"/>
          </w:tcPr>
          <w:p>
            <w:pPr>
              <w:jc w:val="center"/>
            </w:pPr>
            <w:r>
              <w:rPr>
                <w:color w:val="000000"/>
                <w:sz w:val="24"/>
              </w:rPr>
              <w:t>0.15%</w:t>
            </w:r>
          </w:p>
        </w:tc>
        <w:tc>
          <w:tcPr>
            <w:vAlign w:val="center"/>
          </w:tcPr>
          <w:p>
            <w:pPr>
              <w:jc w:val="center"/>
            </w:pPr>
            <w:r>
              <w:rPr>
                <w:color w:val="000000"/>
                <w:sz w:val="24"/>
              </w:rPr>
              <w:t>-1.73%</w:t>
            </w:r>
          </w:p>
        </w:tc>
        <w:tc>
          <w:tcPr>
            <w:vAlign w:val="center"/>
          </w:tcPr>
          <w:p>
            <w:pPr>
              <w:jc w:val="center"/>
            </w:pPr>
            <w:r>
              <w:rPr>
                <w:color w:val="000000"/>
                <w:sz w:val="24"/>
              </w:rPr>
              <w:t>0.10%</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交银施罗德双利债券证券投资基金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2011年9月26日</w:t>
      </w:r>
      <w:r w:rsidR="009A045B" w:rsidRPr="007F52FA">
        <w:rPr>
          <w:rFonts w:ascii="Times New Roman" w:hAnsi="Times New Roman"/>
          <w:sz w:val="24"/>
          <w:szCs w:val="24"/>
        </w:rPr>
        <w:t>至</w:t>
      </w:r>
      <w:r w:rsidRPr="007F52FA">
        <w:rPr>
          <w:rFonts w:ascii="Times New Roman" w:hAnsi="Times New Roman"/>
          <w:sz w:val="24"/>
          <w:szCs w:val="24"/>
        </w:rPr>
        <w:t>2019年3月31日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交银双利债券A/B</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交银双利债券C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Lines="100"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唐赟</w:t>
            </w:r>
          </w:p>
        </w:tc>
        <w:tc>
          <w:tcPr>
            <w:vAlign w:val="center"/>
          </w:tcPr>
          <w:p>
            <w:pPr>
              <w:jc w:val="center"/>
            </w:pPr>
            <w:r>
              <w:rPr>
                <w:color w:val="000000"/>
                <w:sz w:val="24"/>
              </w:rPr>
              <w:t>交银信用添利债券(LOF)、交银双利债券、交银双轮动债券、交银裕通纯债债券、交银安心收益债券、交银荣鑫灵活配置混合的基金经理</w:t>
            </w:r>
          </w:p>
        </w:tc>
        <w:tc>
          <w:tcPr>
            <w:vAlign w:val="center"/>
          </w:tcPr>
          <w:p>
            <w:pPr>
              <w:jc w:val="center"/>
            </w:pPr>
            <w:r>
              <w:rPr>
                <w:color w:val="000000"/>
                <w:sz w:val="24"/>
              </w:rPr>
              <w:t>2015-11-07</w:t>
            </w:r>
          </w:p>
        </w:tc>
        <w:tc>
          <w:tcPr>
            <w:vAlign w:val="center"/>
          </w:tcPr>
          <w:p>
            <w:pPr>
              <w:jc w:val="center"/>
            </w:pPr>
            <w:r>
              <w:rPr>
                <w:color w:val="000000"/>
                <w:sz w:val="24"/>
              </w:rPr>
              <w:t>-</w:t>
            </w:r>
          </w:p>
        </w:tc>
        <w:tc>
          <w:tcPr>
            <w:vAlign w:val="center"/>
          </w:tcPr>
          <w:p>
            <w:pPr>
              <w:jc w:val="center"/>
            </w:pPr>
            <w:r>
              <w:rPr>
                <w:color w:val="000000"/>
                <w:sz w:val="24"/>
              </w:rPr>
              <w:t>9年</w:t>
            </w:r>
          </w:p>
        </w:tc>
        <w:tc>
          <w:tcPr>
            <w:vAlign w:val="center"/>
          </w:tcPr>
          <w:p>
            <w:pPr>
              <w:jc w:val="both"/>
            </w:pPr>
            <w:r>
              <w:rPr>
                <w:color w:val="000000"/>
                <w:sz w:val="24"/>
              </w:rPr>
              <w:t>唐赟先生，香港城市大学电子工程硕士。历任渣打银行环球企业部助理客户经理、平安资产管理公司信用分析员。2012年加入交银施罗德基金管理有限公司，历任固定收益研究员、基金经理助理。2015年11月7日至2018年6月1日担任转型前的交银施罗德荣和保本混合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2019年年初以来，在贸易战边际缓和，年初贷款和社融大幅放量，地方债发行较往年提前且发行力度较大，股市阶段性上涨带来风险偏好提升等多重因素的作用之下，国内利率水平在震荡中小幅走高。宽信用初步成效体现，广谱利率水平下降明显，其中信用债市场的利率水平下行幅度最大，大多数企业的融资压力明显缓和，城投债受到市场的追捧，信用利差进一步压缩。权益类资产方面，今年一季度市场表现亮眼，股票和可转债均出现持续放量上涨。</w:t>
      </w:r>
    </w:p>
    <w:p>
      <w:pPr>
        <w:spacing w:before="29" w:line="288" w:lineRule="auto"/>
        <w:ind w:firstLine="480" w:firstLineChars="200"/>
        <w:rPr>
          <w:color w:val="000000"/>
          <w:sz w:val="24"/>
        </w:rPr>
      </w:pPr>
      <w:r>
        <w:rPr>
          <w:color w:val="000000"/>
          <w:sz w:val="24"/>
        </w:rPr>
        <w:t>报告期内，基于对利率波动加大，市场缺乏结构性行情，本基金适当降低了债券资产的久期配置，并择机选择小部分仓位进行长久期利率债的波段交易，以期增厚组合收益。权益资产和可转债方面，本基金今年一季度增加了对股票和可转债的仓位配置，同时积极把握个券机会。</w:t>
      </w:r>
    </w:p>
    <w:p>
      <w:pPr>
        <w:spacing w:before="29" w:line="288" w:lineRule="auto"/>
        <w:ind w:firstLine="480" w:firstLineChars="200"/>
        <w:rPr>
          <w:color w:val="000000"/>
          <w:sz w:val="24"/>
        </w:rPr>
      </w:pPr>
      <w:r>
        <w:rPr>
          <w:color w:val="000000"/>
          <w:sz w:val="24"/>
        </w:rPr>
        <w:t>展望2019年二季度，我们认为，海外经济增速整体向下，国内基建对经济的短期拉动较强，但经济长期下行压力仍较大。首先，国内基建投资短期内乐观，可能带动房地产开发投资数据不弱，但是全年来看，制造业投资下行压力将显现，基建托底的边际效果在减弱，三四线房地产市场持续降温。通胀方面，进入三月，部分地区猪肉价格上涨，进一步推升市场对于二季度通胀的预期，仍需关注市场预期的改变。相比国内，海外经济走弱的确定性更强，一方面，美国的经济动能整体减弱，投资端开始拖累增长，消费的持续性有待验证，税改和基建效应在持续消退，未来财政政策继续扩张有限。另一方面，欧元区制造业景气度处于下行阶段，出口萎缩拖累基本面，多数国家受到硬性赤字约束，投资难以再发力。经历了一年多的债券牛市之后，目前的收益率水平已明显下降，债券组合的静态收益率相对较低，收益率的下行空间被压缩，需要警惕利率上升的风险，今年债券类资产取得较高绝对收益的难度增加。</w:t>
      </w:r>
    </w:p>
    <w:p w:rsidP="007C14DF" w:rsidR="00952A72" w:rsidRDefault="00323F25" w:rsidRPr="007F52FA">
      <w:pPr>
        <w:spacing w:before="29" w:line="288" w:lineRule="auto"/>
        <w:ind w:firstLine="480" w:firstLineChars="200"/>
        <w:rPr>
          <w:color w:val="000000"/>
          <w:sz w:val="24"/>
        </w:rPr>
      </w:pPr>
      <w:r w:rsidRPr="007F52FA">
        <w:rPr>
          <w:color w:val="000000"/>
          <w:sz w:val="24"/>
        </w:rPr>
        <w:t>权益类资产的绝对估值和相对估值在2018年都进入了历史底部区域之后，2019年初以来经历了一波快速上涨。我们认为市场的右侧信号已经出现，对权益市场的后续行情仍较为看好，后续将精选个股，积极把握行业的轮动，以期增强组合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 主要财务指标” 及“3.2.1本报告期基金份额净值增长率及其与同期业绩比较基准收益率的比较”部分披露。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Lines="100"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rsidRPr="0028293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tbl>
      <w:tblPr>
        <w:tblStyle w:val="af2"/>
        <w:tblW w:type="dxa" w:w="8897"/>
        <w:tblInd w:type="dxa" w:w="108"/>
        <w:tblLayout w:type="fixed"/>
        <w:tblLook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r w:rsidRPr="0028293E">
              <w:rPr>
                <w:rFonts w:eastAsiaTheme="minorEastAsia"/>
                <w:color w:themeColor="text1" w:val="000000"/>
                <w:sz w:val="24"/>
              </w:rPr>
              <w:t>(</w:t>
            </w:r>
            <w:r w:rsidRPr="0028293E">
              <w:rPr>
                <w:rFonts w:eastAsiaTheme="minorEastAsia"/>
                <w:color w:themeColor="text1" w:val="000000"/>
                <w:sz w:val="24"/>
              </w:rPr>
              <w:t>元</w:t>
            </w: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17,983,024.00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10.11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17,983,024.00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10.11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153,008,343.77</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86.03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153,008,343.77</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86.03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3,392,999.91</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1.91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3,463,543.65</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1.95</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177,847,911.33</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lastRenderedPageBreak/>
        <w:t xml:space="preserve">5.2 </w:t>
      </w:r>
      <w:r w:rsidRPr="007F52FA">
        <w:rPr>
          <w:rFonts w:eastAsiaTheme="minorEastAsia"/>
          <w:b/>
          <w:color w:val="000000"/>
          <w:kern w:val="0"/>
          <w:sz w:val="24"/>
        </w:rPr>
        <w:t>报告期末按行业分类的股票投资组合</w:t>
      </w:r>
    </w:p>
    <w:p w:rsidP="001A5D39" w:rsidR="001A5D39" w:rsidRDefault="001A5D39" w:rsidRPr="001A5D39">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113"/>
          <w:right w:type="dxa" w:w="113"/>
        </w:tblCellMar>
        <w:tblLook w:val="0000"/>
      </w:tblPr>
      <w:tblGrid>
        <w:gridCol w:w="772"/>
        <w:gridCol w:w="3525"/>
        <w:gridCol w:w="2897"/>
        <w:gridCol w:w="1674"/>
      </w:tblGrid>
      <w:tr w:rsidR="005F458B" w:rsidRPr="007F52FA" w:rsidTr="004D7E11">
        <w:trPr>
          <w:trHeight w:val="390"/>
          <w:jc w:val="center"/>
        </w:trPr>
        <w:tc>
          <w:tcPr>
            <w:tcW w:type="dxa" w:w="772"/>
            <w:tcBorders>
              <w:top w:color="000000" w:space="0" w:sz="4" w:val="single"/>
              <w:left w:color="000000"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代码</w:t>
            </w:r>
            <w:r w:rsidR="00FA0527" w:rsidRPr="007F52FA">
              <w:rPr>
                <w:sz w:val="24"/>
              </w:rPr>
              <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行业类别</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公允价值（元）</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A</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农、林、牧、渔业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B</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采矿业</w:t>
            </w:r>
          </w:p>
        </w:tc>
        <w:tc>
          <w:tcPr>
            <w:tcW w:type="dxa" w:w="2897"/>
            <w:tcBorders>
              <w:top w:color="000000" w:space="0" w:sz="4" w:val="single"/>
              <w:left w:color="auto" w:space="0" w:sz="4" w:val="single"/>
              <w:bottom w:color="000000" w:space="0" w:sz="4" w:val="single"/>
              <w:right w:color="000000" w:space="0" w:sz="4" w:val="single"/>
            </w:tcBorders>
            <w:vAlign w:val="center"/>
          </w:tcPr>
          <w:p w:rsidP="00DF744A"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DF744A"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C</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制造业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11,709,920.00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6.81</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D</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电力、热力、燃气及水生产和供应业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E</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建筑业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F</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批发和零售业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2,189,600.00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1.27</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G</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交通运输、仓储和邮政业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lastRenderedPageBreak/>
              <w:t/>
            </w:r>
            <w:r w:rsidRPr="007F52FA">
              <w:rPr>
                <w:sz w:val="24"/>
              </w:rPr>
              <w:lastRenderedPageBreak/>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lastRenderedPageBreak/>
              <w:t>H</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住宿和餐饮业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240CA0">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I</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240CA0" w:rsidR="005F458B" w:rsidRDefault="005F458B" w:rsidRPr="007F52FA">
            <w:pPr>
              <w:adjustRightInd w:val="0"/>
              <w:snapToGrid w:val="0"/>
              <w:spacing w:before="29" w:line="288" w:lineRule="auto"/>
              <w:rPr>
                <w:sz w:val="24"/>
              </w:rPr>
            </w:pPr>
            <w:r w:rsidRPr="007F52FA">
              <w:rPr>
                <w:sz w:val="24"/>
              </w:rPr>
              <w:t>信息传输、软件和信息技术服务业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4,083,504.00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2.38</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J</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金融业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K</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房地产业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L</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租赁和商务服务业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M</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科学研究和技术服务业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N</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水利、环境和公共设施管理业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lastRenderedPageBreak/>
              <w:t>O</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居民服务、修理和其他服务业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P</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教育</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Q</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卫生和社会工作</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R</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文化、体育和娱乐业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S</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综合</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合计</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17,983,024.00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10.46</w:t>
            </w:r>
          </w:p>
        </w:tc>
      </w:tr>
    </w:tbl>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val="04A0"/>
      </w:tblPr>
      <w:tblGrid>
        <w:gridCol w:w="850"/>
        <w:gridCol w:w="1327"/>
        <w:gridCol w:w="1769"/>
        <w:gridCol w:w="1327"/>
        <w:gridCol w:w="1915"/>
        <w:gridCol w:w="1680"/>
      </w:tblGrid>
      <w:tr w:rsidR="000871DB" w:rsidRPr="007F52FA" w:rsidTr="00481DB2">
        <w:trPr>
          <w:jc w:val="center"/>
        </w:trPr>
        <w:tc>
          <w:tcPr>
            <w:tcW w:type="dxa" w:w="817"/>
            <w:vAlign w:val="center"/>
          </w:tcPr>
          <w:p w:rsidP="007C14DF" w:rsidR="000871DB" w:rsidRDefault="000871DB" w:rsidRPr="007F52FA">
            <w:pPr>
              <w:spacing w:before="29" w:line="288" w:lineRule="auto"/>
              <w:ind w:left="17"/>
              <w:jc w:val="center"/>
              <w:rPr>
                <w:color w:val="000000"/>
                <w:sz w:val="24"/>
              </w:rPr>
            </w:pPr>
            <w:r w:rsidRPr="007F52FA">
              <w:rPr>
                <w:color w:val="000000"/>
                <w:sz w:val="24"/>
              </w:rPr>
              <w:t>序号</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股票代码</w:t>
            </w:r>
          </w:p>
        </w:tc>
        <w:tc>
          <w:tcPr>
            <w:tcW w:type="dxa" w:w="1701"/>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股票名称</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type="dxa" w:w="1842"/>
            <w:vAlign w:val="center"/>
          </w:tcPr>
          <w:p w:rsidP="007C14DF" w:rsidR="000871DB" w:rsidRDefault="000871DB" w:rsidRPr="007F52FA">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type="dxa" w:w="1616"/>
            <w:vAlign w:val="center"/>
          </w:tcPr>
          <w:p w:rsidP="007C14DF" w:rsidR="000871DB" w:rsidRDefault="000871DB" w:rsidRPr="007F52FA">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tc>
          <w:tcPr>
            <w:vAlign w:val="center"/>
          </w:tcPr>
          <w:p>
            <w:pPr>
              <w:jc w:val="center"/>
            </w:pPr>
            <w:r>
              <w:rPr>
                <w:color w:val="000000"/>
                <w:sz w:val="24"/>
              </w:rPr>
              <w:t>1</w:t>
            </w:r>
          </w:p>
        </w:tc>
        <w:tc>
          <w:tcPr>
            <w:vAlign w:val="center"/>
          </w:tcPr>
          <w:p>
            <w:pPr>
              <w:jc w:val="center"/>
            </w:pPr>
            <w:r>
              <w:rPr>
                <w:color w:val="000000"/>
                <w:sz w:val="24"/>
              </w:rPr>
              <w:t>300059</w:t>
            </w:r>
          </w:p>
        </w:tc>
        <w:tc>
          <w:tcPr>
            <w:vAlign w:val="center"/>
          </w:tcPr>
          <w:p>
            <w:pPr>
              <w:jc w:val="center"/>
            </w:pPr>
            <w:r>
              <w:rPr>
                <w:color w:val="000000"/>
                <w:sz w:val="24"/>
              </w:rPr>
              <w:t>东方财富</w:t>
            </w:r>
          </w:p>
        </w:tc>
        <w:tc>
          <w:tcPr>
            <w:vAlign w:val="center"/>
          </w:tcPr>
          <w:p>
            <w:pPr>
              <w:jc w:val="right"/>
            </w:pPr>
            <w:r>
              <w:rPr>
                <w:color w:val="000000"/>
                <w:sz w:val="24"/>
              </w:rPr>
              <w:t>140,000</w:t>
            </w:r>
          </w:p>
        </w:tc>
        <w:tc>
          <w:tcPr>
            <w:vAlign w:val="center"/>
          </w:tcPr>
          <w:p>
            <w:pPr>
              <w:jc w:val="right"/>
            </w:pPr>
            <w:r>
              <w:rPr>
                <w:color w:val="000000"/>
                <w:sz w:val="24"/>
              </w:rPr>
              <w:t>2,713,200.00</w:t>
            </w:r>
          </w:p>
        </w:tc>
        <w:tc>
          <w:tcPr>
            <w:vAlign w:val="center"/>
          </w:tcPr>
          <w:p>
            <w:pPr>
              <w:jc w:val="right"/>
            </w:pPr>
            <w:r>
              <w:rPr>
                <w:color w:val="000000"/>
                <w:sz w:val="24"/>
              </w:rPr>
              <w:t>1.58</w:t>
            </w:r>
          </w:p>
        </w:tc>
      </w:tr>
      <w:tr>
        <w:tc>
          <w:tcPr>
            <w:vAlign w:val="center"/>
          </w:tcPr>
          <w:p>
            <w:pPr>
              <w:jc w:val="center"/>
            </w:pPr>
            <w:r>
              <w:rPr>
                <w:color w:val="000000"/>
                <w:sz w:val="24"/>
              </w:rPr>
              <w:t>2</w:t>
            </w:r>
          </w:p>
        </w:tc>
        <w:tc>
          <w:tcPr>
            <w:vAlign w:val="center"/>
          </w:tcPr>
          <w:p>
            <w:pPr>
              <w:jc w:val="center"/>
            </w:pPr>
            <w:r>
              <w:rPr>
                <w:color w:val="000000"/>
                <w:sz w:val="24"/>
              </w:rPr>
              <w:t>600276</w:t>
            </w:r>
          </w:p>
        </w:tc>
        <w:tc>
          <w:tcPr>
            <w:vAlign w:val="center"/>
          </w:tcPr>
          <w:p>
            <w:pPr>
              <w:jc w:val="center"/>
            </w:pPr>
            <w:r>
              <w:rPr>
                <w:color w:val="000000"/>
                <w:sz w:val="24"/>
              </w:rPr>
              <w:t>恒瑞医药</w:t>
            </w:r>
          </w:p>
        </w:tc>
        <w:tc>
          <w:tcPr>
            <w:vAlign w:val="center"/>
          </w:tcPr>
          <w:p>
            <w:pPr>
              <w:jc w:val="right"/>
            </w:pPr>
            <w:r>
              <w:rPr>
                <w:color w:val="000000"/>
                <w:sz w:val="24"/>
              </w:rPr>
              <w:t>36,000</w:t>
            </w:r>
          </w:p>
        </w:tc>
        <w:tc>
          <w:tcPr>
            <w:vAlign w:val="center"/>
          </w:tcPr>
          <w:p>
            <w:pPr>
              <w:jc w:val="right"/>
            </w:pPr>
            <w:r>
              <w:rPr>
                <w:color w:val="000000"/>
                <w:sz w:val="24"/>
              </w:rPr>
              <w:t>2,355,120.00</w:t>
            </w:r>
          </w:p>
        </w:tc>
        <w:tc>
          <w:tcPr>
            <w:vAlign w:val="center"/>
          </w:tcPr>
          <w:p>
            <w:pPr>
              <w:jc w:val="right"/>
            </w:pPr>
            <w:r>
              <w:rPr>
                <w:color w:val="000000"/>
                <w:sz w:val="24"/>
              </w:rPr>
              <w:t>1.37</w:t>
            </w:r>
          </w:p>
        </w:tc>
      </w:tr>
      <w:tr>
        <w:tc>
          <w:tcPr>
            <w:vAlign w:val="center"/>
          </w:tcPr>
          <w:p>
            <w:pPr>
              <w:jc w:val="center"/>
            </w:pPr>
            <w:r>
              <w:rPr>
                <w:color w:val="000000"/>
                <w:sz w:val="24"/>
              </w:rPr>
              <w:t>3</w:t>
            </w:r>
          </w:p>
        </w:tc>
        <w:tc>
          <w:tcPr>
            <w:vAlign w:val="center"/>
          </w:tcPr>
          <w:p>
            <w:pPr>
              <w:jc w:val="center"/>
            </w:pPr>
            <w:r>
              <w:rPr>
                <w:color w:val="000000"/>
                <w:sz w:val="24"/>
              </w:rPr>
              <w:t>002607</w:t>
            </w:r>
          </w:p>
        </w:tc>
        <w:tc>
          <w:tcPr>
            <w:vAlign w:val="center"/>
          </w:tcPr>
          <w:p>
            <w:pPr>
              <w:jc w:val="center"/>
            </w:pPr>
            <w:r>
              <w:rPr>
                <w:color w:val="000000"/>
                <w:sz w:val="24"/>
              </w:rPr>
              <w:t>中公教育</w:t>
            </w:r>
          </w:p>
        </w:tc>
        <w:tc>
          <w:tcPr>
            <w:vAlign w:val="center"/>
          </w:tcPr>
          <w:p>
            <w:pPr>
              <w:jc w:val="right"/>
            </w:pPr>
            <w:r>
              <w:rPr>
                <w:color w:val="000000"/>
                <w:sz w:val="24"/>
              </w:rPr>
              <w:t>170,000</w:t>
            </w:r>
          </w:p>
        </w:tc>
        <w:tc>
          <w:tcPr>
            <w:vAlign w:val="center"/>
          </w:tcPr>
          <w:p>
            <w:pPr>
              <w:jc w:val="right"/>
            </w:pPr>
            <w:r>
              <w:rPr>
                <w:color w:val="000000"/>
                <w:sz w:val="24"/>
              </w:rPr>
              <w:t>2,189,600.00</w:t>
            </w:r>
          </w:p>
        </w:tc>
        <w:tc>
          <w:tcPr>
            <w:vAlign w:val="center"/>
          </w:tcPr>
          <w:p>
            <w:pPr>
              <w:jc w:val="right"/>
            </w:pPr>
            <w:r>
              <w:rPr>
                <w:color w:val="000000"/>
                <w:sz w:val="24"/>
              </w:rPr>
              <w:t>1.27</w:t>
            </w:r>
          </w:p>
        </w:tc>
      </w:tr>
      <w:tr>
        <w:tc>
          <w:tcPr>
            <w:vAlign w:val="center"/>
          </w:tcPr>
          <w:p>
            <w:pPr>
              <w:jc w:val="center"/>
            </w:pPr>
            <w:r>
              <w:rPr>
                <w:color w:val="000000"/>
                <w:sz w:val="24"/>
              </w:rPr>
              <w:t>4</w:t>
            </w:r>
          </w:p>
        </w:tc>
        <w:tc>
          <w:tcPr>
            <w:vAlign w:val="center"/>
          </w:tcPr>
          <w:p>
            <w:pPr>
              <w:jc w:val="center"/>
            </w:pPr>
            <w:r>
              <w:rPr>
                <w:color w:val="000000"/>
                <w:sz w:val="24"/>
              </w:rPr>
              <w:t>002475</w:t>
            </w:r>
          </w:p>
        </w:tc>
        <w:tc>
          <w:tcPr>
            <w:vAlign w:val="center"/>
          </w:tcPr>
          <w:p>
            <w:pPr>
              <w:jc w:val="center"/>
            </w:pPr>
            <w:r>
              <w:rPr>
                <w:color w:val="000000"/>
                <w:sz w:val="24"/>
              </w:rPr>
              <w:t>立讯精密</w:t>
            </w:r>
          </w:p>
        </w:tc>
        <w:tc>
          <w:tcPr>
            <w:vAlign w:val="center"/>
          </w:tcPr>
          <w:p>
            <w:pPr>
              <w:jc w:val="right"/>
            </w:pPr>
            <w:r>
              <w:rPr>
                <w:color w:val="000000"/>
                <w:sz w:val="24"/>
              </w:rPr>
              <w:t>80,000</w:t>
            </w:r>
          </w:p>
        </w:tc>
        <w:tc>
          <w:tcPr>
            <w:vAlign w:val="center"/>
          </w:tcPr>
          <w:p>
            <w:pPr>
              <w:jc w:val="right"/>
            </w:pPr>
            <w:r>
              <w:rPr>
                <w:color w:val="000000"/>
                <w:sz w:val="24"/>
              </w:rPr>
              <w:t>1,984,000.00</w:t>
            </w:r>
          </w:p>
        </w:tc>
        <w:tc>
          <w:tcPr>
            <w:vAlign w:val="center"/>
          </w:tcPr>
          <w:p>
            <w:pPr>
              <w:jc w:val="right"/>
            </w:pPr>
            <w:r>
              <w:rPr>
                <w:color w:val="000000"/>
                <w:sz w:val="24"/>
              </w:rPr>
              <w:t>1.15</w:t>
            </w:r>
          </w:p>
        </w:tc>
      </w:tr>
      <w:tr>
        <w:tc>
          <w:tcPr>
            <w:vAlign w:val="center"/>
          </w:tcPr>
          <w:p>
            <w:pPr>
              <w:jc w:val="center"/>
            </w:pPr>
            <w:r>
              <w:rPr>
                <w:color w:val="000000"/>
                <w:sz w:val="24"/>
              </w:rPr>
              <w:t>5</w:t>
            </w:r>
          </w:p>
        </w:tc>
        <w:tc>
          <w:tcPr>
            <w:vAlign w:val="center"/>
          </w:tcPr>
          <w:p>
            <w:pPr>
              <w:jc w:val="center"/>
            </w:pPr>
            <w:r>
              <w:rPr>
                <w:color w:val="000000"/>
                <w:sz w:val="24"/>
              </w:rPr>
              <w:t>603027</w:t>
            </w:r>
          </w:p>
        </w:tc>
        <w:tc>
          <w:tcPr>
            <w:vAlign w:val="center"/>
          </w:tcPr>
          <w:p>
            <w:pPr>
              <w:jc w:val="center"/>
            </w:pPr>
            <w:r>
              <w:rPr>
                <w:color w:val="000000"/>
                <w:sz w:val="24"/>
              </w:rPr>
              <w:t>千禾味业</w:t>
            </w:r>
          </w:p>
        </w:tc>
        <w:tc>
          <w:tcPr>
            <w:vAlign w:val="center"/>
          </w:tcPr>
          <w:p>
            <w:pPr>
              <w:jc w:val="right"/>
            </w:pPr>
            <w:r>
              <w:rPr>
                <w:color w:val="000000"/>
                <w:sz w:val="24"/>
              </w:rPr>
              <w:t>80,000</w:t>
            </w:r>
          </w:p>
        </w:tc>
        <w:tc>
          <w:tcPr>
            <w:vAlign w:val="center"/>
          </w:tcPr>
          <w:p>
            <w:pPr>
              <w:jc w:val="right"/>
            </w:pPr>
            <w:r>
              <w:rPr>
                <w:color w:val="000000"/>
                <w:sz w:val="24"/>
              </w:rPr>
              <w:t>1,933,600.00</w:t>
            </w:r>
          </w:p>
        </w:tc>
        <w:tc>
          <w:tcPr>
            <w:vAlign w:val="center"/>
          </w:tcPr>
          <w:p>
            <w:pPr>
              <w:jc w:val="right"/>
            </w:pPr>
            <w:r>
              <w:rPr>
                <w:color w:val="000000"/>
                <w:sz w:val="24"/>
              </w:rPr>
              <w:t>1.12</w:t>
            </w:r>
          </w:p>
        </w:tc>
      </w:tr>
      <w:tr>
        <w:tc>
          <w:tcPr>
            <w:vAlign w:val="center"/>
          </w:tcPr>
          <w:p>
            <w:pPr>
              <w:jc w:val="center"/>
            </w:pPr>
            <w:r>
              <w:rPr>
                <w:color w:val="000000"/>
                <w:sz w:val="24"/>
              </w:rPr>
              <w:t>6</w:t>
            </w:r>
          </w:p>
        </w:tc>
        <w:tc>
          <w:tcPr>
            <w:vAlign w:val="center"/>
          </w:tcPr>
          <w:p>
            <w:pPr>
              <w:jc w:val="center"/>
            </w:pPr>
            <w:r>
              <w:rPr>
                <w:color w:val="000000"/>
                <w:sz w:val="24"/>
              </w:rPr>
              <w:t>002281</w:t>
            </w:r>
          </w:p>
        </w:tc>
        <w:tc>
          <w:tcPr>
            <w:vAlign w:val="center"/>
          </w:tcPr>
          <w:p>
            <w:pPr>
              <w:jc w:val="center"/>
            </w:pPr>
            <w:r>
              <w:rPr>
                <w:color w:val="000000"/>
                <w:sz w:val="24"/>
              </w:rPr>
              <w:t>光迅科技</w:t>
            </w:r>
          </w:p>
        </w:tc>
        <w:tc>
          <w:tcPr>
            <w:vAlign w:val="center"/>
          </w:tcPr>
          <w:p>
            <w:pPr>
              <w:jc w:val="right"/>
            </w:pPr>
            <w:r>
              <w:rPr>
                <w:color w:val="000000"/>
                <w:sz w:val="24"/>
              </w:rPr>
              <w:t>60,000</w:t>
            </w:r>
          </w:p>
        </w:tc>
        <w:tc>
          <w:tcPr>
            <w:vAlign w:val="center"/>
          </w:tcPr>
          <w:p>
            <w:pPr>
              <w:jc w:val="right"/>
            </w:pPr>
            <w:r>
              <w:rPr>
                <w:color w:val="000000"/>
                <w:sz w:val="24"/>
              </w:rPr>
              <w:t>1,893,600.00</w:t>
            </w:r>
          </w:p>
        </w:tc>
        <w:tc>
          <w:tcPr>
            <w:vAlign w:val="center"/>
          </w:tcPr>
          <w:p>
            <w:pPr>
              <w:jc w:val="right"/>
            </w:pPr>
            <w:r>
              <w:rPr>
                <w:color w:val="000000"/>
                <w:sz w:val="24"/>
              </w:rPr>
              <w:t>1.10</w:t>
            </w:r>
          </w:p>
        </w:tc>
      </w:tr>
      <w:tr>
        <w:tc>
          <w:tcPr>
            <w:vAlign w:val="center"/>
          </w:tcPr>
          <w:p>
            <w:pPr>
              <w:jc w:val="center"/>
            </w:pPr>
            <w:r>
              <w:rPr>
                <w:color w:val="000000"/>
                <w:sz w:val="24"/>
              </w:rPr>
              <w:t>7</w:t>
            </w:r>
          </w:p>
        </w:tc>
        <w:tc>
          <w:tcPr>
            <w:vAlign w:val="center"/>
          </w:tcPr>
          <w:p>
            <w:pPr>
              <w:jc w:val="center"/>
            </w:pPr>
            <w:r>
              <w:rPr>
                <w:color w:val="000000"/>
                <w:sz w:val="24"/>
              </w:rPr>
              <w:t>600809</w:t>
            </w:r>
          </w:p>
        </w:tc>
        <w:tc>
          <w:tcPr>
            <w:vAlign w:val="center"/>
          </w:tcPr>
          <w:p>
            <w:pPr>
              <w:jc w:val="center"/>
            </w:pPr>
            <w:r>
              <w:rPr>
                <w:color w:val="000000"/>
                <w:sz w:val="24"/>
              </w:rPr>
              <w:t>山西汾酒</w:t>
            </w:r>
          </w:p>
        </w:tc>
        <w:tc>
          <w:tcPr>
            <w:vAlign w:val="center"/>
          </w:tcPr>
          <w:p>
            <w:pPr>
              <w:jc w:val="right"/>
            </w:pPr>
            <w:r>
              <w:rPr>
                <w:color w:val="000000"/>
                <w:sz w:val="24"/>
              </w:rPr>
              <w:t>30,000</w:t>
            </w:r>
          </w:p>
        </w:tc>
        <w:tc>
          <w:tcPr>
            <w:vAlign w:val="center"/>
          </w:tcPr>
          <w:p>
            <w:pPr>
              <w:jc w:val="right"/>
            </w:pPr>
            <w:r>
              <w:rPr>
                <w:color w:val="000000"/>
                <w:sz w:val="24"/>
              </w:rPr>
              <w:t>1,814,100.00</w:t>
            </w:r>
          </w:p>
        </w:tc>
        <w:tc>
          <w:tcPr>
            <w:vAlign w:val="center"/>
          </w:tcPr>
          <w:p>
            <w:pPr>
              <w:jc w:val="right"/>
            </w:pPr>
            <w:r>
              <w:rPr>
                <w:color w:val="000000"/>
                <w:sz w:val="24"/>
              </w:rPr>
              <w:t>1.06</w:t>
            </w:r>
          </w:p>
        </w:tc>
      </w:tr>
      <w:tr>
        <w:tc>
          <w:tcPr>
            <w:vAlign w:val="center"/>
          </w:tcPr>
          <w:p>
            <w:pPr>
              <w:jc w:val="center"/>
            </w:pPr>
            <w:r>
              <w:rPr>
                <w:color w:val="000000"/>
                <w:sz w:val="24"/>
              </w:rPr>
              <w:t>8</w:t>
            </w:r>
          </w:p>
        </w:tc>
        <w:tc>
          <w:tcPr>
            <w:vAlign w:val="center"/>
          </w:tcPr>
          <w:p>
            <w:pPr>
              <w:jc w:val="center"/>
            </w:pPr>
            <w:r>
              <w:rPr>
                <w:color w:val="000000"/>
                <w:sz w:val="24"/>
              </w:rPr>
              <w:t>002463</w:t>
            </w:r>
          </w:p>
        </w:tc>
        <w:tc>
          <w:tcPr>
            <w:vAlign w:val="center"/>
          </w:tcPr>
          <w:p>
            <w:pPr>
              <w:jc w:val="center"/>
            </w:pPr>
            <w:r>
              <w:rPr>
                <w:color w:val="000000"/>
                <w:sz w:val="24"/>
              </w:rPr>
              <w:t>沪电股份</w:t>
            </w:r>
          </w:p>
        </w:tc>
        <w:tc>
          <w:tcPr>
            <w:vAlign w:val="center"/>
          </w:tcPr>
          <w:p>
            <w:pPr>
              <w:jc w:val="right"/>
            </w:pPr>
            <w:r>
              <w:rPr>
                <w:color w:val="000000"/>
                <w:sz w:val="24"/>
              </w:rPr>
              <w:t>150,000</w:t>
            </w:r>
          </w:p>
        </w:tc>
        <w:tc>
          <w:tcPr>
            <w:vAlign w:val="center"/>
          </w:tcPr>
          <w:p>
            <w:pPr>
              <w:jc w:val="right"/>
            </w:pPr>
            <w:r>
              <w:rPr>
                <w:color w:val="000000"/>
                <w:sz w:val="24"/>
              </w:rPr>
              <w:t>1,729,500.00</w:t>
            </w:r>
          </w:p>
        </w:tc>
        <w:tc>
          <w:tcPr>
            <w:vAlign w:val="center"/>
          </w:tcPr>
          <w:p>
            <w:pPr>
              <w:jc w:val="right"/>
            </w:pPr>
            <w:r>
              <w:rPr>
                <w:color w:val="000000"/>
                <w:sz w:val="24"/>
              </w:rPr>
              <w:t>1.01</w:t>
            </w:r>
          </w:p>
        </w:tc>
      </w:tr>
      <w:tr>
        <w:tc>
          <w:tcPr>
            <w:vAlign w:val="center"/>
          </w:tcPr>
          <w:p>
            <w:pPr>
              <w:jc w:val="center"/>
            </w:pPr>
            <w:r>
              <w:rPr>
                <w:color w:val="000000"/>
                <w:sz w:val="24"/>
              </w:rPr>
              <w:t>9</w:t>
            </w:r>
          </w:p>
        </w:tc>
        <w:tc>
          <w:tcPr>
            <w:vAlign w:val="center"/>
          </w:tcPr>
          <w:p>
            <w:pPr>
              <w:jc w:val="center"/>
            </w:pPr>
            <w:r>
              <w:rPr>
                <w:color w:val="000000"/>
                <w:sz w:val="24"/>
              </w:rPr>
              <w:t>300608</w:t>
            </w:r>
          </w:p>
        </w:tc>
        <w:tc>
          <w:tcPr>
            <w:vAlign w:val="center"/>
          </w:tcPr>
          <w:p>
            <w:pPr>
              <w:jc w:val="center"/>
            </w:pPr>
            <w:r>
              <w:rPr>
                <w:color w:val="000000"/>
                <w:sz w:val="24"/>
              </w:rPr>
              <w:t>思特奇</w:t>
            </w:r>
          </w:p>
        </w:tc>
        <w:tc>
          <w:tcPr>
            <w:vAlign w:val="center"/>
          </w:tcPr>
          <w:p>
            <w:pPr>
              <w:jc w:val="right"/>
            </w:pPr>
            <w:r>
              <w:rPr>
                <w:color w:val="000000"/>
                <w:sz w:val="24"/>
              </w:rPr>
              <w:t>49,920</w:t>
            </w:r>
          </w:p>
        </w:tc>
        <w:tc>
          <w:tcPr>
            <w:vAlign w:val="center"/>
          </w:tcPr>
          <w:p>
            <w:pPr>
              <w:jc w:val="right"/>
            </w:pPr>
            <w:r>
              <w:rPr>
                <w:color w:val="000000"/>
                <w:sz w:val="24"/>
              </w:rPr>
              <w:t>1,370,304.00</w:t>
            </w:r>
          </w:p>
        </w:tc>
        <w:tc>
          <w:tcPr>
            <w:vAlign w:val="center"/>
          </w:tcPr>
          <w:p>
            <w:pPr>
              <w:jc w:val="right"/>
            </w:pPr>
            <w:r>
              <w:rPr>
                <w:color w:val="000000"/>
                <w:sz w:val="24"/>
              </w:rPr>
              <w:t>0.80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45,061,765.00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26.21</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45,061,765.00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26.21</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67,575,599.30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39.31</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30,717,000.00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17.87</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9,653,979.47</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5.62</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153,008,343.77</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89.01</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type="dxa" w:w="8868"/>
        <w:jc w:val="center"/>
        <w:tblLayout w:type="fixed"/>
        <w:tblCellMar>
          <w:top w:type="dxa" w:w="57"/>
          <w:bottom w:type="dxa" w:w="57"/>
        </w:tblCellMar>
        <w:tblLook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190205</w:t>
            </w:r>
          </w:p>
        </w:tc>
        <w:tc>
          <w:tcPr>
            <w:vAlign w:val="center"/>
          </w:tcPr>
          <w:p>
            <w:pPr>
              <w:jc w:val="center"/>
            </w:pPr>
            <w:r>
              <w:rPr>
                <w:color w:val="000000"/>
                <w:sz w:val="24"/>
              </w:rPr>
              <w:t>19国开05</w:t>
            </w:r>
          </w:p>
        </w:tc>
        <w:tc>
          <w:tcPr>
            <w:vAlign w:val="center"/>
          </w:tcPr>
          <w:p>
            <w:pPr>
              <w:jc w:val="right"/>
            </w:pPr>
            <w:r>
              <w:rPr>
                <w:color w:val="000000"/>
                <w:sz w:val="24"/>
              </w:rPr>
              <w:t>200,000</w:t>
            </w:r>
          </w:p>
        </w:tc>
        <w:tc>
          <w:tcPr>
            <w:vAlign w:val="center"/>
          </w:tcPr>
          <w:p>
            <w:pPr>
              <w:jc w:val="right"/>
            </w:pPr>
            <w:r>
              <w:rPr>
                <w:color w:val="000000"/>
                <w:sz w:val="24"/>
              </w:rPr>
              <w:t>19,832,000.00</w:t>
            </w:r>
          </w:p>
        </w:tc>
        <w:tc>
          <w:tcPr>
            <w:vAlign w:val="center"/>
          </w:tcPr>
          <w:p>
            <w:pPr>
              <w:jc w:val="right"/>
            </w:pPr>
            <w:r>
              <w:rPr>
                <w:color w:val="000000"/>
                <w:sz w:val="24"/>
              </w:rPr>
              <w:t>11.54</w:t>
            </w:r>
          </w:p>
        </w:tc>
      </w:tr>
      <w:tr>
        <w:tc>
          <w:tcPr>
            <w:vAlign w:val="center"/>
          </w:tcPr>
          <w:p>
            <w:pPr>
              <w:jc w:val="center"/>
            </w:pPr>
            <w:r>
              <w:rPr>
                <w:color w:val="000000"/>
                <w:sz w:val="24"/>
              </w:rPr>
              <w:t>2</w:t>
            </w:r>
          </w:p>
        </w:tc>
        <w:tc>
          <w:tcPr>
            <w:vAlign w:val="center"/>
          </w:tcPr>
          <w:p>
            <w:pPr>
              <w:jc w:val="center"/>
            </w:pPr>
            <w:r>
              <w:rPr>
                <w:color w:val="000000"/>
                <w:sz w:val="24"/>
              </w:rPr>
              <w:t>108603</w:t>
            </w:r>
          </w:p>
        </w:tc>
        <w:tc>
          <w:tcPr>
            <w:vAlign w:val="center"/>
          </w:tcPr>
          <w:p>
            <w:pPr>
              <w:jc w:val="center"/>
            </w:pPr>
            <w:r>
              <w:rPr>
                <w:color w:val="000000"/>
                <w:sz w:val="24"/>
              </w:rPr>
              <w:t>国开1804</w:t>
            </w:r>
          </w:p>
        </w:tc>
        <w:tc>
          <w:tcPr>
            <w:vAlign w:val="center"/>
          </w:tcPr>
          <w:p>
            <w:pPr>
              <w:jc w:val="right"/>
            </w:pPr>
            <w:r>
              <w:rPr>
                <w:color w:val="000000"/>
                <w:sz w:val="24"/>
              </w:rPr>
              <w:t>151,530</w:t>
            </w:r>
          </w:p>
        </w:tc>
        <w:tc>
          <w:tcPr>
            <w:vAlign w:val="center"/>
          </w:tcPr>
          <w:p>
            <w:pPr>
              <w:jc w:val="right"/>
            </w:pPr>
            <w:r>
              <w:rPr>
                <w:color w:val="000000"/>
                <w:sz w:val="24"/>
              </w:rPr>
              <w:t>15,228,765.00</w:t>
            </w:r>
          </w:p>
        </w:tc>
        <w:tc>
          <w:tcPr>
            <w:vAlign w:val="center"/>
          </w:tcPr>
          <w:p>
            <w:pPr>
              <w:jc w:val="right"/>
            </w:pPr>
            <w:r>
              <w:rPr>
                <w:color w:val="000000"/>
                <w:sz w:val="24"/>
              </w:rPr>
              <w:t>8.86</w:t>
            </w:r>
          </w:p>
        </w:tc>
      </w:tr>
      <w:tr>
        <w:tc>
          <w:tcPr>
            <w:vAlign w:val="center"/>
          </w:tcPr>
          <w:p>
            <w:pPr>
              <w:jc w:val="center"/>
            </w:pPr>
            <w:r>
              <w:rPr>
                <w:color w:val="000000"/>
                <w:sz w:val="24"/>
              </w:rPr>
              <w:t>3</w:t>
            </w:r>
          </w:p>
        </w:tc>
        <w:tc>
          <w:tcPr>
            <w:vAlign w:val="center"/>
          </w:tcPr>
          <w:p>
            <w:pPr>
              <w:jc w:val="center"/>
            </w:pPr>
            <w:r>
              <w:rPr>
                <w:color w:val="000000"/>
                <w:sz w:val="24"/>
              </w:rPr>
              <w:t>101801068</w:t>
            </w:r>
          </w:p>
        </w:tc>
        <w:tc>
          <w:tcPr>
            <w:vAlign w:val="center"/>
          </w:tcPr>
          <w:p>
            <w:pPr>
              <w:jc w:val="center"/>
            </w:pPr>
            <w:r>
              <w:rPr>
                <w:color w:val="000000"/>
                <w:sz w:val="24"/>
              </w:rPr>
              <w:t>18浙能源MTN003</w:t>
            </w:r>
          </w:p>
        </w:tc>
        <w:tc>
          <w:tcPr>
            <w:vAlign w:val="center"/>
          </w:tcPr>
          <w:p>
            <w:pPr>
              <w:jc w:val="right"/>
            </w:pPr>
            <w:r>
              <w:rPr>
                <w:color w:val="000000"/>
                <w:sz w:val="24"/>
              </w:rPr>
              <w:t>100,000</w:t>
            </w:r>
          </w:p>
        </w:tc>
        <w:tc>
          <w:tcPr>
            <w:vAlign w:val="center"/>
          </w:tcPr>
          <w:p>
            <w:pPr>
              <w:jc w:val="right"/>
            </w:pPr>
            <w:r>
              <w:rPr>
                <w:color w:val="000000"/>
                <w:sz w:val="24"/>
              </w:rPr>
              <w:t>10,324,000.00</w:t>
            </w:r>
          </w:p>
        </w:tc>
        <w:tc>
          <w:tcPr>
            <w:vAlign w:val="center"/>
          </w:tcPr>
          <w:p>
            <w:pPr>
              <w:jc w:val="right"/>
            </w:pPr>
            <w:r>
              <w:rPr>
                <w:color w:val="000000"/>
                <w:sz w:val="24"/>
              </w:rPr>
              <w:t>6.01</w:t>
            </w:r>
          </w:p>
        </w:tc>
      </w:tr>
      <w:tr>
        <w:tc>
          <w:tcPr>
            <w:vAlign w:val="center"/>
          </w:tcPr>
          <w:p>
            <w:pPr>
              <w:jc w:val="center"/>
            </w:pPr>
            <w:r>
              <w:rPr>
                <w:color w:val="000000"/>
                <w:sz w:val="24"/>
              </w:rPr>
              <w:t>4</w:t>
            </w:r>
          </w:p>
        </w:tc>
        <w:tc>
          <w:tcPr>
            <w:vAlign w:val="center"/>
          </w:tcPr>
          <w:p>
            <w:pPr>
              <w:jc w:val="center"/>
            </w:pPr>
            <w:r>
              <w:rPr>
                <w:color w:val="000000"/>
                <w:sz w:val="24"/>
              </w:rPr>
              <w:t>101773019</w:t>
            </w:r>
          </w:p>
        </w:tc>
        <w:tc>
          <w:tcPr>
            <w:vAlign w:val="center"/>
          </w:tcPr>
          <w:p>
            <w:pPr>
              <w:jc w:val="center"/>
            </w:pPr>
            <w:r>
              <w:rPr>
                <w:color w:val="000000"/>
                <w:sz w:val="24"/>
              </w:rPr>
              <w:t>17北辰实业MTN001</w:t>
            </w:r>
          </w:p>
        </w:tc>
        <w:tc>
          <w:tcPr>
            <w:vAlign w:val="center"/>
          </w:tcPr>
          <w:p>
            <w:pPr>
              <w:jc w:val="right"/>
            </w:pPr>
            <w:r>
              <w:rPr>
                <w:color w:val="000000"/>
                <w:sz w:val="24"/>
              </w:rPr>
              <w:t>100,000</w:t>
            </w:r>
          </w:p>
        </w:tc>
        <w:tc>
          <w:tcPr>
            <w:vAlign w:val="center"/>
          </w:tcPr>
          <w:p>
            <w:pPr>
              <w:jc w:val="right"/>
            </w:pPr>
            <w:r>
              <w:rPr>
                <w:color w:val="000000"/>
                <w:sz w:val="24"/>
              </w:rPr>
              <w:t>10,248,000.00</w:t>
            </w:r>
          </w:p>
        </w:tc>
        <w:tc>
          <w:tcPr>
            <w:vAlign w:val="center"/>
          </w:tcPr>
          <w:p>
            <w:pPr>
              <w:jc w:val="right"/>
            </w:pPr>
            <w:r>
              <w:rPr>
                <w:color w:val="000000"/>
                <w:sz w:val="24"/>
              </w:rPr>
              <w:t>5.96</w:t>
            </w:r>
          </w:p>
        </w:tc>
      </w:tr>
      <w:tr>
        <w:tc>
          <w:tcPr>
            <w:vAlign w:val="center"/>
          </w:tcPr>
          <w:p>
            <w:pPr>
              <w:jc w:val="center"/>
            </w:pPr>
            <w:r>
              <w:rPr>
                <w:color w:val="000000"/>
                <w:sz w:val="24"/>
              </w:rPr>
              <w:t>5</w:t>
            </w:r>
          </w:p>
        </w:tc>
        <w:tc>
          <w:tcPr>
            <w:vAlign w:val="center"/>
          </w:tcPr>
          <w:p>
            <w:pPr>
              <w:jc w:val="center"/>
            </w:pPr>
            <w:r>
              <w:rPr>
                <w:color w:val="000000"/>
                <w:sz w:val="24"/>
              </w:rPr>
              <w:t>112730</w:t>
            </w:r>
          </w:p>
        </w:tc>
        <w:tc>
          <w:tcPr>
            <w:vAlign w:val="center"/>
          </w:tcPr>
          <w:p>
            <w:pPr>
              <w:jc w:val="center"/>
            </w:pPr>
            <w:r>
              <w:rPr>
                <w:color w:val="000000"/>
                <w:sz w:val="24"/>
              </w:rPr>
              <w:t>18粤科02</w:t>
            </w:r>
          </w:p>
        </w:tc>
        <w:tc>
          <w:tcPr>
            <w:vAlign w:val="center"/>
          </w:tcPr>
          <w:p>
            <w:pPr>
              <w:jc w:val="right"/>
            </w:pPr>
            <w:r>
              <w:rPr>
                <w:color w:val="000000"/>
                <w:sz w:val="24"/>
              </w:rPr>
              <w:t>100,000</w:t>
            </w:r>
          </w:p>
        </w:tc>
        <w:tc>
          <w:tcPr>
            <w:vAlign w:val="center"/>
          </w:tcPr>
          <w:p>
            <w:pPr>
              <w:jc w:val="right"/>
            </w:pPr>
            <w:r>
              <w:rPr>
                <w:color w:val="000000"/>
                <w:sz w:val="24"/>
              </w:rPr>
              <w:t>10,243,000.00</w:t>
            </w:r>
          </w:p>
        </w:tc>
        <w:tc>
          <w:tcPr>
            <w:vAlign w:val="center"/>
          </w:tcPr>
          <w:p>
            <w:pPr>
              <w:jc w:val="right"/>
            </w:pPr>
            <w:r>
              <w:rPr>
                <w:color w:val="000000"/>
                <w:sz w:val="24"/>
              </w:rPr>
              <w:t>5.96</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lastRenderedPageBreak/>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rsidRPr="007F52FA">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type="dxa" w:w="8868"/>
        <w:jc w:val="center"/>
        <w:tblLook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66,886.57</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500,000.00</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2,884,549.50</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12,107.58</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3,463,543.65</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7F52FA">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tbl>
      <w:tblPr>
        <w:tblStyle w:val="af2"/>
        <w:tblW w:type="dxa" w:w="8868"/>
        <w:jc w:val="center"/>
        <w:tblCellMar>
          <w:top w:type="dxa" w:w="57"/>
          <w:bottom w:type="dxa" w:w="57"/>
        </w:tblCellMar>
        <w:tblLook w:val="04A0"/>
      </w:tblPr>
      <w:tblGrid>
        <w:gridCol w:w="1161"/>
        <w:gridCol w:w="2585"/>
        <w:gridCol w:w="1789"/>
        <w:gridCol w:w="1867"/>
        <w:gridCol w:w="1840"/>
      </w:tblGrid>
      <w:tr w:rsidR="001D5CD0" w:rsidRPr="007F52FA" w:rsidTr="00837861">
        <w:trPr>
          <w:jc w:val="center"/>
        </w:trPr>
        <w:tc>
          <w:tcPr>
            <w:tcW w:type="dxa" w:w="944"/>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type="dxa" w:w="2568"/>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type="dxa" w:w="1665"/>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type="dxa" w:w="1727"/>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type="dxa" w:w="1609"/>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tc>
          <w:tcPr>
            <w:vAlign w:val="center"/>
          </w:tcPr>
          <w:p>
            <w:pPr>
              <w:jc w:val="center"/>
            </w:pPr>
            <w:r>
              <w:rPr>
                <w:rFonts w:eastAsiaTheme="minorEastAsia"/>
                <w:color w:val="000000"/>
                <w:sz w:val="24"/>
              </w:rPr>
              <w:t>1</w:t>
            </w:r>
          </w:p>
        </w:tc>
        <w:tc>
          <w:tcPr>
            <w:vAlign w:val="center"/>
          </w:tcPr>
          <w:p>
            <w:pPr>
              <w:jc w:val="center"/>
            </w:pPr>
            <w:r>
              <w:rPr>
                <w:rFonts w:eastAsiaTheme="minorEastAsia"/>
                <w:color w:val="000000"/>
                <w:sz w:val="24"/>
              </w:rPr>
              <w:t>128016</w:t>
            </w:r>
          </w:p>
        </w:tc>
        <w:tc>
          <w:tcPr>
            <w:vAlign w:val="center"/>
          </w:tcPr>
          <w:p>
            <w:pPr>
              <w:jc w:val="center"/>
            </w:pPr>
            <w:r>
              <w:rPr>
                <w:rFonts w:eastAsiaTheme="minorEastAsia"/>
                <w:color w:val="000000"/>
                <w:sz w:val="24"/>
              </w:rPr>
              <w:t>雨虹转债</w:t>
            </w:r>
          </w:p>
        </w:tc>
        <w:tc>
          <w:tcPr>
            <w:vAlign w:val="center"/>
          </w:tcPr>
          <w:p>
            <w:pPr>
              <w:jc w:val="right"/>
            </w:pPr>
            <w:r>
              <w:rPr>
                <w:rFonts w:eastAsiaTheme="minorEastAsia"/>
                <w:color w:val="000000"/>
                <w:sz w:val="24"/>
              </w:rPr>
              <w:t>2,321,419.50</w:t>
            </w:r>
          </w:p>
        </w:tc>
        <w:tc>
          <w:tcPr>
            <w:vAlign w:val="center"/>
          </w:tcPr>
          <w:p>
            <w:pPr>
              <w:jc w:val="right"/>
            </w:pPr>
            <w:r>
              <w:rPr>
                <w:rFonts w:eastAsiaTheme="minorEastAsia"/>
                <w:color w:val="000000"/>
                <w:sz w:val="24"/>
              </w:rPr>
              <w:t>1.35</w:t>
            </w:r>
          </w:p>
        </w:tc>
      </w:tr>
      <w:tr>
        <w:tc>
          <w:tcPr>
            <w:vAlign w:val="center"/>
          </w:tcPr>
          <w:p>
            <w:pPr>
              <w:jc w:val="center"/>
            </w:pPr>
            <w:r>
              <w:rPr>
                <w:rFonts w:eastAsiaTheme="minorEastAsia"/>
                <w:color w:val="000000"/>
                <w:sz w:val="24"/>
              </w:rPr>
              <w:t>2</w:t>
            </w:r>
          </w:p>
        </w:tc>
        <w:tc>
          <w:tcPr>
            <w:vAlign w:val="center"/>
          </w:tcPr>
          <w:p>
            <w:pPr>
              <w:jc w:val="center"/>
            </w:pPr>
            <w:r>
              <w:rPr>
                <w:rFonts w:eastAsiaTheme="minorEastAsia"/>
                <w:color w:val="000000"/>
                <w:sz w:val="24"/>
              </w:rPr>
              <w:t>113512</w:t>
            </w:r>
          </w:p>
        </w:tc>
        <w:tc>
          <w:tcPr>
            <w:vAlign w:val="center"/>
          </w:tcPr>
          <w:p>
            <w:pPr>
              <w:jc w:val="center"/>
            </w:pPr>
            <w:r>
              <w:rPr>
                <w:rFonts w:eastAsiaTheme="minorEastAsia"/>
                <w:color w:val="000000"/>
                <w:sz w:val="24"/>
              </w:rPr>
              <w:t>景旺转债</w:t>
            </w:r>
          </w:p>
        </w:tc>
        <w:tc>
          <w:tcPr>
            <w:vAlign w:val="center"/>
          </w:tcPr>
          <w:p>
            <w:pPr>
              <w:jc w:val="right"/>
            </w:pPr>
            <w:r>
              <w:rPr>
                <w:rFonts w:eastAsiaTheme="minorEastAsia"/>
                <w:color w:val="000000"/>
                <w:sz w:val="24"/>
              </w:rPr>
              <w:t>1,291,700.00</w:t>
            </w:r>
          </w:p>
        </w:tc>
        <w:tc>
          <w:tcPr>
            <w:vAlign w:val="center"/>
          </w:tcPr>
          <w:p>
            <w:pPr>
              <w:jc w:val="right"/>
            </w:pPr>
            <w:r>
              <w:rPr>
                <w:rFonts w:eastAsiaTheme="minorEastAsia"/>
                <w:color w:val="000000"/>
                <w:sz w:val="24"/>
              </w:rPr>
              <w:t>0.75</w:t>
            </w:r>
          </w:p>
        </w:tc>
      </w:tr>
    </w:tbl>
    <w:p w:rsidP="007C14DF" w:rsidR="001D5CD0" w:rsidRDefault="001D5CD0"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P="007C14DF" w:rsidR="001D5CD0" w:rsidRDefault="001D5CD0" w:rsidRPr="007F52FA">
      <w:pPr>
        <w:spacing w:before="29" w:line="288" w:lineRule="auto"/>
        <w:rPr>
          <w:rFonts w:eastAsiaTheme="minorEastAsia"/>
          <w:sz w:val="24"/>
        </w:rPr>
      </w:pPr>
    </w:p>
    <w:p w:rsidP="007C14DF" w:rsidR="001D5CD0" w:rsidRDefault="001D5CD0" w:rsidRPr="007F52FA">
      <w:pPr>
        <w:spacing w:before="29" w:line="288" w:lineRule="auto"/>
        <w:rPr>
          <w:rFonts w:eastAsiaTheme="minorEastAsia"/>
          <w:color w:val="000000"/>
          <w:kern w:val="0"/>
          <w:sz w:val="24"/>
        </w:rPr>
      </w:pPr>
      <w:r w:rsidRPr="007F52FA">
        <w:rPr>
          <w:rFonts w:eastAsiaTheme="minorEastAsia"/>
          <w:color w:val="000000"/>
          <w:kern w:val="0"/>
          <w:sz w:val="24"/>
        </w:rPr>
        <w:lastRenderedPageBreak/>
        <w:t/>
      </w: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C51B4E" w:rsidRDefault="00C51B4E" w:rsidRPr="00C51B4E">
      <w:pPr>
        <w:pStyle w:val="1"/>
        <w:spacing w:afterLines="100" w:beforeLines="100" w:line="360" w:lineRule="auto"/>
        <w:jc w:val="center"/>
        <w:rPr>
          <w:rFonts w:eastAsiaTheme="minorEastAsia"/>
          <w:color w:themeColor="text1" w:val="000000"/>
          <w:kern w:val="0"/>
          <w:sz w:val="21"/>
          <w:szCs w:val="21"/>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Pr="00C51B4E">
        <w:rPr>
          <w:rFonts w:eastAsiaTheme="minorEastAsia" w:hint="eastAsia"/>
          <w:color w:themeColor="text1" w:val="000000"/>
          <w:kern w:val="0"/>
          <w:sz w:val="21"/>
          <w:szCs w:val="21"/>
        </w:rPr>
        <w:t>基金中基金</w:t>
      </w:r>
    </w:p>
    <w:p w:rsidP="00C51B4E" w:rsidR="00C51B4E" w:rsidRDefault="00C51B4E" w:rsidRPr="00C51B4E">
      <w:pPr>
        <w:adjustRightInd w:val="0"/>
        <w:snapToGrid w:val="0"/>
        <w:spacing w:line="360" w:lineRule="auto"/>
        <w:rPr>
          <w:rFonts w:eastAsiaTheme="minorEastAsia"/>
          <w:b/>
          <w:color w:themeColor="text1" w:val="000000"/>
          <w:kern w:val="0"/>
          <w:szCs w:val="21"/>
        </w:rPr>
      </w:pPr>
      <w:r w:rsidRPr="00C51B4E">
        <w:rPr>
          <w:rFonts w:eastAsiaTheme="minorEastAsia"/>
          <w:b/>
          <w:color w:themeColor="text1" w:val="000000"/>
          <w:kern w:val="0"/>
          <w:szCs w:val="21"/>
        </w:rPr>
        <w:t>6.</w:t>
      </w:r>
      <w:r w:rsidRPr="00C51B4E">
        <w:rPr>
          <w:rFonts w:eastAsiaTheme="minorEastAsia" w:hint="eastAsia"/>
          <w:b/>
          <w:color w:themeColor="text1" w:val="000000"/>
          <w:kern w:val="0"/>
          <w:szCs w:val="21"/>
        </w:rPr>
        <w:t/>
      </w:r>
      <w:r w:rsidRPr="00C51B4E">
        <w:rPr>
          <w:rFonts w:eastAsiaTheme="minorEastAsia"/>
          <w:b/>
          <w:color w:themeColor="text1" w:val="000000"/>
          <w:kern w:val="0"/>
          <w:szCs w:val="21"/>
        </w:rPr>
        <w:t>1</w:t>
      </w:r>
      <w:r w:rsidRPr="00C51B4E">
        <w:rPr>
          <w:rFonts w:eastAsiaTheme="minorEastAsia" w:hint="eastAsia"/>
          <w:b/>
          <w:color w:themeColor="text1" w:val="000000"/>
          <w:kern w:val="0"/>
          <w:szCs w:val="21"/>
        </w:rPr>
        <w:t xml:space="preserve"> </w:t>
      </w:r>
      <w:r w:rsidRPr="00C51B4E">
        <w:rPr>
          <w:rFonts w:eastAsiaTheme="minorEastAsia" w:hint="eastAsia"/>
          <w:b/>
          <w:color w:themeColor="text1" w:val="000000"/>
          <w:kern w:val="0"/>
          <w:szCs w:val="21"/>
        </w:rPr>
        <w:t>报告期末按公允价值占基金资产净值比例大小排序的前十名基金投资明细</w:t>
      </w:r>
    </w:p>
    <w:p w:rsidP="00C51B4E" w:rsidR="00C51B4E" w:rsidRDefault="00C51B4E" w:rsidRPr="00C51B4E">
      <w:pPr>
        <w:autoSpaceDE w:val="0"/>
        <w:autoSpaceDN w:val="0"/>
        <w:adjustRightInd w:val="0"/>
        <w:spacing w:line="360" w:lineRule="auto"/>
        <w:ind w:firstLine="420" w:firstLineChars="200"/>
        <w:jc w:val="left"/>
        <w:rPr>
          <w:rFonts w:eastAsiaTheme="minorEastAsia"/>
          <w:color w:themeColor="text1" w:val="000000"/>
          <w:szCs w:val="21"/>
        </w:rPr>
      </w:pPr>
      <w:r w:rsidRPr="00C51B4E">
        <w:rPr>
          <w:rFonts w:eastAsiaTheme="minorEastAsia"/>
          <w:color w:themeColor="text1" w:val="000000"/>
          <w:szCs w:val="21"/>
        </w:rPr>
        <w:t>本基金本报告期末未持有基金。</w:t>
      </w:r>
    </w:p>
    <w:p w:rsidP="000A2988" w:rsidR="00C51B4E" w:rsidRDefault="00C51B4E" w:rsidRPr="00C51B4E">
      <w:pPr>
        <w:adjustRightInd w:val="0"/>
        <w:snapToGrid w:val="0"/>
        <w:spacing w:beforeLines="50" w:line="360" w:lineRule="auto"/>
        <w:rPr>
          <w:rFonts w:eastAsiaTheme="minorEastAsia"/>
          <w:b/>
          <w:color w:themeColor="text1" w:val="000000"/>
          <w:kern w:val="0"/>
          <w:szCs w:val="21"/>
        </w:rPr>
      </w:pPr>
      <w:r w:rsidRPr="00C51B4E">
        <w:rPr>
          <w:rFonts w:eastAsiaTheme="minorEastAsia"/>
          <w:b/>
          <w:color w:themeColor="text1" w:val="000000"/>
          <w:kern w:val="0"/>
          <w:szCs w:val="21"/>
        </w:rPr>
        <w:t>6.</w:t>
      </w:r>
      <w:r w:rsidRPr="00C51B4E">
        <w:rPr>
          <w:rFonts w:eastAsiaTheme="minorEastAsia" w:hint="eastAsia"/>
          <w:b/>
          <w:color w:themeColor="text1" w:val="000000"/>
          <w:kern w:val="0"/>
          <w:szCs w:val="21"/>
        </w:rPr>
        <w:t/>
      </w:r>
      <w:r w:rsidRPr="00C51B4E">
        <w:rPr>
          <w:rFonts w:eastAsiaTheme="minorEastAsia"/>
          <w:b/>
          <w:color w:themeColor="text1" w:val="000000"/>
          <w:kern w:val="0"/>
          <w:szCs w:val="21"/>
        </w:rPr>
        <w:t>2</w:t>
      </w:r>
      <w:r w:rsidRPr="00C51B4E">
        <w:rPr>
          <w:rFonts w:eastAsiaTheme="minorEastAsia" w:hint="eastAsia"/>
          <w:b/>
          <w:color w:themeColor="text1" w:val="000000"/>
          <w:kern w:val="0"/>
          <w:szCs w:val="21"/>
        </w:rPr>
        <w:t xml:space="preserve"> </w:t>
      </w:r>
      <w:r w:rsidRPr="00C51B4E">
        <w:rPr>
          <w:rFonts w:eastAsiaTheme="minorEastAsia" w:hint="eastAsia"/>
          <w:b/>
          <w:color w:themeColor="text1" w:val="000000"/>
          <w:kern w:val="0"/>
          <w:szCs w:val="21"/>
        </w:rPr>
        <w:t>当期交易及持有基金产生的费用</w:t>
      </w:r>
    </w:p>
    <w:p w:rsidP="00C51B4E" w:rsidR="00C51B4E" w:rsidRDefault="00C51B4E" w:rsidRPr="00C51B4E">
      <w:pPr>
        <w:autoSpaceDE w:val="0"/>
        <w:autoSpaceDN w:val="0"/>
        <w:adjustRightInd w:val="0"/>
        <w:spacing w:line="360" w:lineRule="auto"/>
        <w:ind w:firstLine="420" w:firstLineChars="200"/>
        <w:jc w:val="left"/>
        <w:rPr>
          <w:rFonts w:eastAsiaTheme="minorEastAsia"/>
          <w:color w:themeColor="text1" w:val="000000"/>
          <w:szCs w:val="21"/>
        </w:rPr>
      </w:pPr>
      <w:r w:rsidRPr="00C51B4E">
        <w:rPr>
          <w:rFonts w:eastAsiaTheme="minorEastAsia"/>
          <w:color w:themeColor="text1" w:val="000000"/>
          <w:szCs w:val="21"/>
        </w:rPr>
        <w:t>本基金本报告期内未交易或持有基金。</w:t>
      </w:r>
    </w:p>
    <w:p w:rsidP="000A2988" w:rsidR="00C51B4E" w:rsidRDefault="00C51B4E" w:rsidRPr="00C51B4E">
      <w:pPr>
        <w:adjustRightInd w:val="0"/>
        <w:snapToGrid w:val="0"/>
        <w:spacing w:beforeLines="50" w:line="360" w:lineRule="auto"/>
        <w:rPr>
          <w:rFonts w:eastAsiaTheme="minorEastAsia"/>
          <w:b/>
          <w:color w:themeColor="text1" w:val="000000"/>
          <w:kern w:val="0"/>
          <w:szCs w:val="21"/>
        </w:rPr>
      </w:pPr>
      <w:r w:rsidRPr="00C51B4E">
        <w:rPr>
          <w:rFonts w:eastAsiaTheme="minorEastAsia"/>
          <w:b/>
          <w:color w:themeColor="text1" w:val="000000"/>
          <w:kern w:val="0"/>
          <w:szCs w:val="21"/>
        </w:rPr>
        <w:t>6.</w:t>
      </w:r>
      <w:r w:rsidRPr="00C51B4E">
        <w:rPr>
          <w:rFonts w:eastAsiaTheme="minorEastAsia" w:hint="eastAsia"/>
          <w:b/>
          <w:color w:themeColor="text1" w:val="000000"/>
          <w:kern w:val="0"/>
          <w:szCs w:val="21"/>
        </w:rPr>
        <w:t/>
      </w:r>
      <w:r w:rsidRPr="00C51B4E">
        <w:rPr>
          <w:rFonts w:eastAsiaTheme="minorEastAsia"/>
          <w:b/>
          <w:color w:themeColor="text1" w:val="000000"/>
          <w:kern w:val="0"/>
          <w:szCs w:val="21"/>
        </w:rPr>
        <w:t>3</w:t>
      </w:r>
      <w:r w:rsidRPr="00C51B4E">
        <w:rPr>
          <w:rFonts w:eastAsiaTheme="minorEastAsia" w:hint="eastAsia"/>
          <w:b/>
          <w:color w:themeColor="text1" w:val="000000"/>
          <w:kern w:val="0"/>
          <w:szCs w:val="21"/>
        </w:rPr>
        <w:t xml:space="preserve"> </w:t>
      </w:r>
      <w:r w:rsidRPr="00C51B4E">
        <w:rPr>
          <w:rFonts w:eastAsiaTheme="minorEastAsia" w:hint="eastAsia"/>
          <w:b/>
          <w:color w:themeColor="text1" w:val="000000"/>
          <w:kern w:val="0"/>
          <w:szCs w:val="21"/>
        </w:rPr>
        <w:t>本报告期持有的基金发生的重大影响事件</w:t>
      </w:r>
    </w:p>
    <w:tbl>
      <w:tblPr>
        <w:tblStyle w:val="af2"/>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036"/>
      </w:tblGrid>
      <w:tr w:rsidR="00C51B4E" w:rsidRPr="00C51B4E" w:rsidTr="00F103C8">
        <w:tc>
          <w:tcPr>
            <w:tcW w:type="dxa" w:w="9036"/>
          </w:tcPr>
          <w:p w:rsidP="00C51B4E" w:rsidR="00C51B4E" w:rsidRDefault="00C51B4E" w:rsidRPr="00C51B4E">
            <w:pPr>
              <w:autoSpaceDE w:val="0"/>
              <w:autoSpaceDN w:val="0"/>
              <w:adjustRightInd w:val="0"/>
              <w:spacing w:line="360" w:lineRule="auto"/>
              <w:ind w:firstLine="420" w:firstLineChars="200"/>
              <w:jc w:val="left"/>
              <w:rPr>
                <w:rFonts w:eastAsiaTheme="minorEastAsia"/>
                <w:color w:themeColor="text1" w:val="000000"/>
                <w:szCs w:val="21"/>
              </w:rPr>
            </w:pPr>
            <w:r w:rsidRPr="00C51B4E">
              <w:rPr>
                <w:rFonts w:eastAsiaTheme="minorEastAsia"/>
                <w:color w:themeColor="text1" w:val="000000"/>
                <w:szCs w:val="21"/>
              </w:rPr>
              <w:t/>
            </w:r>
            <w:r w:rsidRPr="00C51B4E">
              <w:rPr>
                <w:rFonts w:eastAsiaTheme="minorEastAsia" w:hint="eastAsia"/>
                <w:color w:themeColor="text1" w:val="000000"/>
                <w:szCs w:val="21"/>
              </w:rPr>
              <w:t/>
            </w:r>
            <w:r w:rsidRPr="00C51B4E">
              <w:rPr>
                <w:rFonts w:eastAsiaTheme="minorEastAsia"/>
                <w:color w:themeColor="text1" w:val="000000"/>
                <w:szCs w:val="21"/>
              </w:rPr>
              <w:t/>
            </w:r>
            <w:r w:rsidRPr="00C51B4E">
              <w:rPr>
                <w:rFonts w:eastAsiaTheme="minorEastAsia" w:hint="eastAsia"/>
                <w:color w:themeColor="text1" w:val="000000"/>
                <w:szCs w:val="21"/>
              </w:rPr>
              <w:t>无。</w:t>
            </w:r>
          </w:p>
        </w:tc>
      </w:tr>
    </w:tbl>
    <w:p w:rsidP="000A2988" w:rsidR="009238DB" w:rsidRDefault="00C51B4E" w:rsidRPr="007F52FA">
      <w:pPr>
        <w:pStyle w:val="1"/>
        <w:spacing w:afterLines="100"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§7</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交银双利债券A/B</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交银双利债券C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144,310,502.43</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11,404,170.10</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1,062,069.99</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621,462.16</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11,527,048.05</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855,132.32</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lastRenderedPageBreak/>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133,845,524.37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11,170,499.94</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Lines="100"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175E3A" w:rsidRDefault="009238DB" w:rsidRPr="007032A6">
      <w:pPr>
        <w:pStyle w:val="1"/>
        <w:spacing w:afterLines="100"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bookmarkStart w:id="2" w:name="_GoBack"/>
      <w:bookmarkEnd w:id="2"/>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1、中国证监会批准交银施罗德双利债券证券投资基金募集的文件；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2、《交银施罗德双利债券证券投资基金基金合同》；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3、《交银施罗德双利债券证券投资基金招募说明书》；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4、《交银施罗德双利债券证券投资基金托管协议》；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5、关于募集交银施罗德双利债券证券投资基金之法律意见书；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8、报告期内交银施罗德双利债券证券投资基金在指定报刊上各项公告的原稿。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A1E" w:rsidRDefault="001B5A1E">
      <w:r>
        <w:separator/>
      </w:r>
    </w:p>
  </w:endnote>
  <w:endnote w:type="continuationSeparator" w:id="0">
    <w:p w:rsidR="001B5A1E" w:rsidRDefault="001B5A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0A2988">
      <w:rPr>
        <w:noProof/>
        <w:kern w:val="0"/>
        <w:szCs w:val="21"/>
      </w:rPr>
      <w:t>21</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0A2988">
      <w:rPr>
        <w:noProof/>
        <w:kern w:val="0"/>
        <w:szCs w:val="21"/>
      </w:rPr>
      <w:t>28</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6"/>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1B5A1E" w:rsidRDefault="001B5A1E">
      <w:r>
        <w:separator/>
      </w:r>
    </w:p>
  </w:footnote>
  <w:footnote w:id="0" w:type="continuationSeparator">
    <w:p w:rsidR="001B5A1E" w:rsidRDefault="001B5A1E">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交银施罗德双利债券证券投资基金2019年第1季度报告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0" w:defUnhideWhenUsed="1">
    <w:lsdException w:name="Normal" w:qFormat="1" w:semiHidden="0" w:unhideWhenUsed="0"/>
    <w:lsdException w:name="heading 1" w:qFormat="1" w:semiHidden="0" w:uiPriority="99" w:unhideWhenUsed="0"/>
    <w:lsdException w:name="heading 2" w:qFormat="1" w:semiHidden="0" w:unhideWhenUsed="0"/>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qFormat="1" w:semiHidden="0" w:unhideWhenUsed="0"/>
    <w:lsdException w:name="Subtitle" w:qFormat="1" w:semiHidden="0" w:unhideWhenUsed="0"/>
    <w:lsdException w:name="Salutation" w:semiHidden="0" w:unhideWhenUsed="0"/>
    <w:lsdException w:name="Date" w:semiHidden="0" w:unhideWhenUsed="0"/>
    <w:lsdException w:name="Body Text First Indent" w:semiHidden="0" w:unhideWhenUsed="0"/>
    <w:lsdException w:name="Strong" w:qFormat="1" w:semiHidden="0" w:uiPriority="22" w:unhideWhenUsed="0"/>
    <w:lsdException w:name="Emphasis" w:qFormat="1" w:semiHidden="0" w:unhideWhenUsed="0"/>
    <w:lsdException w:name="Plain Text" w:uiPriority="99"/>
    <w:lsdException w:name="Table Grid" w:qFormat="1" w:semiHidden="0" w:unhideWhenUsed="0"/>
    <w:lsdException w:name="Placeholder Text" w:uiPriority="99"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r="http://schemas.openxmlformats.org/officeDocument/2006/relationships" xmlns:w="http://schemas.openxmlformats.org/wordprocessingml/2006/main">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1B44A-4F1F-404E-8194-4BCDA7DFD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208</TotalTime>
  <Pages>28</Pages>
  <Words>4625</Words>
  <Characters>26366</Characters>
  <Application>Microsoft Office Word</Application>
  <DocSecurity>0</DocSecurity>
  <Lines>219</Lines>
  <Paragraphs>61</Paragraphs>
  <ScaleCrop>false</ScaleCrop>
  <Company>TRT. Ltd. Co.</Company>
  <LinksUpToDate>false</LinksUpToDate>
  <CharactersWithSpaces>30930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Administrator</cp:lastModifiedBy>
  <cp:lastPrinted>2007-07-19T00:46:00Z</cp:lastPrinted>
  <dcterms:modified xsi:type="dcterms:W3CDTF">2018-09-13T02:52:00Z</dcterms:modified>
  <cp:revision>377</cp:revision>
</cp:coreProperties>
</file>