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交银施罗德天利宝货币市场基金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2019年第1季度报告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2019年3月31日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中信银行股份有限公司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二〇一九年四月二十日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基金托管人中信银行股份有限公司根据本基金合同规定，于2019年4月19日复核了本报告中的财务指标、净值表现和投资组合报告等内容，保证复核内容不存在虚假记载、误导性陈述或者重大遗漏。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本报告期自2019年1月1日起至3月31日止。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交银天利宝货币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002889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2016年10月19日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1,113,255,465.15</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中信银行股份有限公司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交银天利宝货币A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交银天利宝货币E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002889</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002890</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536,179,955.83</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577,075,509.32</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2019年1月1日-</w:t>
            </w:r>
            <w:proofErr w:type="spellStart"/>
            <w:r w:rsidRPr="000E4C40">
              <w:rPr>
                <w:color w:val="000000"/>
                <w:sz w:val="24"/>
              </w:rPr>
              <w:t/>
            </w:r>
            <w:proofErr w:type="spellEnd"/>
            <w:r w:rsidRPr="000E4C40">
              <w:rPr>
                <w:color w:val="000000"/>
                <w:sz w:val="24"/>
              </w:rPr>
              <w:t>2019年3月31日)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交银天利宝货币A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交银天利宝货币E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3,631,701.90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4,573,654.01</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3,631,701.90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4,573,654.01</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536,179,955.83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577,075,509.32</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交银天利宝货币A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0.7616%</w:t>
            </w:r>
          </w:p>
        </w:tc>
        <w:tc>
          <w:tcPr>
            <w:vAlign w:val="center"/>
          </w:tcPr>
          <w:p>
            <w:pPr>
              <w:jc w:val="center"/>
            </w:pPr>
            <w:r>
              <w:rPr>
                <w:rFonts w:ascii="Times New Roman" w:hAnsi="Times New Roman"/>
                <w:color w:val="000000"/>
              </w:rPr>
              <w:t>0.0054%</w:t>
            </w:r>
          </w:p>
        </w:tc>
        <w:tc>
          <w:tcPr>
            <w:vAlign w:val="center"/>
          </w:tcPr>
          <w:p>
            <w:pPr>
              <w:jc w:val="center"/>
            </w:pPr>
            <w:r>
              <w:rPr>
                <w:rFonts w:ascii="Times New Roman" w:hAnsi="Times New Roman"/>
                <w:color w:val="000000"/>
              </w:rPr>
              <w:t>0.0863%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0.6753%</w:t>
            </w:r>
          </w:p>
        </w:tc>
        <w:tc>
          <w:tcPr>
            <w:vAlign w:val="center"/>
          </w:tcPr>
          <w:p>
            <w:pPr>
              <w:jc w:val="center"/>
            </w:pPr>
            <w:r>
              <w:rPr>
                <w:rFonts w:ascii="Times New Roman" w:hAnsi="Times New Roman"/>
                <w:color w:val="000000"/>
              </w:rPr>
              <w:t>0.0054%</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交银天利宝货币E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0.8212%</w:t>
            </w:r>
          </w:p>
        </w:tc>
        <w:tc>
          <w:tcPr>
            <w:vAlign w:val="center"/>
          </w:tcPr>
          <w:p>
            <w:pPr>
              <w:jc w:val="center"/>
            </w:pPr>
            <w:r>
              <w:rPr>
                <w:rFonts w:ascii="Times New Roman" w:hAnsi="Times New Roman"/>
                <w:color w:val="000000"/>
              </w:rPr>
              <w:t>0.0054%</w:t>
            </w:r>
          </w:p>
        </w:tc>
        <w:tc>
          <w:tcPr>
            <w:vAlign w:val="center"/>
          </w:tcPr>
          <w:p>
            <w:pPr>
              <w:jc w:val="center"/>
            </w:pPr>
            <w:r>
              <w:rPr>
                <w:rFonts w:ascii="Times New Roman" w:hAnsi="Times New Roman"/>
                <w:color w:val="000000"/>
              </w:rPr>
              <w:t>0.0863%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0.7349%</w:t>
            </w:r>
          </w:p>
        </w:tc>
        <w:tc>
          <w:tcPr>
            <w:vAlign w:val="center"/>
          </w:tcPr>
          <w:p>
            <w:pPr>
              <w:jc w:val="center"/>
            </w:pPr>
            <w:r>
              <w:rPr>
                <w:rFonts w:ascii="Times New Roman" w:hAnsi="Times New Roman"/>
                <w:color w:val="000000"/>
              </w:rPr>
              <w:t>0.0054%</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交银施罗德天利宝货币市场基金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2016年10月19日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2019年3月31日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交银天利宝货币A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交银天利宝货币E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交银稳鑫短债债券的基金经理</w:t>
            </w:r>
          </w:p>
        </w:tc>
        <w:tc>
          <w:tcPr>
            <w:vAlign w:val="center"/>
          </w:tcPr>
          <w:p>
            <w:pPr>
              <w:jc w:val="center"/>
            </w:pPr>
            <w:r>
              <w:rPr>
                <w:color w:val="000000"/>
                <w:sz w:val="24"/>
              </w:rPr>
              <w:t>2016-10-19</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2016-10-19</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的表现逐步向好，部分金融信贷数据企稳，通胀走高的担忧加剧。权益类资产的表现优于债券类资产，货币基金的收益率在短端利率的下行中进一步走低。货币政策方面，美联储在三月的会议纪要偏鸽派,市场进一步预期美联储将开始降息操作。同时央行在一月调降存款准备金率100bp，以对冲一季度的MLF到期，继续保持稳健偏宽松的态度。在降准的帮助下，货币市场资金在一季度保持了宽裕的状态，银行间隔夜利率基本在2.0-2.7%之间，七天和隔夜的利差进一步压缩至10-20bps。银行存单市场在三月上行并不明显，AAA评级的三个月存单在2.80-2.95%之间窄幅震荡。报告期内，三个月上海银行间拆借利率下行55bp到2.80%。</w:t>
      </w:r>
    </w:p>
    <w:p>
      <w:pPr>
        <w:spacing w:before="29" w:line="288" w:lineRule="auto"/>
        <w:ind w:firstLine="480" w:firstLineChars="200"/>
        <w:rPr>
          <w:color w:val="000000"/>
          <w:sz w:val="24"/>
        </w:rPr>
      </w:pPr>
      <w:r>
        <w:rPr>
          <w:color w:val="000000"/>
          <w:sz w:val="24"/>
        </w:rPr>
        <w:t>基金操作方面，多投资于估值波动较小的银行存款存单与回购等，组合整体流动性良好。季度末资产收益有一定幅度的上行，我们视组合流动性情况增加杠杆增配了部分高评级的同业存单、短期融资券等资产，提高了组合收益。</w:t>
      </w:r>
    </w:p>
    <w:p>
      <w:pPr>
        <w:spacing w:before="29" w:line="288" w:lineRule="auto"/>
        <w:ind w:firstLine="480" w:firstLineChars="200"/>
        <w:rPr>
          <w:color w:val="000000"/>
          <w:sz w:val="24"/>
        </w:rPr>
      </w:pPr>
      <w:r>
        <w:rPr>
          <w:color w:val="000000"/>
          <w:sz w:val="24"/>
        </w:rPr>
        <w:t>展望2019年二季度，我们将关注风险资产特别是股市在二季度的表现和其溢出效应，警惕中美贸易谈判可能出现的超预期影响，继续观察银行理财子公司的发展以及类货币型理财产品对行业生态的影响。我们认为，海外货币政策的逐步宽松，将打开国内政策的操作空间，货币政策应该会延续稳健宽松的状态，财政政策将会更加积极。</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538,092,504.99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40.88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508,092,504.99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38.60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2.28</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303,001,174.50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23.02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472,372,717.39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35.89</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2,712,275.79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0.21</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1,316,178,672.67</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13.34</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202,141,298.93</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18.16</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57</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59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14</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本基金合同约定：“本基金投资组合的平均剩余期限在每个交易日均不得超过120天”。本报告期内，本基金未发生超标情况。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27.25</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18.16</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28.73</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57.49</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4.51</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117.98</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18.16</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49,824,639.52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4.48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10,021,580.83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0.90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10,021,580.83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0.90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120,247,365.04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10.80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327,998,919.60</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29.46</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508,092,504.99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45.64</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011802028</w:t>
            </w:r>
          </w:p>
        </w:tc>
        <w:tc>
          <w:tcPr>
            <w:vAlign w:val="center"/>
          </w:tcPr>
          <w:p>
            <w:pPr>
              <w:jc w:val="center"/>
            </w:pPr>
            <w:r>
              <w:rPr>
                <w:color w:val="000000"/>
                <w:sz w:val="24"/>
              </w:rPr>
              <w:t>18融和融资SCP009</w:t>
            </w:r>
          </w:p>
        </w:tc>
        <w:tc>
          <w:tcPr>
            <w:vAlign w:val="center"/>
          </w:tcPr>
          <w:p>
            <w:pPr>
              <w:jc w:val="right"/>
            </w:pPr>
            <w:r>
              <w:rPr>
                <w:color w:val="000000"/>
                <w:sz w:val="24"/>
              </w:rPr>
              <w:t>500,000</w:t>
            </w:r>
          </w:p>
        </w:tc>
        <w:tc>
          <w:tcPr>
            <w:vAlign w:val="center"/>
          </w:tcPr>
          <w:p>
            <w:pPr>
              <w:jc w:val="right"/>
            </w:pPr>
            <w:r>
              <w:rPr>
                <w:color w:val="000000"/>
                <w:sz w:val="24"/>
              </w:rPr>
              <w:t>50,247,182.63</w:t>
            </w:r>
          </w:p>
        </w:tc>
        <w:tc>
          <w:tcPr>
            <w:vAlign w:val="center"/>
          </w:tcPr>
          <w:p>
            <w:pPr>
              <w:jc w:val="right"/>
            </w:pPr>
            <w:r>
              <w:rPr>
                <w:color w:val="000000"/>
                <w:sz w:val="24"/>
              </w:rPr>
              <w:t>4.51</w:t>
            </w:r>
          </w:p>
        </w:tc>
      </w:tr>
      <w:tr>
        <w:tc>
          <w:tcPr>
            <w:vAlign w:val="center"/>
          </w:tcPr>
          <w:p>
            <w:pPr>
              <w:jc w:val="center"/>
            </w:pPr>
            <w:r>
              <w:rPr>
                <w:color w:val="000000"/>
                <w:sz w:val="24"/>
              </w:rPr>
              <w:t>2</w:t>
            </w:r>
          </w:p>
        </w:tc>
        <w:tc>
          <w:tcPr>
            <w:vAlign w:val="center"/>
          </w:tcPr>
          <w:p>
            <w:pPr>
              <w:jc w:val="center"/>
            </w:pPr>
            <w:r>
              <w:rPr>
                <w:color w:val="000000"/>
                <w:sz w:val="24"/>
              </w:rPr>
              <w:t>111921089</w:t>
            </w:r>
          </w:p>
        </w:tc>
        <w:tc>
          <w:tcPr>
            <w:vAlign w:val="center"/>
          </w:tcPr>
          <w:p>
            <w:pPr>
              <w:jc w:val="center"/>
            </w:pPr>
            <w:r>
              <w:rPr>
                <w:color w:val="000000"/>
                <w:sz w:val="24"/>
              </w:rPr>
              <w:t>19渤海银行CD089</w:t>
            </w:r>
          </w:p>
        </w:tc>
        <w:tc>
          <w:tcPr>
            <w:vAlign w:val="center"/>
          </w:tcPr>
          <w:p>
            <w:pPr>
              <w:jc w:val="right"/>
            </w:pPr>
            <w:r>
              <w:rPr>
                <w:color w:val="000000"/>
                <w:sz w:val="24"/>
              </w:rPr>
              <w:t>500,000</w:t>
            </w:r>
          </w:p>
        </w:tc>
        <w:tc>
          <w:tcPr>
            <w:vAlign w:val="center"/>
          </w:tcPr>
          <w:p>
            <w:pPr>
              <w:jc w:val="right"/>
            </w:pPr>
            <w:r>
              <w:rPr>
                <w:color w:val="000000"/>
                <w:sz w:val="24"/>
              </w:rPr>
              <w:t>49,689,121.69</w:t>
            </w:r>
          </w:p>
        </w:tc>
        <w:tc>
          <w:tcPr>
            <w:vAlign w:val="center"/>
          </w:tcPr>
          <w:p>
            <w:pPr>
              <w:jc w:val="right"/>
            </w:pPr>
            <w:r>
              <w:rPr>
                <w:color w:val="000000"/>
                <w:sz w:val="24"/>
              </w:rPr>
              <w:t>4.46</w:t>
            </w:r>
          </w:p>
        </w:tc>
      </w:tr>
      <w:tr>
        <w:tc>
          <w:tcPr>
            <w:vAlign w:val="center"/>
          </w:tcPr>
          <w:p>
            <w:pPr>
              <w:jc w:val="center"/>
            </w:pPr>
            <w:r>
              <w:rPr>
                <w:color w:val="000000"/>
                <w:sz w:val="24"/>
              </w:rPr>
              <w:t>3</w:t>
            </w:r>
          </w:p>
        </w:tc>
        <w:tc>
          <w:tcPr>
            <w:vAlign w:val="center"/>
          </w:tcPr>
          <w:p>
            <w:pPr>
              <w:jc w:val="center"/>
            </w:pPr>
            <w:r>
              <w:rPr>
                <w:color w:val="000000"/>
                <w:sz w:val="24"/>
              </w:rPr>
              <w:t>111899542</w:t>
            </w:r>
          </w:p>
        </w:tc>
        <w:tc>
          <w:tcPr>
            <w:vAlign w:val="center"/>
          </w:tcPr>
          <w:p>
            <w:pPr>
              <w:jc w:val="center"/>
            </w:pPr>
            <w:r>
              <w:rPr>
                <w:color w:val="000000"/>
                <w:sz w:val="24"/>
              </w:rPr>
              <w:t>18哈尔滨银行CD107</w:t>
            </w:r>
          </w:p>
        </w:tc>
        <w:tc>
          <w:tcPr>
            <w:vAlign w:val="center"/>
          </w:tcPr>
          <w:p>
            <w:pPr>
              <w:jc w:val="right"/>
            </w:pPr>
            <w:r>
              <w:rPr>
                <w:color w:val="000000"/>
                <w:sz w:val="24"/>
              </w:rPr>
              <w:t>400,000</w:t>
            </w:r>
          </w:p>
        </w:tc>
        <w:tc>
          <w:tcPr>
            <w:vAlign w:val="center"/>
          </w:tcPr>
          <w:p>
            <w:pPr>
              <w:jc w:val="right"/>
            </w:pPr>
            <w:r>
              <w:rPr>
                <w:color w:val="000000"/>
                <w:sz w:val="24"/>
              </w:rPr>
              <w:t>39,765,325.59</w:t>
            </w:r>
          </w:p>
        </w:tc>
        <w:tc>
          <w:tcPr>
            <w:vAlign w:val="center"/>
          </w:tcPr>
          <w:p>
            <w:pPr>
              <w:jc w:val="right"/>
            </w:pPr>
            <w:r>
              <w:rPr>
                <w:color w:val="000000"/>
                <w:sz w:val="24"/>
              </w:rPr>
              <w:t>3.57</w:t>
            </w:r>
          </w:p>
        </w:tc>
      </w:tr>
      <w:tr>
        <w:tc>
          <w:tcPr>
            <w:vAlign w:val="center"/>
          </w:tcPr>
          <w:p>
            <w:pPr>
              <w:jc w:val="center"/>
            </w:pPr>
            <w:r>
              <w:rPr>
                <w:color w:val="000000"/>
                <w:sz w:val="24"/>
              </w:rPr>
              <w:t>4</w:t>
            </w:r>
          </w:p>
        </w:tc>
        <w:tc>
          <w:tcPr>
            <w:vAlign w:val="center"/>
          </w:tcPr>
          <w:p>
            <w:pPr>
              <w:jc w:val="center"/>
            </w:pPr>
            <w:r>
              <w:rPr>
                <w:color w:val="000000"/>
                <w:sz w:val="24"/>
              </w:rPr>
              <w:t>111993639</w:t>
            </w:r>
          </w:p>
        </w:tc>
        <w:tc>
          <w:tcPr>
            <w:vAlign w:val="center"/>
          </w:tcPr>
          <w:p>
            <w:pPr>
              <w:jc w:val="center"/>
            </w:pPr>
            <w:r>
              <w:rPr>
                <w:color w:val="000000"/>
                <w:sz w:val="24"/>
              </w:rPr>
              <w:t>19深圳农商银行CD001</w:t>
            </w:r>
          </w:p>
        </w:tc>
        <w:tc>
          <w:tcPr>
            <w:vAlign w:val="center"/>
          </w:tcPr>
          <w:p>
            <w:pPr>
              <w:jc w:val="right"/>
            </w:pPr>
            <w:r>
              <w:rPr>
                <w:color w:val="000000"/>
                <w:sz w:val="24"/>
              </w:rPr>
              <w:t>400,000</w:t>
            </w:r>
          </w:p>
        </w:tc>
        <w:tc>
          <w:tcPr>
            <w:vAlign w:val="center"/>
          </w:tcPr>
          <w:p>
            <w:pPr>
              <w:jc w:val="right"/>
            </w:pPr>
            <w:r>
              <w:rPr>
                <w:color w:val="000000"/>
                <w:sz w:val="24"/>
              </w:rPr>
              <w:t>39,754,435.78</w:t>
            </w:r>
          </w:p>
        </w:tc>
        <w:tc>
          <w:tcPr>
            <w:vAlign w:val="center"/>
          </w:tcPr>
          <w:p>
            <w:pPr>
              <w:jc w:val="right"/>
            </w:pPr>
            <w:r>
              <w:rPr>
                <w:color w:val="000000"/>
                <w:sz w:val="24"/>
              </w:rPr>
              <w:t>3.57</w:t>
            </w:r>
          </w:p>
        </w:tc>
      </w:tr>
      <w:tr>
        <w:tc>
          <w:tcPr>
            <w:vAlign w:val="center"/>
          </w:tcPr>
          <w:p>
            <w:pPr>
              <w:jc w:val="center"/>
            </w:pPr>
            <w:r>
              <w:rPr>
                <w:color w:val="000000"/>
                <w:sz w:val="24"/>
              </w:rPr>
              <w:t>5</w:t>
            </w:r>
          </w:p>
        </w:tc>
        <w:tc>
          <w:tcPr>
            <w:vAlign w:val="center"/>
          </w:tcPr>
          <w:p>
            <w:pPr>
              <w:jc w:val="center"/>
            </w:pPr>
            <w:r>
              <w:rPr>
                <w:color w:val="000000"/>
                <w:sz w:val="24"/>
              </w:rPr>
              <w:t>111994129</w:t>
            </w:r>
          </w:p>
        </w:tc>
        <w:tc>
          <w:tcPr>
            <w:vAlign w:val="center"/>
          </w:tcPr>
          <w:p>
            <w:pPr>
              <w:jc w:val="center"/>
            </w:pPr>
            <w:r>
              <w:rPr>
                <w:color w:val="000000"/>
                <w:sz w:val="24"/>
              </w:rPr>
              <w:t>19北京农商银行CD057</w:t>
            </w:r>
          </w:p>
        </w:tc>
        <w:tc>
          <w:tcPr>
            <w:vAlign w:val="center"/>
          </w:tcPr>
          <w:p>
            <w:pPr>
              <w:jc w:val="right"/>
            </w:pPr>
            <w:r>
              <w:rPr>
                <w:color w:val="000000"/>
                <w:sz w:val="24"/>
              </w:rPr>
              <w:t>400,000</w:t>
            </w:r>
          </w:p>
        </w:tc>
        <w:tc>
          <w:tcPr>
            <w:vAlign w:val="center"/>
          </w:tcPr>
          <w:p>
            <w:pPr>
              <w:jc w:val="right"/>
            </w:pPr>
            <w:r>
              <w:rPr>
                <w:color w:val="000000"/>
                <w:sz w:val="24"/>
              </w:rPr>
              <w:t>39,739,029.03</w:t>
            </w:r>
          </w:p>
        </w:tc>
        <w:tc>
          <w:tcPr>
            <w:vAlign w:val="center"/>
          </w:tcPr>
          <w:p>
            <w:pPr>
              <w:jc w:val="right"/>
            </w:pPr>
            <w:r>
              <w:rPr>
                <w:color w:val="000000"/>
                <w:sz w:val="24"/>
              </w:rPr>
              <w:t>3.57</w:t>
            </w:r>
          </w:p>
        </w:tc>
      </w:tr>
      <w:tr>
        <w:tc>
          <w:tcPr>
            <w:vAlign w:val="center"/>
          </w:tcPr>
          <w:p>
            <w:pPr>
              <w:jc w:val="center"/>
            </w:pPr>
            <w:r>
              <w:rPr>
                <w:color w:val="000000"/>
                <w:sz w:val="24"/>
              </w:rPr>
              <w:t>6</w:t>
            </w:r>
          </w:p>
        </w:tc>
        <w:tc>
          <w:tcPr>
            <w:vAlign w:val="center"/>
          </w:tcPr>
          <w:p>
            <w:pPr>
              <w:jc w:val="center"/>
            </w:pPr>
            <w:r>
              <w:rPr>
                <w:color w:val="000000"/>
                <w:sz w:val="24"/>
              </w:rPr>
              <w:t>111994170</w:t>
            </w:r>
          </w:p>
        </w:tc>
        <w:tc>
          <w:tcPr>
            <w:vAlign w:val="center"/>
          </w:tcPr>
          <w:p>
            <w:pPr>
              <w:jc w:val="center"/>
            </w:pPr>
            <w:r>
              <w:rPr>
                <w:color w:val="000000"/>
                <w:sz w:val="24"/>
              </w:rPr>
              <w:t>19兰州银行CD012</w:t>
            </w:r>
          </w:p>
        </w:tc>
        <w:tc>
          <w:tcPr>
            <w:vAlign w:val="center"/>
          </w:tcPr>
          <w:p>
            <w:pPr>
              <w:jc w:val="right"/>
            </w:pPr>
            <w:r>
              <w:rPr>
                <w:color w:val="000000"/>
                <w:sz w:val="24"/>
              </w:rPr>
              <w:t>400,000</w:t>
            </w:r>
          </w:p>
        </w:tc>
        <w:tc>
          <w:tcPr>
            <w:vAlign w:val="center"/>
          </w:tcPr>
          <w:p>
            <w:pPr>
              <w:jc w:val="right"/>
            </w:pPr>
            <w:r>
              <w:rPr>
                <w:color w:val="000000"/>
                <w:sz w:val="24"/>
              </w:rPr>
              <w:t>39,738,398.91</w:t>
            </w:r>
          </w:p>
        </w:tc>
        <w:tc>
          <w:tcPr>
            <w:vAlign w:val="center"/>
          </w:tcPr>
          <w:p>
            <w:pPr>
              <w:jc w:val="right"/>
            </w:pPr>
            <w:r>
              <w:rPr>
                <w:color w:val="000000"/>
                <w:sz w:val="24"/>
              </w:rPr>
              <w:t>3.57</w:t>
            </w:r>
          </w:p>
        </w:tc>
      </w:tr>
      <w:tr>
        <w:tc>
          <w:tcPr>
            <w:vAlign w:val="center"/>
          </w:tcPr>
          <w:p>
            <w:pPr>
              <w:jc w:val="center"/>
            </w:pPr>
            <w:r>
              <w:rPr>
                <w:color w:val="000000"/>
                <w:sz w:val="24"/>
              </w:rPr>
              <w:t>7</w:t>
            </w:r>
          </w:p>
        </w:tc>
        <w:tc>
          <w:tcPr>
            <w:vAlign w:val="center"/>
          </w:tcPr>
          <w:p>
            <w:pPr>
              <w:jc w:val="center"/>
            </w:pPr>
            <w:r>
              <w:rPr>
                <w:color w:val="000000"/>
                <w:sz w:val="24"/>
              </w:rPr>
              <w:t>071900014</w:t>
            </w:r>
          </w:p>
        </w:tc>
        <w:tc>
          <w:tcPr>
            <w:vAlign w:val="center"/>
          </w:tcPr>
          <w:p>
            <w:pPr>
              <w:jc w:val="center"/>
            </w:pPr>
            <w:r>
              <w:rPr>
                <w:color w:val="000000"/>
                <w:sz w:val="24"/>
              </w:rPr>
              <w:t>19招商CP002</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2.69</w:t>
            </w:r>
          </w:p>
        </w:tc>
      </w:tr>
      <w:tr>
        <w:tc>
          <w:tcPr>
            <w:vAlign w:val="center"/>
          </w:tcPr>
          <w:p>
            <w:pPr>
              <w:jc w:val="center"/>
            </w:pPr>
            <w:r>
              <w:rPr>
                <w:color w:val="000000"/>
                <w:sz w:val="24"/>
              </w:rPr>
              <w:t>8</w:t>
            </w:r>
          </w:p>
        </w:tc>
        <w:tc>
          <w:tcPr>
            <w:vAlign w:val="center"/>
          </w:tcPr>
          <w:p>
            <w:pPr>
              <w:jc w:val="center"/>
            </w:pPr>
            <w:r>
              <w:rPr>
                <w:color w:val="000000"/>
                <w:sz w:val="24"/>
              </w:rPr>
              <w:t>199907</w:t>
            </w:r>
          </w:p>
        </w:tc>
        <w:tc>
          <w:tcPr>
            <w:vAlign w:val="center"/>
          </w:tcPr>
          <w:p>
            <w:pPr>
              <w:jc w:val="center"/>
            </w:pPr>
            <w:r>
              <w:rPr>
                <w:color w:val="000000"/>
                <w:sz w:val="24"/>
              </w:rPr>
              <w:t>19贴现国债07</w:t>
            </w:r>
          </w:p>
        </w:tc>
        <w:tc>
          <w:tcPr>
            <w:vAlign w:val="center"/>
          </w:tcPr>
          <w:p>
            <w:pPr>
              <w:jc w:val="right"/>
            </w:pPr>
            <w:r>
              <w:rPr>
                <w:color w:val="000000"/>
                <w:sz w:val="24"/>
              </w:rPr>
              <w:t>300,000</w:t>
            </w:r>
          </w:p>
        </w:tc>
        <w:tc>
          <w:tcPr>
            <w:vAlign w:val="center"/>
          </w:tcPr>
          <w:p>
            <w:pPr>
              <w:jc w:val="right"/>
            </w:pPr>
            <w:r>
              <w:rPr>
                <w:color w:val="000000"/>
                <w:sz w:val="24"/>
              </w:rPr>
              <w:t>29,906,171.99</w:t>
            </w:r>
          </w:p>
        </w:tc>
        <w:tc>
          <w:tcPr>
            <w:vAlign w:val="center"/>
          </w:tcPr>
          <w:p>
            <w:pPr>
              <w:jc w:val="right"/>
            </w:pPr>
            <w:r>
              <w:rPr>
                <w:color w:val="000000"/>
                <w:sz w:val="24"/>
              </w:rPr>
              <w:t>2.69</w:t>
            </w:r>
          </w:p>
        </w:tc>
      </w:tr>
      <w:tr>
        <w:tc>
          <w:tcPr>
            <w:vAlign w:val="center"/>
          </w:tcPr>
          <w:p>
            <w:pPr>
              <w:jc w:val="center"/>
            </w:pPr>
            <w:r>
              <w:rPr>
                <w:color w:val="000000"/>
                <w:sz w:val="24"/>
              </w:rPr>
              <w:t>9</w:t>
            </w:r>
          </w:p>
        </w:tc>
        <w:tc>
          <w:tcPr>
            <w:vAlign w:val="center"/>
          </w:tcPr>
          <w:p>
            <w:pPr>
              <w:jc w:val="center"/>
            </w:pPr>
            <w:r>
              <w:rPr>
                <w:color w:val="000000"/>
                <w:sz w:val="24"/>
              </w:rPr>
              <w:t>111898149</w:t>
            </w:r>
          </w:p>
        </w:tc>
        <w:tc>
          <w:tcPr>
            <w:vAlign w:val="center"/>
          </w:tcPr>
          <w:p>
            <w:pPr>
              <w:jc w:val="center"/>
            </w:pPr>
            <w:r>
              <w:rPr>
                <w:color w:val="000000"/>
                <w:sz w:val="24"/>
              </w:rPr>
              <w:t>18厦门国际银行CD110</w:t>
            </w:r>
          </w:p>
        </w:tc>
        <w:tc>
          <w:tcPr>
            <w:vAlign w:val="center"/>
          </w:tcPr>
          <w:p>
            <w:pPr>
              <w:jc w:val="right"/>
            </w:pPr>
            <w:r>
              <w:rPr>
                <w:color w:val="000000"/>
                <w:sz w:val="24"/>
              </w:rPr>
              <w:t>300,000</w:t>
            </w:r>
          </w:p>
        </w:tc>
        <w:tc>
          <w:tcPr>
            <w:vAlign w:val="center"/>
          </w:tcPr>
          <w:p>
            <w:pPr>
              <w:jc w:val="right"/>
            </w:pPr>
            <w:r>
              <w:rPr>
                <w:color w:val="000000"/>
                <w:sz w:val="24"/>
              </w:rPr>
              <w:t>29,862,660.77</w:t>
            </w:r>
          </w:p>
        </w:tc>
        <w:tc>
          <w:tcPr>
            <w:vAlign w:val="center"/>
          </w:tcPr>
          <w:p>
            <w:pPr>
              <w:jc w:val="right"/>
            </w:pPr>
            <w:r>
              <w:rPr>
                <w:color w:val="000000"/>
                <w:sz w:val="24"/>
              </w:rPr>
              <w:t>2.68</w:t>
            </w:r>
          </w:p>
        </w:tc>
      </w:tr>
      <w:tr>
        <w:tc>
          <w:tcPr>
            <w:vAlign w:val="center"/>
          </w:tcPr>
          <w:p>
            <w:pPr>
              <w:jc w:val="center"/>
            </w:pPr>
            <w:r>
              <w:rPr>
                <w:color w:val="000000"/>
                <w:sz w:val="24"/>
              </w:rPr>
              <w:t>10</w:t>
            </w:r>
          </w:p>
        </w:tc>
        <w:tc>
          <w:tcPr>
            <w:vAlign w:val="center"/>
          </w:tcPr>
          <w:p>
            <w:pPr>
              <w:jc w:val="center"/>
            </w:pPr>
            <w:r>
              <w:rPr>
                <w:color w:val="000000"/>
                <w:sz w:val="24"/>
              </w:rPr>
              <w:t>111819513</w:t>
            </w:r>
          </w:p>
        </w:tc>
        <w:tc>
          <w:tcPr>
            <w:vAlign w:val="center"/>
          </w:tcPr>
          <w:p>
            <w:pPr>
              <w:jc w:val="center"/>
            </w:pPr>
            <w:r>
              <w:rPr>
                <w:color w:val="000000"/>
                <w:sz w:val="24"/>
              </w:rPr>
              <w:t>18恒丰银行CD513</w:t>
            </w:r>
          </w:p>
        </w:tc>
        <w:tc>
          <w:tcPr>
            <w:vAlign w:val="center"/>
          </w:tcPr>
          <w:p>
            <w:pPr>
              <w:jc w:val="right"/>
            </w:pPr>
            <w:r>
              <w:rPr>
                <w:color w:val="000000"/>
                <w:sz w:val="24"/>
              </w:rPr>
              <w:t>300,000</w:t>
            </w:r>
          </w:p>
        </w:tc>
        <w:tc>
          <w:tcPr>
            <w:vAlign w:val="center"/>
          </w:tcPr>
          <w:p>
            <w:pPr>
              <w:jc w:val="right"/>
            </w:pPr>
            <w:r>
              <w:rPr>
                <w:color w:val="000000"/>
                <w:sz w:val="24"/>
              </w:rPr>
              <w:t>29,814,973.21</w:t>
            </w:r>
          </w:p>
        </w:tc>
        <w:tc>
          <w:tcPr>
            <w:vAlign w:val="center"/>
          </w:tcPr>
          <w:p>
            <w:pPr>
              <w:jc w:val="right"/>
            </w:pPr>
            <w:r>
              <w:rPr>
                <w:color w:val="000000"/>
                <w:sz w:val="24"/>
              </w:rPr>
              <w:t>2.68</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0.1442%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0.0091%</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0.0980%</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type="dxa" w:w="8868"/>
        <w:jc w:val="center"/>
        <w:tblCellMar>
          <w:top w:type="dxa" w:w="57"/>
          <w:bottom w:type="dxa" w:w="57"/>
        </w:tblCellMar>
        <w:tblLook w:val="04A0"/>
      </w:tblPr>
      <w:tblGrid>
        <w:gridCol w:w="1465"/>
        <w:gridCol w:w="1464"/>
        <w:gridCol w:w="1464"/>
        <w:gridCol w:w="1567"/>
        <w:gridCol w:w="1567"/>
        <w:gridCol w:w="1775"/>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156793</w:t>
            </w:r>
          </w:p>
        </w:tc>
        <w:tc>
          <w:tcPr>
            <w:vAlign w:val="center"/>
          </w:tcPr>
          <w:p>
            <w:pPr>
              <w:jc w:val="center"/>
            </w:pPr>
            <w:r>
              <w:rPr>
                <w:color w:val="000000"/>
                <w:sz w:val="24"/>
              </w:rPr>
              <w:t>信泽01A1(总价)</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2.69</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1,893,076.75</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819,199.04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2,712,275.79</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交银天利宝货币A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交银天利宝货币E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468,121,371.84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571,333,260.34</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565,879,665.29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65,958,725.30</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497,821,081.30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60,216,476.32</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536,179,955.83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577,075,509.32</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2、如果本报告期间发生转换出、份额类别调整业务，则总赎回份额中包含该业务；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xml:space="preserve">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2019/1/1-2019/3/31</w:t>
            </w:r>
          </w:p>
        </w:tc>
        <w:tc>
          <w:tcPr>
            <w:vAlign w:val="center"/>
          </w:tcPr>
          <w:p>
            <w:pPr>
              <w:jc w:val="center"/>
            </w:pPr>
            <w:r>
              <w:rPr>
                <w:rFonts w:ascii="宋体" w:hAnsi="宋体" w:hint="eastAsia"/>
                <w:color w:val="000000"/>
                <w:kern w:val="0"/>
                <w:szCs w:val="21"/>
              </w:rPr>
              <w:t>212,943,856.45</w:t>
            </w:r>
          </w:p>
        </w:tc>
        <w:tc>
          <w:tcPr>
            <w:vAlign w:val="center"/>
          </w:tcPr>
          <w:p>
            <w:pPr>
              <w:jc w:val="center"/>
            </w:pPr>
            <w:r>
              <w:rPr>
                <w:rFonts w:ascii="宋体" w:hAnsi="宋体" w:hint="eastAsia"/>
                <w:color w:val="000000"/>
                <w:kern w:val="0"/>
                <w:szCs w:val="21"/>
              </w:rPr>
              <w:t>1,798,521.07</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214,742,377.52</w:t>
            </w:r>
          </w:p>
        </w:tc>
        <w:tc>
          <w:tcPr>
            <w:vAlign w:val="center"/>
          </w:tcPr>
          <w:p>
            <w:pPr>
              <w:jc w:val="center"/>
            </w:pPr>
            <w:r>
              <w:rPr>
                <w:rFonts w:ascii="宋体" w:hAnsi="宋体" w:hint="eastAsia"/>
                <w:color w:val="000000"/>
                <w:kern w:val="0"/>
                <w:szCs w:val="21"/>
              </w:rPr>
              <w:t>19.29%</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1、中国证监会准予交银施罗德天利宝货币市场基金募集注册的文件； </w:t>
      </w:r>
    </w:p>
    <w:p>
      <w:pPr>
        <w:spacing w:before="29" w:line="288" w:lineRule="auto"/>
        <w:ind w:firstLine="480" w:firstLineChars="200"/>
        <w:rPr>
          <w:color w:val="000000"/>
          <w:sz w:val="24"/>
        </w:rPr>
      </w:pPr>
      <w:r>
        <w:rPr>
          <w:color w:val="000000"/>
          <w:sz w:val="24"/>
        </w:rPr>
        <w:t xml:space="preserve">2、《交银施罗德天利宝货币市场基金基金合同》； </w:t>
      </w:r>
    </w:p>
    <w:p>
      <w:pPr>
        <w:spacing w:before="29" w:line="288" w:lineRule="auto"/>
        <w:ind w:firstLine="480" w:firstLineChars="200"/>
        <w:rPr>
          <w:color w:val="000000"/>
          <w:sz w:val="24"/>
        </w:rPr>
      </w:pPr>
      <w:r>
        <w:rPr>
          <w:color w:val="000000"/>
          <w:sz w:val="24"/>
        </w:rPr>
        <w:t xml:space="preserve">3、《交银施罗德天利宝货币市场基金招募说明书》； </w:t>
      </w:r>
    </w:p>
    <w:p>
      <w:pPr>
        <w:spacing w:before="29" w:line="288" w:lineRule="auto"/>
        <w:ind w:firstLine="480" w:firstLineChars="200"/>
        <w:rPr>
          <w:color w:val="000000"/>
          <w:sz w:val="24"/>
        </w:rPr>
      </w:pPr>
      <w:r>
        <w:rPr>
          <w:color w:val="000000"/>
          <w:sz w:val="24"/>
        </w:rPr>
        <w:t xml:space="preserve">4、《交银施罗德天利宝货币市场基金托管协议》； </w:t>
      </w:r>
    </w:p>
    <w:p>
      <w:pPr>
        <w:spacing w:before="29" w:line="288" w:lineRule="auto"/>
        <w:ind w:firstLine="480" w:firstLineChars="200"/>
        <w:rPr>
          <w:color w:val="000000"/>
          <w:sz w:val="24"/>
        </w:rPr>
      </w:pPr>
      <w:r>
        <w:rPr>
          <w:color w:val="000000"/>
          <w:sz w:val="24"/>
        </w:rPr>
        <w:t xml:space="preserve">5、关于申请募集注册交银施罗德天利宝货币市场基金的法律意见书；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8、报告期内交银施罗德天利宝货币市场基金在指定报刊上各项公告的原稿。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交银施罗德天利宝货币市场基金</w:t>
    </w:r>
    <w:proofErr w:type="spellStart"/>
    <w:r w:rsidRPr="003E676C">
      <w:rPr>
        <w:sz w:val="24"/>
        <w:szCs w:val="24"/>
      </w:rPr>
      <w:t/>
    </w:r>
    <w:proofErr w:type="spellEnd"/>
    <w:r w:rsidRPr="003E676C">
      <w:rPr>
        <w:sz w:val="24"/>
        <w:szCs w:val="24"/>
      </w:rPr>
      <w:t>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