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w:t>
      </w:r>
      <w:bookmarkStart w:id="0" w:name="_GoBack"/>
      <w:bookmarkEnd w:id="0"/>
      <w:r w:rsidRPr="0081286B">
        <w:rPr>
          <w:b/>
          <w:sz w:val="36"/>
          <w:szCs w:val="36"/>
        </w:rPr>
        <w:t>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87D47" w:rsidRDefault="0061677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87D47" w:rsidRDefault="0061677D">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87D47" w:rsidRDefault="0061677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87D47" w:rsidRDefault="0061677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87D47" w:rsidRDefault="0061677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1,607,155,424.24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27C99" w:rsidRPr="00414345" w:rsidTr="00127C9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127C99" w:rsidRPr="00414345" w:rsidTr="00127C9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97,683,243.98</w:t>
            </w:r>
          </w:p>
        </w:tc>
      </w:tr>
      <w:tr w:rsidR="00127C99" w:rsidRPr="00414345" w:rsidTr="00127C9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853,300,994.78</w:t>
            </w:r>
          </w:p>
        </w:tc>
      </w:tr>
      <w:tr w:rsidR="00127C99" w:rsidRPr="00414345" w:rsidTr="00127C9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0.5239</w:t>
            </w:r>
          </w:p>
        </w:tc>
      </w:tr>
      <w:tr w:rsidR="00127C99" w:rsidRPr="00414345" w:rsidTr="00127C9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3,577,749,967.63</w:t>
            </w:r>
          </w:p>
        </w:tc>
      </w:tr>
      <w:tr w:rsidR="00127C99" w:rsidRPr="00414345" w:rsidTr="00127C9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2.226</w:t>
            </w:r>
          </w:p>
        </w:tc>
      </w:tr>
    </w:tbl>
    <w:p w:rsidR="00D87D47" w:rsidRDefault="0061677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87D47">
        <w:trPr>
          <w:jc w:val="center"/>
        </w:trPr>
        <w:tc>
          <w:tcPr>
            <w:tcW w:w="1701" w:type="dxa"/>
            <w:vAlign w:val="center"/>
          </w:tcPr>
          <w:p w:rsidR="00D87D47" w:rsidRDefault="0061677D">
            <w:pPr>
              <w:jc w:val="left"/>
            </w:pPr>
            <w:r>
              <w:rPr>
                <w:color w:val="000000"/>
                <w:sz w:val="24"/>
                <w:szCs w:val="24"/>
              </w:rPr>
              <w:t>过去三个月</w:t>
            </w:r>
          </w:p>
        </w:tc>
        <w:tc>
          <w:tcPr>
            <w:tcW w:w="1045" w:type="dxa"/>
            <w:vAlign w:val="center"/>
          </w:tcPr>
          <w:p w:rsidR="00D87D47" w:rsidRDefault="0061677D">
            <w:pPr>
              <w:jc w:val="center"/>
            </w:pPr>
            <w:r>
              <w:rPr>
                <w:color w:val="000000"/>
                <w:sz w:val="24"/>
                <w:szCs w:val="24"/>
              </w:rPr>
              <w:t>29.95%</w:t>
            </w:r>
          </w:p>
        </w:tc>
        <w:tc>
          <w:tcPr>
            <w:tcW w:w="1344" w:type="dxa"/>
            <w:vAlign w:val="center"/>
          </w:tcPr>
          <w:p w:rsidR="00D87D47" w:rsidRDefault="0061677D">
            <w:pPr>
              <w:jc w:val="center"/>
            </w:pPr>
            <w:r>
              <w:rPr>
                <w:color w:val="000000"/>
                <w:sz w:val="24"/>
                <w:szCs w:val="24"/>
              </w:rPr>
              <w:t>1.37%</w:t>
            </w:r>
          </w:p>
        </w:tc>
        <w:tc>
          <w:tcPr>
            <w:tcW w:w="1194" w:type="dxa"/>
            <w:vAlign w:val="center"/>
          </w:tcPr>
          <w:p w:rsidR="00D87D47" w:rsidRDefault="0061677D">
            <w:pPr>
              <w:jc w:val="center"/>
            </w:pPr>
            <w:r>
              <w:rPr>
                <w:color w:val="000000"/>
                <w:sz w:val="24"/>
                <w:szCs w:val="24"/>
              </w:rPr>
              <w:t>26.34%</w:t>
            </w:r>
          </w:p>
        </w:tc>
        <w:tc>
          <w:tcPr>
            <w:tcW w:w="1492" w:type="dxa"/>
            <w:vAlign w:val="center"/>
          </w:tcPr>
          <w:p w:rsidR="00D87D47" w:rsidRDefault="0061677D">
            <w:pPr>
              <w:jc w:val="center"/>
            </w:pPr>
            <w:r>
              <w:rPr>
                <w:color w:val="000000"/>
                <w:sz w:val="24"/>
                <w:szCs w:val="24"/>
              </w:rPr>
              <w:t>1.22%</w:t>
            </w:r>
          </w:p>
        </w:tc>
        <w:tc>
          <w:tcPr>
            <w:tcW w:w="1194" w:type="dxa"/>
            <w:vAlign w:val="center"/>
          </w:tcPr>
          <w:p w:rsidR="00D87D47" w:rsidRDefault="0061677D">
            <w:pPr>
              <w:jc w:val="center"/>
            </w:pPr>
            <w:r>
              <w:rPr>
                <w:color w:val="000000"/>
                <w:sz w:val="24"/>
                <w:szCs w:val="24"/>
              </w:rPr>
              <w:t>3.61%</w:t>
            </w:r>
          </w:p>
        </w:tc>
        <w:tc>
          <w:tcPr>
            <w:tcW w:w="898" w:type="dxa"/>
            <w:vAlign w:val="center"/>
          </w:tcPr>
          <w:p w:rsidR="00D87D47" w:rsidRDefault="0061677D">
            <w:pPr>
              <w:jc w:val="center"/>
            </w:pPr>
            <w:r>
              <w:rPr>
                <w:color w:val="000000"/>
                <w:sz w:val="24"/>
                <w:szCs w:val="24"/>
              </w:rPr>
              <w:t>0.15%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87D47">
        <w:trPr>
          <w:jc w:val="center"/>
        </w:trPr>
        <w:tc>
          <w:tcPr>
            <w:tcW w:w="846" w:type="dxa"/>
            <w:vAlign w:val="center"/>
          </w:tcPr>
          <w:p w:rsidR="00D87D47" w:rsidRDefault="0061677D">
            <w:pPr>
              <w:jc w:val="center"/>
            </w:pPr>
            <w:r>
              <w:rPr>
                <w:color w:val="000000"/>
                <w:sz w:val="24"/>
                <w:szCs w:val="24"/>
              </w:rPr>
              <w:t>王崇</w:t>
            </w:r>
          </w:p>
        </w:tc>
        <w:tc>
          <w:tcPr>
            <w:tcW w:w="845" w:type="dxa"/>
            <w:vAlign w:val="center"/>
          </w:tcPr>
          <w:p w:rsidR="00D87D47" w:rsidRDefault="0061677D">
            <w:pPr>
              <w:jc w:val="center"/>
            </w:pPr>
            <w:r>
              <w:rPr>
                <w:color w:val="000000"/>
                <w:sz w:val="24"/>
                <w:szCs w:val="24"/>
              </w:rPr>
              <w:t>交银精选混合、交银新成长混合的基金经理，公司权益</w:t>
            </w:r>
            <w:r>
              <w:rPr>
                <w:color w:val="000000"/>
                <w:sz w:val="24"/>
                <w:szCs w:val="24"/>
              </w:rPr>
              <w:lastRenderedPageBreak/>
              <w:t>投资副总监</w:t>
            </w:r>
          </w:p>
        </w:tc>
        <w:tc>
          <w:tcPr>
            <w:tcW w:w="1549" w:type="dxa"/>
            <w:vAlign w:val="center"/>
          </w:tcPr>
          <w:p w:rsidR="00D87D47" w:rsidRDefault="0061677D">
            <w:pPr>
              <w:jc w:val="center"/>
            </w:pPr>
            <w:r>
              <w:rPr>
                <w:color w:val="000000"/>
                <w:sz w:val="24"/>
                <w:szCs w:val="24"/>
              </w:rPr>
              <w:lastRenderedPageBreak/>
              <w:t>2014-10-22</w:t>
            </w:r>
          </w:p>
        </w:tc>
        <w:tc>
          <w:tcPr>
            <w:tcW w:w="1548" w:type="dxa"/>
            <w:vAlign w:val="center"/>
          </w:tcPr>
          <w:p w:rsidR="00D87D47" w:rsidRDefault="0061677D">
            <w:pPr>
              <w:jc w:val="center"/>
            </w:pPr>
            <w:r>
              <w:rPr>
                <w:color w:val="000000"/>
                <w:sz w:val="24"/>
                <w:szCs w:val="24"/>
              </w:rPr>
              <w:t>-</w:t>
            </w:r>
          </w:p>
        </w:tc>
        <w:tc>
          <w:tcPr>
            <w:tcW w:w="1407" w:type="dxa"/>
            <w:vAlign w:val="center"/>
          </w:tcPr>
          <w:p w:rsidR="00D87D47" w:rsidRDefault="0061677D">
            <w:pPr>
              <w:jc w:val="center"/>
            </w:pPr>
            <w:r>
              <w:rPr>
                <w:color w:val="000000"/>
                <w:sz w:val="24"/>
                <w:szCs w:val="24"/>
              </w:rPr>
              <w:t>11</w:t>
            </w:r>
            <w:r>
              <w:rPr>
                <w:color w:val="000000"/>
                <w:sz w:val="24"/>
                <w:szCs w:val="24"/>
              </w:rPr>
              <w:t>年</w:t>
            </w:r>
          </w:p>
        </w:tc>
        <w:tc>
          <w:tcPr>
            <w:tcW w:w="2673" w:type="dxa"/>
            <w:vAlign w:val="center"/>
          </w:tcPr>
          <w:p w:rsidR="00D87D47" w:rsidRDefault="0061677D">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87D47" w:rsidRDefault="0061677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87D47" w:rsidRDefault="0061677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87D47" w:rsidRDefault="0061677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87D47" w:rsidRDefault="0061677D">
      <w:pPr>
        <w:spacing w:before="29" w:line="288" w:lineRule="auto"/>
        <w:ind w:firstLineChars="200" w:firstLine="480"/>
        <w:rPr>
          <w:color w:val="000000"/>
          <w:sz w:val="24"/>
          <w:szCs w:val="24"/>
        </w:rPr>
      </w:pPr>
      <w:r>
        <w:rPr>
          <w:color w:val="000000"/>
          <w:sz w:val="24"/>
          <w:szCs w:val="24"/>
        </w:rPr>
        <w:t>2019</w:t>
      </w:r>
      <w:r>
        <w:rPr>
          <w:color w:val="000000"/>
          <w:sz w:val="24"/>
          <w:szCs w:val="24"/>
        </w:rPr>
        <w:t>年一季度国内经济增速和工业增加值继续回落，但市场风险偏好迅速提升，</w:t>
      </w:r>
      <w:r>
        <w:rPr>
          <w:color w:val="000000"/>
          <w:sz w:val="24"/>
          <w:szCs w:val="24"/>
        </w:rPr>
        <w:lastRenderedPageBreak/>
        <w:t>尤其是春节后市场成交量迅速放大，</w:t>
      </w:r>
      <w:r>
        <w:rPr>
          <w:color w:val="000000"/>
          <w:sz w:val="24"/>
          <w:szCs w:val="24"/>
        </w:rPr>
        <w:t>A</w:t>
      </w:r>
      <w:r>
        <w:rPr>
          <w:color w:val="000000"/>
          <w:sz w:val="24"/>
          <w:szCs w:val="24"/>
        </w:rPr>
        <w:t>股市场主要指数和几乎所有行业均快速反弹，市场赚钱效应明显。其中创业板指数反弹幅度后来居上，计算机、农林牧渔、非银金融以及食品饮料涨幅领先，银行、公共事业等防御性板块涨幅靠后。</w:t>
      </w:r>
      <w:r>
        <w:rPr>
          <w:color w:val="000000"/>
          <w:sz w:val="24"/>
          <w:szCs w:val="24"/>
        </w:rPr>
        <w:t xml:space="preserve"> </w:t>
      </w:r>
    </w:p>
    <w:p w:rsidR="00D87D47" w:rsidRDefault="0061677D">
      <w:pPr>
        <w:spacing w:before="29" w:line="288" w:lineRule="auto"/>
        <w:ind w:firstLineChars="200" w:firstLine="480"/>
        <w:rPr>
          <w:color w:val="000000"/>
          <w:sz w:val="24"/>
          <w:szCs w:val="24"/>
        </w:rPr>
      </w:pPr>
      <w:r>
        <w:rPr>
          <w:color w:val="000000"/>
          <w:sz w:val="24"/>
          <w:szCs w:val="24"/>
        </w:rPr>
        <w:t>本基金一季度大部分时间保持中性略高仓位，行业均衡配置，个股集中度略有下降。行业层面减持计算机、机械、房地产和银行，加仓传媒、建材、非银和零售行业。从一季度基金总体表现来看，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年二季度，我们对市场仍旧持谨慎乐观的态度。考虑到目前的经济状况和利率水平以及政策取向，我们仍旧认为大类资产配置中权益最优，所以尽管</w:t>
      </w:r>
      <w:r w:rsidRPr="00414345">
        <w:rPr>
          <w:color w:val="000000"/>
          <w:sz w:val="24"/>
          <w:szCs w:val="24"/>
        </w:rPr>
        <w:t>A</w:t>
      </w:r>
      <w:r w:rsidRPr="00414345">
        <w:rPr>
          <w:color w:val="000000"/>
          <w:sz w:val="24"/>
          <w:szCs w:val="24"/>
        </w:rPr>
        <w:t>股市场一季度涨幅较快，目前点位整体并没有明显的估值泡沫，仍旧有不少优质公司股票值得投资和持有。另一方面，经济复苏仍旧不明朗，企业盈利增速压力较大，市场反弹和上涨不会一帆风顺，在第一波反弹估值修复后，继续上涨需要看企业盈利能否跟上。本基金后续继续超配医疗服务和传媒计算机为首的新兴成长以及一二线房地产龙头公司股票，寻找中期市值空间较大优质公司股票做中期布局，恪守能力圈和安全边际原则，努力为基金持有人带来稳定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2,793,516,016.66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77.46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2,793,516,016.66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77.46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174,107,500.00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174,107,500.00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449,918,464.96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12.48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176,173,813.49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12,648,942.00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0.35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3,606,364,737.11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349,739,271.15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235,512,403.20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33,876,201.75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217,466,608.93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395,926,816.97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444,825,264.51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472,638.87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191,098,635.20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145,630,540.72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590,828,192.42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188,139,442.94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2,793,516,016.66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78.08</w:t>
            </w:r>
          </w:p>
        </w:tc>
      </w:tr>
    </w:tbl>
    <w:p w:rsidR="00127C99" w:rsidRDefault="00127C99"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87D47">
        <w:trPr>
          <w:jc w:val="center"/>
        </w:trPr>
        <w:tc>
          <w:tcPr>
            <w:tcW w:w="855" w:type="dxa"/>
            <w:vAlign w:val="center"/>
          </w:tcPr>
          <w:p w:rsidR="00D87D47" w:rsidRDefault="0061677D">
            <w:pPr>
              <w:jc w:val="center"/>
            </w:pPr>
            <w:r>
              <w:rPr>
                <w:color w:val="000000"/>
                <w:sz w:val="24"/>
                <w:szCs w:val="24"/>
              </w:rPr>
              <w:t>1</w:t>
            </w:r>
          </w:p>
        </w:tc>
        <w:tc>
          <w:tcPr>
            <w:tcW w:w="1334" w:type="dxa"/>
            <w:vAlign w:val="center"/>
          </w:tcPr>
          <w:p w:rsidR="00D87D47" w:rsidRDefault="0061677D">
            <w:pPr>
              <w:jc w:val="center"/>
            </w:pPr>
            <w:r>
              <w:rPr>
                <w:color w:val="000000"/>
                <w:sz w:val="24"/>
                <w:szCs w:val="24"/>
              </w:rPr>
              <w:t>002044</w:t>
            </w:r>
          </w:p>
        </w:tc>
        <w:tc>
          <w:tcPr>
            <w:tcW w:w="1777" w:type="dxa"/>
            <w:vAlign w:val="center"/>
          </w:tcPr>
          <w:p w:rsidR="00D87D47" w:rsidRDefault="0061677D">
            <w:pPr>
              <w:jc w:val="center"/>
            </w:pPr>
            <w:r>
              <w:rPr>
                <w:color w:val="000000"/>
                <w:sz w:val="24"/>
                <w:szCs w:val="24"/>
              </w:rPr>
              <w:t>美年健康</w:t>
            </w:r>
          </w:p>
        </w:tc>
        <w:tc>
          <w:tcPr>
            <w:tcW w:w="1334" w:type="dxa"/>
            <w:vAlign w:val="center"/>
          </w:tcPr>
          <w:p w:rsidR="00D87D47" w:rsidRDefault="0061677D">
            <w:pPr>
              <w:jc w:val="right"/>
            </w:pPr>
            <w:r>
              <w:rPr>
                <w:color w:val="000000"/>
                <w:sz w:val="24"/>
                <w:szCs w:val="24"/>
              </w:rPr>
              <w:t>17,344,258</w:t>
            </w:r>
          </w:p>
        </w:tc>
        <w:tc>
          <w:tcPr>
            <w:tcW w:w="1924" w:type="dxa"/>
            <w:vAlign w:val="center"/>
          </w:tcPr>
          <w:p w:rsidR="00D87D47" w:rsidRDefault="0061677D">
            <w:pPr>
              <w:jc w:val="right"/>
            </w:pPr>
            <w:r>
              <w:rPr>
                <w:color w:val="000000"/>
                <w:sz w:val="24"/>
                <w:szCs w:val="24"/>
              </w:rPr>
              <w:t>318,604,116.22</w:t>
            </w:r>
          </w:p>
        </w:tc>
        <w:tc>
          <w:tcPr>
            <w:tcW w:w="1644" w:type="dxa"/>
            <w:vAlign w:val="center"/>
          </w:tcPr>
          <w:p w:rsidR="00D87D47" w:rsidRDefault="0061677D">
            <w:pPr>
              <w:jc w:val="right"/>
            </w:pPr>
            <w:r>
              <w:rPr>
                <w:color w:val="000000"/>
                <w:sz w:val="24"/>
                <w:szCs w:val="24"/>
              </w:rPr>
              <w:t>8.91</w:t>
            </w:r>
          </w:p>
        </w:tc>
      </w:tr>
      <w:tr w:rsidR="00D87D47">
        <w:trPr>
          <w:jc w:val="center"/>
        </w:trPr>
        <w:tc>
          <w:tcPr>
            <w:tcW w:w="855" w:type="dxa"/>
            <w:vAlign w:val="center"/>
          </w:tcPr>
          <w:p w:rsidR="00D87D47" w:rsidRDefault="0061677D">
            <w:pPr>
              <w:jc w:val="center"/>
            </w:pPr>
            <w:r>
              <w:rPr>
                <w:color w:val="000000"/>
                <w:sz w:val="24"/>
                <w:szCs w:val="24"/>
              </w:rPr>
              <w:t>2</w:t>
            </w:r>
          </w:p>
        </w:tc>
        <w:tc>
          <w:tcPr>
            <w:tcW w:w="1334" w:type="dxa"/>
            <w:vAlign w:val="center"/>
          </w:tcPr>
          <w:p w:rsidR="00D87D47" w:rsidRDefault="0061677D">
            <w:pPr>
              <w:jc w:val="center"/>
            </w:pPr>
            <w:r>
              <w:rPr>
                <w:color w:val="000000"/>
                <w:sz w:val="24"/>
                <w:szCs w:val="24"/>
              </w:rPr>
              <w:t>601933</w:t>
            </w:r>
          </w:p>
        </w:tc>
        <w:tc>
          <w:tcPr>
            <w:tcW w:w="1777" w:type="dxa"/>
            <w:vAlign w:val="center"/>
          </w:tcPr>
          <w:p w:rsidR="00D87D47" w:rsidRDefault="0061677D">
            <w:pPr>
              <w:jc w:val="center"/>
            </w:pPr>
            <w:r>
              <w:rPr>
                <w:color w:val="000000"/>
                <w:sz w:val="24"/>
                <w:szCs w:val="24"/>
              </w:rPr>
              <w:t>永辉超市</w:t>
            </w:r>
          </w:p>
        </w:tc>
        <w:tc>
          <w:tcPr>
            <w:tcW w:w="1334" w:type="dxa"/>
            <w:vAlign w:val="center"/>
          </w:tcPr>
          <w:p w:rsidR="00D87D47" w:rsidRDefault="0061677D">
            <w:pPr>
              <w:jc w:val="right"/>
            </w:pPr>
            <w:r>
              <w:rPr>
                <w:color w:val="000000"/>
                <w:sz w:val="24"/>
                <w:szCs w:val="24"/>
              </w:rPr>
              <w:t>27,258,380</w:t>
            </w:r>
          </w:p>
        </w:tc>
        <w:tc>
          <w:tcPr>
            <w:tcW w:w="1924" w:type="dxa"/>
            <w:vAlign w:val="center"/>
          </w:tcPr>
          <w:p w:rsidR="00D87D47" w:rsidRDefault="0061677D">
            <w:pPr>
              <w:jc w:val="right"/>
            </w:pPr>
            <w:r>
              <w:rPr>
                <w:color w:val="000000"/>
                <w:sz w:val="24"/>
                <w:szCs w:val="24"/>
              </w:rPr>
              <w:t>235,512,403.20</w:t>
            </w:r>
          </w:p>
        </w:tc>
        <w:tc>
          <w:tcPr>
            <w:tcW w:w="1644" w:type="dxa"/>
            <w:vAlign w:val="center"/>
          </w:tcPr>
          <w:p w:rsidR="00D87D47" w:rsidRDefault="0061677D">
            <w:pPr>
              <w:jc w:val="right"/>
            </w:pPr>
            <w:r>
              <w:rPr>
                <w:color w:val="000000"/>
                <w:sz w:val="24"/>
                <w:szCs w:val="24"/>
              </w:rPr>
              <w:t>6.58</w:t>
            </w:r>
          </w:p>
        </w:tc>
      </w:tr>
      <w:tr w:rsidR="00D87D47">
        <w:trPr>
          <w:jc w:val="center"/>
        </w:trPr>
        <w:tc>
          <w:tcPr>
            <w:tcW w:w="855" w:type="dxa"/>
            <w:vAlign w:val="center"/>
          </w:tcPr>
          <w:p w:rsidR="00D87D47" w:rsidRDefault="0061677D">
            <w:pPr>
              <w:jc w:val="center"/>
            </w:pPr>
            <w:r>
              <w:rPr>
                <w:color w:val="000000"/>
                <w:sz w:val="24"/>
                <w:szCs w:val="24"/>
              </w:rPr>
              <w:t>3</w:t>
            </w:r>
          </w:p>
        </w:tc>
        <w:tc>
          <w:tcPr>
            <w:tcW w:w="1334" w:type="dxa"/>
            <w:vAlign w:val="center"/>
          </w:tcPr>
          <w:p w:rsidR="00D87D47" w:rsidRDefault="0061677D">
            <w:pPr>
              <w:jc w:val="center"/>
            </w:pPr>
            <w:r>
              <w:rPr>
                <w:color w:val="000000"/>
                <w:sz w:val="24"/>
                <w:szCs w:val="24"/>
              </w:rPr>
              <w:t>601155</w:t>
            </w:r>
          </w:p>
        </w:tc>
        <w:tc>
          <w:tcPr>
            <w:tcW w:w="1777" w:type="dxa"/>
            <w:vAlign w:val="center"/>
          </w:tcPr>
          <w:p w:rsidR="00D87D47" w:rsidRDefault="0061677D">
            <w:pPr>
              <w:jc w:val="center"/>
            </w:pPr>
            <w:r>
              <w:rPr>
                <w:color w:val="000000"/>
                <w:sz w:val="24"/>
                <w:szCs w:val="24"/>
              </w:rPr>
              <w:t>新城控股</w:t>
            </w:r>
          </w:p>
        </w:tc>
        <w:tc>
          <w:tcPr>
            <w:tcW w:w="1334" w:type="dxa"/>
            <w:vAlign w:val="center"/>
          </w:tcPr>
          <w:p w:rsidR="00D87D47" w:rsidRDefault="0061677D">
            <w:pPr>
              <w:jc w:val="right"/>
            </w:pPr>
            <w:r>
              <w:rPr>
                <w:color w:val="000000"/>
                <w:sz w:val="24"/>
                <w:szCs w:val="24"/>
              </w:rPr>
              <w:t>4,757,114</w:t>
            </w:r>
          </w:p>
        </w:tc>
        <w:tc>
          <w:tcPr>
            <w:tcW w:w="1924" w:type="dxa"/>
            <w:vAlign w:val="center"/>
          </w:tcPr>
          <w:p w:rsidR="00D87D47" w:rsidRDefault="0061677D">
            <w:pPr>
              <w:jc w:val="right"/>
            </w:pPr>
            <w:r>
              <w:rPr>
                <w:color w:val="000000"/>
                <w:sz w:val="24"/>
                <w:szCs w:val="24"/>
              </w:rPr>
              <w:t>214,783,697.10</w:t>
            </w:r>
          </w:p>
        </w:tc>
        <w:tc>
          <w:tcPr>
            <w:tcW w:w="1644" w:type="dxa"/>
            <w:vAlign w:val="center"/>
          </w:tcPr>
          <w:p w:rsidR="00D87D47" w:rsidRDefault="0061677D">
            <w:pPr>
              <w:jc w:val="right"/>
            </w:pPr>
            <w:r>
              <w:rPr>
                <w:color w:val="000000"/>
                <w:sz w:val="24"/>
                <w:szCs w:val="24"/>
              </w:rPr>
              <w:t>6.00</w:t>
            </w:r>
          </w:p>
        </w:tc>
      </w:tr>
      <w:tr w:rsidR="00D87D47">
        <w:trPr>
          <w:jc w:val="center"/>
        </w:trPr>
        <w:tc>
          <w:tcPr>
            <w:tcW w:w="855" w:type="dxa"/>
            <w:vAlign w:val="center"/>
          </w:tcPr>
          <w:p w:rsidR="00D87D47" w:rsidRDefault="0061677D">
            <w:pPr>
              <w:jc w:val="center"/>
            </w:pPr>
            <w:r>
              <w:rPr>
                <w:color w:val="000000"/>
                <w:sz w:val="24"/>
                <w:szCs w:val="24"/>
              </w:rPr>
              <w:t>4</w:t>
            </w:r>
          </w:p>
        </w:tc>
        <w:tc>
          <w:tcPr>
            <w:tcW w:w="1334" w:type="dxa"/>
            <w:vAlign w:val="center"/>
          </w:tcPr>
          <w:p w:rsidR="00D87D47" w:rsidRDefault="0061677D">
            <w:pPr>
              <w:jc w:val="center"/>
            </w:pPr>
            <w:r>
              <w:rPr>
                <w:color w:val="000000"/>
                <w:sz w:val="24"/>
                <w:szCs w:val="24"/>
              </w:rPr>
              <w:t>300012</w:t>
            </w:r>
          </w:p>
        </w:tc>
        <w:tc>
          <w:tcPr>
            <w:tcW w:w="1777" w:type="dxa"/>
            <w:vAlign w:val="center"/>
          </w:tcPr>
          <w:p w:rsidR="00D87D47" w:rsidRDefault="0061677D">
            <w:pPr>
              <w:jc w:val="center"/>
            </w:pPr>
            <w:r>
              <w:rPr>
                <w:color w:val="000000"/>
                <w:sz w:val="24"/>
                <w:szCs w:val="24"/>
              </w:rPr>
              <w:t>华测检测</w:t>
            </w:r>
          </w:p>
        </w:tc>
        <w:tc>
          <w:tcPr>
            <w:tcW w:w="1334" w:type="dxa"/>
            <w:vAlign w:val="center"/>
          </w:tcPr>
          <w:p w:rsidR="00D87D47" w:rsidRDefault="0061677D">
            <w:pPr>
              <w:jc w:val="right"/>
            </w:pPr>
            <w:r>
              <w:rPr>
                <w:color w:val="000000"/>
                <w:sz w:val="24"/>
                <w:szCs w:val="24"/>
              </w:rPr>
              <w:t>21,715,754</w:t>
            </w:r>
          </w:p>
        </w:tc>
        <w:tc>
          <w:tcPr>
            <w:tcW w:w="1924" w:type="dxa"/>
            <w:vAlign w:val="center"/>
          </w:tcPr>
          <w:p w:rsidR="00D87D47" w:rsidRDefault="0061677D">
            <w:pPr>
              <w:jc w:val="right"/>
            </w:pPr>
            <w:r>
              <w:rPr>
                <w:color w:val="000000"/>
                <w:sz w:val="24"/>
                <w:szCs w:val="24"/>
              </w:rPr>
              <w:t>191,098,635.20</w:t>
            </w:r>
          </w:p>
        </w:tc>
        <w:tc>
          <w:tcPr>
            <w:tcW w:w="1644" w:type="dxa"/>
            <w:vAlign w:val="center"/>
          </w:tcPr>
          <w:p w:rsidR="00D87D47" w:rsidRDefault="0061677D">
            <w:pPr>
              <w:jc w:val="right"/>
            </w:pPr>
            <w:r>
              <w:rPr>
                <w:color w:val="000000"/>
                <w:sz w:val="24"/>
                <w:szCs w:val="24"/>
              </w:rPr>
              <w:t>5.34</w:t>
            </w:r>
          </w:p>
        </w:tc>
      </w:tr>
      <w:tr w:rsidR="00D87D47">
        <w:trPr>
          <w:jc w:val="center"/>
        </w:trPr>
        <w:tc>
          <w:tcPr>
            <w:tcW w:w="855" w:type="dxa"/>
            <w:vAlign w:val="center"/>
          </w:tcPr>
          <w:p w:rsidR="00D87D47" w:rsidRDefault="0061677D">
            <w:pPr>
              <w:jc w:val="center"/>
            </w:pPr>
            <w:r>
              <w:rPr>
                <w:color w:val="000000"/>
                <w:sz w:val="24"/>
                <w:szCs w:val="24"/>
              </w:rPr>
              <w:t>5</w:t>
            </w:r>
          </w:p>
        </w:tc>
        <w:tc>
          <w:tcPr>
            <w:tcW w:w="1334" w:type="dxa"/>
            <w:vAlign w:val="center"/>
          </w:tcPr>
          <w:p w:rsidR="00D87D47" w:rsidRDefault="0061677D">
            <w:pPr>
              <w:jc w:val="center"/>
            </w:pPr>
            <w:r>
              <w:rPr>
                <w:color w:val="000000"/>
                <w:sz w:val="24"/>
                <w:szCs w:val="24"/>
              </w:rPr>
              <w:t>000001</w:t>
            </w:r>
          </w:p>
        </w:tc>
        <w:tc>
          <w:tcPr>
            <w:tcW w:w="1777" w:type="dxa"/>
            <w:vAlign w:val="center"/>
          </w:tcPr>
          <w:p w:rsidR="00D87D47" w:rsidRDefault="0061677D">
            <w:pPr>
              <w:jc w:val="center"/>
            </w:pPr>
            <w:r>
              <w:rPr>
                <w:color w:val="000000"/>
                <w:sz w:val="24"/>
                <w:szCs w:val="24"/>
              </w:rPr>
              <w:t>平安银行</w:t>
            </w:r>
          </w:p>
        </w:tc>
        <w:tc>
          <w:tcPr>
            <w:tcW w:w="1334" w:type="dxa"/>
            <w:vAlign w:val="center"/>
          </w:tcPr>
          <w:p w:rsidR="00D87D47" w:rsidRDefault="0061677D">
            <w:pPr>
              <w:jc w:val="right"/>
            </w:pPr>
            <w:r>
              <w:rPr>
                <w:color w:val="000000"/>
                <w:sz w:val="24"/>
                <w:szCs w:val="24"/>
              </w:rPr>
              <w:t>13,872,546</w:t>
            </w:r>
          </w:p>
        </w:tc>
        <w:tc>
          <w:tcPr>
            <w:tcW w:w="1924" w:type="dxa"/>
            <w:vAlign w:val="center"/>
          </w:tcPr>
          <w:p w:rsidR="00D87D47" w:rsidRDefault="0061677D">
            <w:pPr>
              <w:jc w:val="right"/>
            </w:pPr>
            <w:r>
              <w:rPr>
                <w:color w:val="000000"/>
                <w:sz w:val="24"/>
                <w:szCs w:val="24"/>
              </w:rPr>
              <w:t>177,846,039.72</w:t>
            </w:r>
          </w:p>
        </w:tc>
        <w:tc>
          <w:tcPr>
            <w:tcW w:w="1644" w:type="dxa"/>
            <w:vAlign w:val="center"/>
          </w:tcPr>
          <w:p w:rsidR="00D87D47" w:rsidRDefault="0061677D">
            <w:pPr>
              <w:jc w:val="right"/>
            </w:pPr>
            <w:r>
              <w:rPr>
                <w:color w:val="000000"/>
                <w:sz w:val="24"/>
                <w:szCs w:val="24"/>
              </w:rPr>
              <w:t>4.97</w:t>
            </w:r>
          </w:p>
        </w:tc>
      </w:tr>
      <w:tr w:rsidR="00D87D47">
        <w:trPr>
          <w:jc w:val="center"/>
        </w:trPr>
        <w:tc>
          <w:tcPr>
            <w:tcW w:w="855" w:type="dxa"/>
            <w:vAlign w:val="center"/>
          </w:tcPr>
          <w:p w:rsidR="00D87D47" w:rsidRDefault="0061677D">
            <w:pPr>
              <w:jc w:val="center"/>
            </w:pPr>
            <w:r>
              <w:rPr>
                <w:color w:val="000000"/>
                <w:sz w:val="24"/>
                <w:szCs w:val="24"/>
              </w:rPr>
              <w:t>6</w:t>
            </w:r>
          </w:p>
        </w:tc>
        <w:tc>
          <w:tcPr>
            <w:tcW w:w="1334" w:type="dxa"/>
            <w:vAlign w:val="center"/>
          </w:tcPr>
          <w:p w:rsidR="00D87D47" w:rsidRDefault="0061677D">
            <w:pPr>
              <w:jc w:val="center"/>
            </w:pPr>
            <w:r>
              <w:rPr>
                <w:color w:val="000000"/>
                <w:sz w:val="24"/>
                <w:szCs w:val="24"/>
              </w:rPr>
              <w:t>600763</w:t>
            </w:r>
          </w:p>
        </w:tc>
        <w:tc>
          <w:tcPr>
            <w:tcW w:w="1777" w:type="dxa"/>
            <w:vAlign w:val="center"/>
          </w:tcPr>
          <w:p w:rsidR="00D87D47" w:rsidRDefault="0061677D">
            <w:pPr>
              <w:jc w:val="center"/>
            </w:pPr>
            <w:r>
              <w:rPr>
                <w:color w:val="000000"/>
                <w:sz w:val="24"/>
                <w:szCs w:val="24"/>
              </w:rPr>
              <w:t>通策医疗</w:t>
            </w:r>
          </w:p>
        </w:tc>
        <w:tc>
          <w:tcPr>
            <w:tcW w:w="1334" w:type="dxa"/>
            <w:vAlign w:val="center"/>
          </w:tcPr>
          <w:p w:rsidR="00D87D47" w:rsidRDefault="0061677D">
            <w:pPr>
              <w:jc w:val="right"/>
            </w:pPr>
            <w:r>
              <w:rPr>
                <w:color w:val="000000"/>
                <w:sz w:val="24"/>
                <w:szCs w:val="24"/>
              </w:rPr>
              <w:t>2,427,733</w:t>
            </w:r>
          </w:p>
        </w:tc>
        <w:tc>
          <w:tcPr>
            <w:tcW w:w="1924" w:type="dxa"/>
            <w:vAlign w:val="center"/>
          </w:tcPr>
          <w:p w:rsidR="00D87D47" w:rsidRDefault="0061677D">
            <w:pPr>
              <w:jc w:val="right"/>
            </w:pPr>
            <w:r>
              <w:rPr>
                <w:color w:val="000000"/>
                <w:sz w:val="24"/>
                <w:szCs w:val="24"/>
              </w:rPr>
              <w:t>171,155,176.50</w:t>
            </w:r>
          </w:p>
        </w:tc>
        <w:tc>
          <w:tcPr>
            <w:tcW w:w="1644" w:type="dxa"/>
            <w:vAlign w:val="center"/>
          </w:tcPr>
          <w:p w:rsidR="00D87D47" w:rsidRDefault="0061677D">
            <w:pPr>
              <w:jc w:val="right"/>
            </w:pPr>
            <w:r>
              <w:rPr>
                <w:color w:val="000000"/>
                <w:sz w:val="24"/>
                <w:szCs w:val="24"/>
              </w:rPr>
              <w:t>4.78</w:t>
            </w:r>
          </w:p>
        </w:tc>
      </w:tr>
      <w:tr w:rsidR="00D87D47">
        <w:trPr>
          <w:jc w:val="center"/>
        </w:trPr>
        <w:tc>
          <w:tcPr>
            <w:tcW w:w="855" w:type="dxa"/>
            <w:vAlign w:val="center"/>
          </w:tcPr>
          <w:p w:rsidR="00D87D47" w:rsidRDefault="0061677D">
            <w:pPr>
              <w:jc w:val="center"/>
            </w:pPr>
            <w:r>
              <w:rPr>
                <w:color w:val="000000"/>
                <w:sz w:val="24"/>
                <w:szCs w:val="24"/>
              </w:rPr>
              <w:t>7</w:t>
            </w:r>
          </w:p>
        </w:tc>
        <w:tc>
          <w:tcPr>
            <w:tcW w:w="1334" w:type="dxa"/>
            <w:vAlign w:val="center"/>
          </w:tcPr>
          <w:p w:rsidR="00D87D47" w:rsidRDefault="0061677D">
            <w:pPr>
              <w:jc w:val="center"/>
            </w:pPr>
            <w:r>
              <w:rPr>
                <w:color w:val="000000"/>
                <w:sz w:val="24"/>
                <w:szCs w:val="24"/>
              </w:rPr>
              <w:t>601318</w:t>
            </w:r>
          </w:p>
        </w:tc>
        <w:tc>
          <w:tcPr>
            <w:tcW w:w="1777" w:type="dxa"/>
            <w:vAlign w:val="center"/>
          </w:tcPr>
          <w:p w:rsidR="00D87D47" w:rsidRDefault="0061677D">
            <w:pPr>
              <w:jc w:val="center"/>
            </w:pPr>
            <w:r>
              <w:rPr>
                <w:color w:val="000000"/>
                <w:sz w:val="24"/>
                <w:szCs w:val="24"/>
              </w:rPr>
              <w:t>中国平安</w:t>
            </w:r>
          </w:p>
        </w:tc>
        <w:tc>
          <w:tcPr>
            <w:tcW w:w="1334" w:type="dxa"/>
            <w:vAlign w:val="center"/>
          </w:tcPr>
          <w:p w:rsidR="00D87D47" w:rsidRDefault="0061677D">
            <w:pPr>
              <w:jc w:val="right"/>
            </w:pPr>
            <w:r>
              <w:rPr>
                <w:color w:val="000000"/>
                <w:sz w:val="24"/>
                <w:szCs w:val="24"/>
              </w:rPr>
              <w:t>2,064,100</w:t>
            </w:r>
          </w:p>
        </w:tc>
        <w:tc>
          <w:tcPr>
            <w:tcW w:w="1924" w:type="dxa"/>
            <w:vAlign w:val="center"/>
          </w:tcPr>
          <w:p w:rsidR="00D87D47" w:rsidRDefault="0061677D">
            <w:pPr>
              <w:jc w:val="right"/>
            </w:pPr>
            <w:r>
              <w:rPr>
                <w:color w:val="000000"/>
                <w:sz w:val="24"/>
                <w:szCs w:val="24"/>
              </w:rPr>
              <w:t>159,142,110.00</w:t>
            </w:r>
          </w:p>
        </w:tc>
        <w:tc>
          <w:tcPr>
            <w:tcW w:w="1644" w:type="dxa"/>
            <w:vAlign w:val="center"/>
          </w:tcPr>
          <w:p w:rsidR="00D87D47" w:rsidRDefault="0061677D">
            <w:pPr>
              <w:jc w:val="right"/>
            </w:pPr>
            <w:r>
              <w:rPr>
                <w:color w:val="000000"/>
                <w:sz w:val="24"/>
                <w:szCs w:val="24"/>
              </w:rPr>
              <w:t>4.45</w:t>
            </w:r>
          </w:p>
        </w:tc>
      </w:tr>
      <w:tr w:rsidR="00D87D47">
        <w:trPr>
          <w:jc w:val="center"/>
        </w:trPr>
        <w:tc>
          <w:tcPr>
            <w:tcW w:w="855" w:type="dxa"/>
            <w:vAlign w:val="center"/>
          </w:tcPr>
          <w:p w:rsidR="00D87D47" w:rsidRDefault="0061677D">
            <w:pPr>
              <w:jc w:val="center"/>
            </w:pPr>
            <w:r>
              <w:rPr>
                <w:color w:val="000000"/>
                <w:sz w:val="24"/>
                <w:szCs w:val="24"/>
              </w:rPr>
              <w:t>8</w:t>
            </w:r>
          </w:p>
        </w:tc>
        <w:tc>
          <w:tcPr>
            <w:tcW w:w="1334" w:type="dxa"/>
            <w:vAlign w:val="center"/>
          </w:tcPr>
          <w:p w:rsidR="00D87D47" w:rsidRDefault="0061677D">
            <w:pPr>
              <w:jc w:val="center"/>
            </w:pPr>
            <w:r>
              <w:rPr>
                <w:color w:val="000000"/>
                <w:sz w:val="24"/>
                <w:szCs w:val="24"/>
              </w:rPr>
              <w:t>000681</w:t>
            </w:r>
          </w:p>
        </w:tc>
        <w:tc>
          <w:tcPr>
            <w:tcW w:w="1777" w:type="dxa"/>
            <w:vAlign w:val="center"/>
          </w:tcPr>
          <w:p w:rsidR="00D87D47" w:rsidRDefault="0061677D">
            <w:pPr>
              <w:jc w:val="center"/>
            </w:pPr>
            <w:r>
              <w:rPr>
                <w:color w:val="000000"/>
                <w:sz w:val="24"/>
                <w:szCs w:val="24"/>
              </w:rPr>
              <w:t>视觉中国</w:t>
            </w:r>
          </w:p>
        </w:tc>
        <w:tc>
          <w:tcPr>
            <w:tcW w:w="1334" w:type="dxa"/>
            <w:vAlign w:val="center"/>
          </w:tcPr>
          <w:p w:rsidR="00D87D47" w:rsidRDefault="0061677D">
            <w:pPr>
              <w:jc w:val="right"/>
            </w:pPr>
            <w:r>
              <w:rPr>
                <w:color w:val="000000"/>
                <w:sz w:val="24"/>
                <w:szCs w:val="24"/>
              </w:rPr>
              <w:t>5,708,534</w:t>
            </w:r>
          </w:p>
        </w:tc>
        <w:tc>
          <w:tcPr>
            <w:tcW w:w="1924" w:type="dxa"/>
            <w:vAlign w:val="center"/>
          </w:tcPr>
          <w:p w:rsidR="00D87D47" w:rsidRDefault="0061677D">
            <w:pPr>
              <w:jc w:val="right"/>
            </w:pPr>
            <w:r>
              <w:rPr>
                <w:color w:val="000000"/>
                <w:sz w:val="24"/>
                <w:szCs w:val="24"/>
              </w:rPr>
              <w:t>150,476,956.24</w:t>
            </w:r>
          </w:p>
        </w:tc>
        <w:tc>
          <w:tcPr>
            <w:tcW w:w="1644" w:type="dxa"/>
            <w:vAlign w:val="center"/>
          </w:tcPr>
          <w:p w:rsidR="00D87D47" w:rsidRDefault="0061677D">
            <w:pPr>
              <w:jc w:val="right"/>
            </w:pPr>
            <w:r>
              <w:rPr>
                <w:color w:val="000000"/>
                <w:sz w:val="24"/>
                <w:szCs w:val="24"/>
              </w:rPr>
              <w:t>4.21</w:t>
            </w:r>
          </w:p>
        </w:tc>
      </w:tr>
      <w:tr w:rsidR="00D87D47">
        <w:trPr>
          <w:jc w:val="center"/>
        </w:trPr>
        <w:tc>
          <w:tcPr>
            <w:tcW w:w="855" w:type="dxa"/>
            <w:vAlign w:val="center"/>
          </w:tcPr>
          <w:p w:rsidR="00D87D47" w:rsidRDefault="0061677D">
            <w:pPr>
              <w:jc w:val="center"/>
            </w:pPr>
            <w:r>
              <w:rPr>
                <w:color w:val="000000"/>
                <w:sz w:val="24"/>
                <w:szCs w:val="24"/>
              </w:rPr>
              <w:t>9</w:t>
            </w:r>
          </w:p>
        </w:tc>
        <w:tc>
          <w:tcPr>
            <w:tcW w:w="1334" w:type="dxa"/>
            <w:vAlign w:val="center"/>
          </w:tcPr>
          <w:p w:rsidR="00D87D47" w:rsidRDefault="0061677D">
            <w:pPr>
              <w:jc w:val="center"/>
            </w:pPr>
            <w:r>
              <w:rPr>
                <w:color w:val="000000"/>
                <w:sz w:val="24"/>
                <w:szCs w:val="24"/>
              </w:rPr>
              <w:t>002271</w:t>
            </w:r>
          </w:p>
        </w:tc>
        <w:tc>
          <w:tcPr>
            <w:tcW w:w="1777" w:type="dxa"/>
            <w:vAlign w:val="center"/>
          </w:tcPr>
          <w:p w:rsidR="00D87D47" w:rsidRDefault="0061677D">
            <w:pPr>
              <w:jc w:val="center"/>
            </w:pPr>
            <w:r>
              <w:rPr>
                <w:color w:val="000000"/>
                <w:sz w:val="24"/>
                <w:szCs w:val="24"/>
              </w:rPr>
              <w:t>东方雨虹</w:t>
            </w:r>
          </w:p>
        </w:tc>
        <w:tc>
          <w:tcPr>
            <w:tcW w:w="1334" w:type="dxa"/>
            <w:vAlign w:val="center"/>
          </w:tcPr>
          <w:p w:rsidR="00D87D47" w:rsidRDefault="0061677D">
            <w:pPr>
              <w:jc w:val="right"/>
            </w:pPr>
            <w:r>
              <w:rPr>
                <w:color w:val="000000"/>
                <w:sz w:val="24"/>
                <w:szCs w:val="24"/>
              </w:rPr>
              <w:t>7,124,002</w:t>
            </w:r>
          </w:p>
        </w:tc>
        <w:tc>
          <w:tcPr>
            <w:tcW w:w="1924" w:type="dxa"/>
            <w:vAlign w:val="center"/>
          </w:tcPr>
          <w:p w:rsidR="00D87D47" w:rsidRDefault="0061677D">
            <w:pPr>
              <w:jc w:val="right"/>
            </w:pPr>
            <w:r>
              <w:rPr>
                <w:color w:val="000000"/>
                <w:sz w:val="24"/>
                <w:szCs w:val="24"/>
              </w:rPr>
              <w:t>150,102,722.14</w:t>
            </w:r>
          </w:p>
        </w:tc>
        <w:tc>
          <w:tcPr>
            <w:tcW w:w="1644" w:type="dxa"/>
            <w:vAlign w:val="center"/>
          </w:tcPr>
          <w:p w:rsidR="00D87D47" w:rsidRDefault="0061677D">
            <w:pPr>
              <w:jc w:val="right"/>
            </w:pPr>
            <w:r>
              <w:rPr>
                <w:color w:val="000000"/>
                <w:sz w:val="24"/>
                <w:szCs w:val="24"/>
              </w:rPr>
              <w:t>4.20</w:t>
            </w:r>
          </w:p>
        </w:tc>
      </w:tr>
      <w:tr w:rsidR="00D87D47">
        <w:trPr>
          <w:jc w:val="center"/>
        </w:trPr>
        <w:tc>
          <w:tcPr>
            <w:tcW w:w="855" w:type="dxa"/>
            <w:vAlign w:val="center"/>
          </w:tcPr>
          <w:p w:rsidR="00D87D47" w:rsidRDefault="0061677D">
            <w:pPr>
              <w:jc w:val="center"/>
            </w:pPr>
            <w:r>
              <w:rPr>
                <w:color w:val="000000"/>
                <w:sz w:val="24"/>
                <w:szCs w:val="24"/>
              </w:rPr>
              <w:t>10</w:t>
            </w:r>
          </w:p>
        </w:tc>
        <w:tc>
          <w:tcPr>
            <w:tcW w:w="1334" w:type="dxa"/>
            <w:vAlign w:val="center"/>
          </w:tcPr>
          <w:p w:rsidR="00D87D47" w:rsidRDefault="0061677D">
            <w:pPr>
              <w:jc w:val="center"/>
            </w:pPr>
            <w:r>
              <w:rPr>
                <w:color w:val="000000"/>
                <w:sz w:val="24"/>
                <w:szCs w:val="24"/>
              </w:rPr>
              <w:t>002607</w:t>
            </w:r>
          </w:p>
        </w:tc>
        <w:tc>
          <w:tcPr>
            <w:tcW w:w="1777" w:type="dxa"/>
            <w:vAlign w:val="center"/>
          </w:tcPr>
          <w:p w:rsidR="00D87D47" w:rsidRDefault="0061677D">
            <w:pPr>
              <w:jc w:val="center"/>
            </w:pPr>
            <w:r>
              <w:rPr>
                <w:color w:val="000000"/>
                <w:sz w:val="24"/>
                <w:szCs w:val="24"/>
              </w:rPr>
              <w:t>中公教育</w:t>
            </w:r>
          </w:p>
        </w:tc>
        <w:tc>
          <w:tcPr>
            <w:tcW w:w="1334" w:type="dxa"/>
            <w:vAlign w:val="center"/>
          </w:tcPr>
          <w:p w:rsidR="00D87D47" w:rsidRDefault="0061677D">
            <w:pPr>
              <w:jc w:val="right"/>
            </w:pPr>
            <w:r>
              <w:rPr>
                <w:color w:val="000000"/>
                <w:sz w:val="24"/>
                <w:szCs w:val="24"/>
              </w:rPr>
              <w:t>11,306,719</w:t>
            </w:r>
          </w:p>
        </w:tc>
        <w:tc>
          <w:tcPr>
            <w:tcW w:w="1924" w:type="dxa"/>
            <w:vAlign w:val="center"/>
          </w:tcPr>
          <w:p w:rsidR="00D87D47" w:rsidRDefault="0061677D">
            <w:pPr>
              <w:jc w:val="right"/>
            </w:pPr>
            <w:r>
              <w:rPr>
                <w:color w:val="000000"/>
                <w:sz w:val="24"/>
                <w:szCs w:val="24"/>
              </w:rPr>
              <w:t>145,630,540.72</w:t>
            </w:r>
          </w:p>
        </w:tc>
        <w:tc>
          <w:tcPr>
            <w:tcW w:w="1644" w:type="dxa"/>
            <w:vAlign w:val="center"/>
          </w:tcPr>
          <w:p w:rsidR="00D87D47" w:rsidRDefault="0061677D">
            <w:pPr>
              <w:jc w:val="right"/>
            </w:pPr>
            <w:r>
              <w:rPr>
                <w:color w:val="000000"/>
                <w:sz w:val="24"/>
                <w:szCs w:val="24"/>
              </w:rPr>
              <w:t>4.07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174,107,500.00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174,107,500.00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87D47">
        <w:trPr>
          <w:jc w:val="center"/>
        </w:trPr>
        <w:tc>
          <w:tcPr>
            <w:tcW w:w="850" w:type="dxa"/>
            <w:vAlign w:val="center"/>
          </w:tcPr>
          <w:p w:rsidR="00D87D47" w:rsidRDefault="0061677D">
            <w:pPr>
              <w:jc w:val="center"/>
            </w:pPr>
            <w:r>
              <w:rPr>
                <w:color w:val="000000"/>
                <w:sz w:val="24"/>
                <w:szCs w:val="24"/>
              </w:rPr>
              <w:t>1</w:t>
            </w:r>
          </w:p>
        </w:tc>
        <w:tc>
          <w:tcPr>
            <w:tcW w:w="1475" w:type="dxa"/>
            <w:vAlign w:val="center"/>
          </w:tcPr>
          <w:p w:rsidR="00D87D47" w:rsidRDefault="0061677D">
            <w:pPr>
              <w:jc w:val="center"/>
            </w:pPr>
            <w:r>
              <w:rPr>
                <w:color w:val="000000"/>
                <w:sz w:val="24"/>
                <w:szCs w:val="24"/>
              </w:rPr>
              <w:t>199908</w:t>
            </w:r>
          </w:p>
        </w:tc>
        <w:tc>
          <w:tcPr>
            <w:tcW w:w="1769" w:type="dxa"/>
            <w:vAlign w:val="center"/>
          </w:tcPr>
          <w:p w:rsidR="00D87D47" w:rsidRDefault="0061677D">
            <w:pPr>
              <w:jc w:val="center"/>
            </w:pPr>
            <w:r>
              <w:rPr>
                <w:color w:val="000000"/>
                <w:sz w:val="24"/>
                <w:szCs w:val="24"/>
              </w:rPr>
              <w:t>19</w:t>
            </w:r>
            <w:r>
              <w:rPr>
                <w:color w:val="000000"/>
                <w:sz w:val="24"/>
                <w:szCs w:val="24"/>
              </w:rPr>
              <w:t>贴现国债</w:t>
            </w:r>
            <w:r>
              <w:rPr>
                <w:color w:val="000000"/>
                <w:sz w:val="24"/>
                <w:szCs w:val="24"/>
              </w:rPr>
              <w:t>08</w:t>
            </w:r>
          </w:p>
        </w:tc>
        <w:tc>
          <w:tcPr>
            <w:tcW w:w="1387" w:type="dxa"/>
            <w:vAlign w:val="center"/>
          </w:tcPr>
          <w:p w:rsidR="00D87D47" w:rsidRDefault="0061677D">
            <w:pPr>
              <w:jc w:val="right"/>
            </w:pPr>
            <w:r>
              <w:rPr>
                <w:color w:val="000000"/>
                <w:sz w:val="24"/>
                <w:szCs w:val="24"/>
              </w:rPr>
              <w:t>1,750,000</w:t>
            </w:r>
          </w:p>
        </w:tc>
        <w:tc>
          <w:tcPr>
            <w:tcW w:w="2150" w:type="dxa"/>
            <w:vAlign w:val="center"/>
          </w:tcPr>
          <w:p w:rsidR="00D87D47" w:rsidRDefault="0061677D">
            <w:pPr>
              <w:jc w:val="right"/>
            </w:pPr>
            <w:r>
              <w:rPr>
                <w:color w:val="000000"/>
                <w:sz w:val="24"/>
                <w:szCs w:val="24"/>
              </w:rPr>
              <w:t>174,107,500.00</w:t>
            </w:r>
          </w:p>
        </w:tc>
        <w:tc>
          <w:tcPr>
            <w:tcW w:w="1237" w:type="dxa"/>
            <w:vAlign w:val="center"/>
          </w:tcPr>
          <w:p w:rsidR="00D87D47" w:rsidRDefault="0061677D">
            <w:pPr>
              <w:jc w:val="right"/>
            </w:pPr>
            <w:r>
              <w:rPr>
                <w:color w:val="000000"/>
                <w:sz w:val="24"/>
                <w:szCs w:val="24"/>
              </w:rPr>
              <w:t>4.87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1,167,376.09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452,242.41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493,523.64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10,535,799.86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12,648,942.00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D87D47">
        <w:trPr>
          <w:jc w:val="center"/>
        </w:trPr>
        <w:tc>
          <w:tcPr>
            <w:tcW w:w="1129" w:type="dxa"/>
            <w:vAlign w:val="center"/>
          </w:tcPr>
          <w:p w:rsidR="00D87D47" w:rsidRDefault="0061677D">
            <w:pPr>
              <w:jc w:val="center"/>
            </w:pPr>
            <w:r>
              <w:rPr>
                <w:color w:val="000000"/>
                <w:sz w:val="24"/>
                <w:szCs w:val="24"/>
              </w:rPr>
              <w:t>1</w:t>
            </w:r>
          </w:p>
        </w:tc>
        <w:tc>
          <w:tcPr>
            <w:tcW w:w="1356" w:type="dxa"/>
            <w:vAlign w:val="center"/>
          </w:tcPr>
          <w:p w:rsidR="00D87D47" w:rsidRDefault="0061677D">
            <w:pPr>
              <w:jc w:val="center"/>
            </w:pPr>
            <w:r>
              <w:rPr>
                <w:color w:val="000000"/>
                <w:sz w:val="24"/>
                <w:szCs w:val="24"/>
              </w:rPr>
              <w:t>002044</w:t>
            </w:r>
          </w:p>
        </w:tc>
        <w:tc>
          <w:tcPr>
            <w:tcW w:w="1355" w:type="dxa"/>
            <w:vAlign w:val="center"/>
          </w:tcPr>
          <w:p w:rsidR="00D87D47" w:rsidRDefault="0061677D">
            <w:pPr>
              <w:jc w:val="center"/>
            </w:pPr>
            <w:r>
              <w:rPr>
                <w:color w:val="000000"/>
                <w:sz w:val="24"/>
                <w:szCs w:val="24"/>
              </w:rPr>
              <w:t>美年健康</w:t>
            </w:r>
          </w:p>
        </w:tc>
        <w:tc>
          <w:tcPr>
            <w:tcW w:w="1880" w:type="dxa"/>
            <w:vAlign w:val="center"/>
          </w:tcPr>
          <w:p w:rsidR="00D87D47" w:rsidRDefault="0061677D">
            <w:pPr>
              <w:jc w:val="right"/>
            </w:pPr>
            <w:r>
              <w:rPr>
                <w:color w:val="000000"/>
                <w:sz w:val="24"/>
                <w:szCs w:val="24"/>
              </w:rPr>
              <w:t>68,601,000.00</w:t>
            </w:r>
          </w:p>
        </w:tc>
        <w:tc>
          <w:tcPr>
            <w:tcW w:w="1724" w:type="dxa"/>
            <w:vAlign w:val="center"/>
          </w:tcPr>
          <w:p w:rsidR="00D87D47" w:rsidRDefault="0061677D">
            <w:pPr>
              <w:jc w:val="right"/>
            </w:pPr>
            <w:r>
              <w:rPr>
                <w:color w:val="000000"/>
                <w:sz w:val="24"/>
                <w:szCs w:val="24"/>
              </w:rPr>
              <w:t>1.92</w:t>
            </w:r>
          </w:p>
        </w:tc>
        <w:tc>
          <w:tcPr>
            <w:tcW w:w="1424" w:type="dxa"/>
            <w:vAlign w:val="center"/>
          </w:tcPr>
          <w:p w:rsidR="00D87D47" w:rsidRDefault="0061677D">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1,498,034,964.65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388,952,035.51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279,831,575.92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1,607,155,424.24</w:t>
            </w:r>
          </w:p>
        </w:tc>
      </w:tr>
    </w:tbl>
    <w:p w:rsidR="00D87D47" w:rsidRDefault="0061677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127C99">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87D47" w:rsidRDefault="0061677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D87D47" w:rsidRDefault="0061677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、《交银施罗德新成长混合型证券投资基金基金合同》；</w:t>
      </w:r>
      <w:r>
        <w:rPr>
          <w:color w:val="000000"/>
          <w:sz w:val="24"/>
          <w:szCs w:val="24"/>
        </w:rPr>
        <w:t xml:space="preserve"> </w:t>
      </w:r>
    </w:p>
    <w:p w:rsidR="00D87D47" w:rsidRDefault="0061677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、《交银施罗德新成长混合型证券投资基金招募说明书》；</w:t>
      </w:r>
      <w:r>
        <w:rPr>
          <w:color w:val="000000"/>
          <w:sz w:val="24"/>
          <w:szCs w:val="24"/>
        </w:rPr>
        <w:t xml:space="preserve"> </w:t>
      </w:r>
    </w:p>
    <w:p w:rsidR="00D87D47" w:rsidRDefault="0061677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、《交银施罗德新成长混合型证券投资基金托管协议》；</w:t>
      </w:r>
    </w:p>
    <w:p w:rsidR="00D87D47" w:rsidRDefault="0061677D">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D87D47" w:rsidRDefault="0061677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D87D47" w:rsidRDefault="0061677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87D47" w:rsidRDefault="0061677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13F" w:rsidRDefault="001F413F" w:rsidP="00876D65">
      <w:r>
        <w:separator/>
      </w:r>
    </w:p>
  </w:endnote>
  <w:endnote w:type="continuationSeparator" w:id="0">
    <w:p w:rsidR="001F413F" w:rsidRDefault="001F413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96332E">
      <w:rPr>
        <w:noProof/>
        <w:kern w:val="0"/>
        <w:szCs w:val="21"/>
      </w:rPr>
      <w:t>11</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96332E">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13F" w:rsidRDefault="001F413F" w:rsidP="00876D65">
      <w:r>
        <w:separator/>
      </w:r>
    </w:p>
  </w:footnote>
  <w:footnote w:type="continuationSeparator" w:id="0">
    <w:p w:rsidR="001F413F" w:rsidRDefault="001F413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交银施罗德新成长混合型证券投资基金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27C99"/>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413F"/>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1677D"/>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32E"/>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87D47"/>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65BE2F-9CF0-4E8E-9BF6-1C977A96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0AE2-4832-42DF-B7FA-17D4E756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1</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581</cp:revision>
  <dcterms:created xsi:type="dcterms:W3CDTF">2012-10-16T06:07:00Z</dcterms:created>
  <dcterms:modified xsi:type="dcterms:W3CDTF">2019-04-17T08:59:00Z</dcterms:modified>
</cp:coreProperties>
</file>