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交银施罗德理财21天债券型证券投资基金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2019年第1季度报告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2019年3月31日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二〇一九年四月二十日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本报告期自2019年1月1日起至3月31日止。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交银理财21天债券</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519716</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2012年11月5日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20,255,464,261.75</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七天通知存款税后利率</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本基金属于债券型证券投资基金，长期风险收益水平低于股票型基金、混合型基金，高于货币市场型证券投资基金。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交银理财21天债券A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交银理财21天债券B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519716</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519717</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11,381,247.00</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20,244,083,014.75</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2019年1月1日-</w:t>
            </w:r>
            <w:proofErr w:type="spellStart"/>
            <w:r w:rsidRPr="000E4C40">
              <w:rPr>
                <w:color w:val="000000"/>
                <w:sz w:val="24"/>
              </w:rPr>
              <w:t/>
            </w:r>
            <w:proofErr w:type="spellEnd"/>
            <w:r w:rsidRPr="000E4C40">
              <w:rPr>
                <w:color w:val="000000"/>
                <w:sz w:val="24"/>
              </w:rPr>
              <w:t>2019年3月31日)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交银理财21天债券A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交银理财21天债券B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88,667.83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173,274,524.23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88,667.83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173,274,524.23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11,381,247.00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20,244,083,014.75</w:t>
            </w:r>
          </w:p>
        </w:tc>
      </w:tr>
    </w:tbl>
    <w:p>
      <w:pPr>
        <w:autoSpaceDE w:val="0"/>
        <w:autoSpaceDN w:val="0"/>
        <w:adjustRightInd w:val="0"/>
        <w:spacing w:before="29" w:line="288" w:lineRule="auto"/>
        <w:jc w:val="left"/>
        <w:rPr>
          <w:color w:val="000000"/>
          <w:sz w:val="24"/>
        </w:rPr>
      </w:pPr>
      <w:r>
        <w:rPr>
          <w:color w:val="000000"/>
          <w:sz w:val="24"/>
        </w:rPr>
        <w:t>注：1、自2013年1月9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在计算主要财务指标时，A类基金份额与分类前基金连续计算，B类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交银理财21天债券A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0.7305%</w:t>
            </w:r>
          </w:p>
        </w:tc>
        <w:tc>
          <w:tcPr>
            <w:vAlign w:val="center"/>
          </w:tcPr>
          <w:p>
            <w:pPr>
              <w:jc w:val="center"/>
            </w:pPr>
            <w:r>
              <w:rPr>
                <w:rFonts w:ascii="Times New Roman" w:hAnsi="Times New Roman"/>
                <w:color w:val="000000"/>
              </w:rPr>
              <w:t>0.0016%</w:t>
            </w:r>
          </w:p>
        </w:tc>
        <w:tc>
          <w:tcPr>
            <w:vAlign w:val="center"/>
          </w:tcPr>
          <w:p>
            <w:pPr>
              <w:jc w:val="center"/>
            </w:pPr>
            <w:r>
              <w:rPr>
                <w:rFonts w:ascii="Times New Roman" w:hAnsi="Times New Roman"/>
                <w:color w:val="000000"/>
              </w:rPr>
              <w:t>0.3329%</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0.3976%</w:t>
            </w:r>
          </w:p>
        </w:tc>
        <w:tc>
          <w:tcPr>
            <w:vAlign w:val="center"/>
          </w:tcPr>
          <w:p>
            <w:pPr>
              <w:jc w:val="center"/>
            </w:pPr>
            <w:r>
              <w:rPr>
                <w:rFonts w:ascii="Times New Roman" w:hAnsi="Times New Roman"/>
                <w:color w:val="000000"/>
              </w:rPr>
              <w:t>0.0016%</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 xml:space="preserve">    2、本基金每日计算当日收益并分配，并在运作期期末集中支付。</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交银理财21天债券B</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0.8026%</w:t>
            </w:r>
          </w:p>
        </w:tc>
        <w:tc>
          <w:tcPr>
            <w:vAlign w:val="center"/>
          </w:tcPr>
          <w:p>
            <w:pPr>
              <w:jc w:val="center"/>
            </w:pPr>
            <w:r>
              <w:rPr>
                <w:rFonts w:ascii="Times New Roman" w:hAnsi="Times New Roman"/>
                <w:color w:val="000000"/>
              </w:rPr>
              <w:t>0.0016%</w:t>
            </w:r>
          </w:p>
        </w:tc>
        <w:tc>
          <w:tcPr>
            <w:vAlign w:val="center"/>
          </w:tcPr>
          <w:p>
            <w:pPr>
              <w:jc w:val="center"/>
            </w:pPr>
            <w:r>
              <w:rPr>
                <w:rFonts w:ascii="Times New Roman" w:hAnsi="Times New Roman"/>
                <w:color w:val="000000"/>
              </w:rPr>
              <w:t>0.3329%</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0.4697%</w:t>
            </w:r>
          </w:p>
        </w:tc>
        <w:tc>
          <w:tcPr>
            <w:vAlign w:val="center"/>
          </w:tcPr>
          <w:p>
            <w:pPr>
              <w:jc w:val="center"/>
            </w:pPr>
            <w:r>
              <w:rPr>
                <w:rFonts w:ascii="Times New Roman" w:hAnsi="Times New Roman"/>
                <w:color w:val="000000"/>
              </w:rPr>
              <w:t>0.0016%</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注：1、本表净值收益率数据所取的基金运作周期为基金分类日为起始日的运作周期。</w:t>
      </w:r>
    </w:p>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 xml:space="preserve">    2、本基金每日计算当日收益并分配，并在运作期期末集中支付。</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交银施罗德理财21天债券型证券投资基金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2012年11月5日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2019年3月31日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交银理财21天债券A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注：图示日期为2012年11月5日至2019年3月31日。本基金建仓期为自基金合同生效日起的6个月。截至建仓期结束，本基金各项资产配置比例符合基金合同及招募说明书有关投资比例的约定。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交银理财21天债券B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注：图示日期为2013年1月9日至2019年3月31日。本基金建仓期为自基金合同生效日起的6个月。截至建仓期结束，本基金各项资产配置比例符合基金合同及招募说明书有关投资比例的约定。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交银稳鑫短债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p>
            <w:pPr>
              <w:jc w:val="both"/>
            </w:pPr>
            <w:r>
              <w:rPr>
                <w:color w:val="000000"/>
                <w:sz w:val="24"/>
              </w:rPr>
              <w:t/>
            </w:r>
          </w:p>
          <w:p>
            <w:pPr>
              <w:jc w:val="both"/>
            </w:pPr>
            <w:r>
              <w:rPr>
                <w:color w:val="000000"/>
                <w:sz w:val="24"/>
              </w:rPr>
              <w:t>	</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的表现逐步向好，部分金融信贷数据企稳，通胀走高的担忧加剧。权益类资产的表现优于债券类资产，货币基金的收益率在短端利率的下行中进一步走低。货币政策方面，美联储在三月的会议纪要偏鸽派,市场进一步预期美联储将开始降息操作。同时央行在一月调降存款准备金率100bp，以对冲一季度的MLF到期，继续保持稳健偏宽松的态度。在降准的帮助下，货币市场资金在一季度保持了宽裕的状态，银行间隔夜利率基本在2.0-2.7%之间，七天和隔夜的利差进一步压缩至10-20bps。银行存单市场在三月上行并不明显，AAA评级的三个月存单在2.80-2.95%之间窄幅震荡。报告期内，三个月上海银行间拆借利率下行55bp到2.80%。</w:t>
      </w:r>
    </w:p>
    <w:p>
      <w:pPr>
        <w:spacing w:before="29" w:line="288" w:lineRule="auto"/>
        <w:ind w:firstLine="480" w:firstLineChars="200"/>
        <w:rPr>
          <w:color w:val="000000"/>
          <w:sz w:val="24"/>
        </w:rPr>
      </w:pPr>
      <w:r>
        <w:rPr>
          <w:color w:val="000000"/>
          <w:sz w:val="24"/>
        </w:rPr>
        <w:t>基金操作方面，多投资于估值波动较小的银行存款存单与回购等，组合整体流动性良好。季度末资产收益有一定幅度的上行，我们视组合流动性情况增加杠杆增配了部分高评级的同业存单、短期融资券等资产，提高了组合收益。</w:t>
      </w:r>
    </w:p>
    <w:p>
      <w:pPr>
        <w:spacing w:before="29" w:line="288" w:lineRule="auto"/>
        <w:ind w:firstLine="480" w:firstLineChars="200"/>
        <w:rPr>
          <w:color w:val="000000"/>
          <w:sz w:val="24"/>
        </w:rPr>
      </w:pPr>
      <w:r>
        <w:rPr>
          <w:color w:val="000000"/>
          <w:sz w:val="24"/>
        </w:rPr>
        <w:t>展望2019年二季度，我们将关注风险资产特别是股市在二季度的表现和其溢出效应，警惕中美贸易谈判可能出现的超预期影响，继续观察银行理财子公司的发展以及类货币型理财产品对行业生态的影响。我们认为，海外货币政策的逐步宽松，将打开国内政策的操作空间，货币政策应该会延续稳健宽松的状态，财政政策将会更加积极。</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13,877,282,878.35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65.37</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13,689,602,878.35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64.48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187,680,000.00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0.88</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7,258,787,354.14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34.19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93,355,454.48</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0.44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21,229,425,686.97</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5.70</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950,054,124.97</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4.69</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本基金合同约定：“本基金进入全国银行间同业市场进行债券回购的资金余额不得超过基金资产净值的40%”。本报告期内，本基金未发生超标情况。</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107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119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66</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本基金合同约定：“本基金投资组合的平均剩余期限在每个交易日均不得超过141天”。本报告期内，本基金未发生超标情况。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7.54</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4.69</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13.85</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50.68</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0.84</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31.44</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104.35</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4.69</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99,593,781.34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0.49</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922,564,587.24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4.55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922,564,587.24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4.55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4,501,256,473.12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22.22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171,448,862.61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0.85</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7,994,739,174.04</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39.47</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13,689,602,878.35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67.58</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111872061</w:t>
            </w:r>
          </w:p>
        </w:tc>
        <w:tc>
          <w:tcPr>
            <w:vAlign w:val="center"/>
          </w:tcPr>
          <w:p>
            <w:pPr>
              <w:jc w:val="center"/>
            </w:pPr>
            <w:r>
              <w:rPr>
                <w:color w:val="000000"/>
                <w:sz w:val="24"/>
              </w:rPr>
              <w:t>18江阴农村商业银行CD110</w:t>
            </w:r>
          </w:p>
        </w:tc>
        <w:tc>
          <w:tcPr>
            <w:vAlign w:val="center"/>
          </w:tcPr>
          <w:p>
            <w:pPr>
              <w:jc w:val="right"/>
            </w:pPr>
            <w:r>
              <w:rPr>
                <w:color w:val="000000"/>
                <w:sz w:val="24"/>
              </w:rPr>
              <w:t>5,000,000</w:t>
            </w:r>
          </w:p>
        </w:tc>
        <w:tc>
          <w:tcPr>
            <w:vAlign w:val="center"/>
          </w:tcPr>
          <w:p>
            <w:pPr>
              <w:jc w:val="right"/>
            </w:pPr>
            <w:r>
              <w:rPr>
                <w:color w:val="000000"/>
                <w:sz w:val="24"/>
              </w:rPr>
              <w:t>495,998,278.74</w:t>
            </w:r>
          </w:p>
        </w:tc>
        <w:tc>
          <w:tcPr>
            <w:vAlign w:val="center"/>
          </w:tcPr>
          <w:p>
            <w:pPr>
              <w:jc w:val="right"/>
            </w:pPr>
            <w:r>
              <w:rPr>
                <w:color w:val="000000"/>
                <w:sz w:val="24"/>
              </w:rPr>
              <w:t>2.45</w:t>
            </w:r>
          </w:p>
        </w:tc>
      </w:tr>
      <w:tr>
        <w:tc>
          <w:tcPr>
            <w:vAlign w:val="center"/>
          </w:tcPr>
          <w:p>
            <w:pPr>
              <w:jc w:val="center"/>
            </w:pPr>
            <w:r>
              <w:rPr>
                <w:color w:val="000000"/>
                <w:sz w:val="24"/>
              </w:rPr>
              <w:t>2</w:t>
            </w:r>
          </w:p>
        </w:tc>
        <w:tc>
          <w:tcPr>
            <w:vAlign w:val="center"/>
          </w:tcPr>
          <w:p>
            <w:pPr>
              <w:jc w:val="center"/>
            </w:pPr>
            <w:r>
              <w:rPr>
                <w:color w:val="000000"/>
                <w:sz w:val="24"/>
              </w:rPr>
              <w:t>011802250</w:t>
            </w:r>
          </w:p>
        </w:tc>
        <w:tc>
          <w:tcPr>
            <w:vAlign w:val="center"/>
          </w:tcPr>
          <w:p>
            <w:pPr>
              <w:jc w:val="center"/>
            </w:pPr>
            <w:r>
              <w:rPr>
                <w:color w:val="000000"/>
                <w:sz w:val="24"/>
              </w:rPr>
              <w:t>18苏交通SCP020</w:t>
            </w:r>
          </w:p>
        </w:tc>
        <w:tc>
          <w:tcPr>
            <w:vAlign w:val="center"/>
          </w:tcPr>
          <w:p>
            <w:pPr>
              <w:jc w:val="right"/>
            </w:pPr>
            <w:r>
              <w:rPr>
                <w:color w:val="000000"/>
                <w:sz w:val="24"/>
              </w:rPr>
              <w:t>3,000,000</w:t>
            </w:r>
          </w:p>
        </w:tc>
        <w:tc>
          <w:tcPr>
            <w:vAlign w:val="center"/>
          </w:tcPr>
          <w:p>
            <w:pPr>
              <w:jc w:val="right"/>
            </w:pPr>
            <w:r>
              <w:rPr>
                <w:color w:val="000000"/>
                <w:sz w:val="24"/>
              </w:rPr>
              <w:t>300,080,775.81</w:t>
            </w:r>
          </w:p>
        </w:tc>
        <w:tc>
          <w:tcPr>
            <w:vAlign w:val="center"/>
          </w:tcPr>
          <w:p>
            <w:pPr>
              <w:jc w:val="right"/>
            </w:pPr>
            <w:r>
              <w:rPr>
                <w:color w:val="000000"/>
                <w:sz w:val="24"/>
              </w:rPr>
              <w:t>1.48</w:t>
            </w:r>
          </w:p>
        </w:tc>
      </w:tr>
      <w:tr>
        <w:tc>
          <w:tcPr>
            <w:vAlign w:val="center"/>
          </w:tcPr>
          <w:p>
            <w:pPr>
              <w:jc w:val="center"/>
            </w:pPr>
            <w:r>
              <w:rPr>
                <w:color w:val="000000"/>
                <w:sz w:val="24"/>
              </w:rPr>
              <w:t>3</w:t>
            </w:r>
          </w:p>
        </w:tc>
        <w:tc>
          <w:tcPr>
            <w:vAlign w:val="center"/>
          </w:tcPr>
          <w:p>
            <w:pPr>
              <w:jc w:val="center"/>
            </w:pPr>
            <w:r>
              <w:rPr>
                <w:color w:val="000000"/>
                <w:sz w:val="24"/>
              </w:rPr>
              <w:t>111994125</w:t>
            </w:r>
          </w:p>
        </w:tc>
        <w:tc>
          <w:tcPr>
            <w:vAlign w:val="center"/>
          </w:tcPr>
          <w:p>
            <w:pPr>
              <w:jc w:val="center"/>
            </w:pPr>
            <w:r>
              <w:rPr>
                <w:color w:val="000000"/>
                <w:sz w:val="24"/>
              </w:rPr>
              <w:t>19承德银行CD031</w:t>
            </w:r>
          </w:p>
        </w:tc>
        <w:tc>
          <w:tcPr>
            <w:vAlign w:val="center"/>
          </w:tcPr>
          <w:p>
            <w:pPr>
              <w:jc w:val="right"/>
            </w:pPr>
            <w:r>
              <w:rPr>
                <w:color w:val="000000"/>
                <w:sz w:val="24"/>
              </w:rPr>
              <w:t>3,000,000</w:t>
            </w:r>
          </w:p>
        </w:tc>
        <w:tc>
          <w:tcPr>
            <w:vAlign w:val="center"/>
          </w:tcPr>
          <w:p>
            <w:pPr>
              <w:jc w:val="right"/>
            </w:pPr>
            <w:r>
              <w:rPr>
                <w:color w:val="000000"/>
                <w:sz w:val="24"/>
              </w:rPr>
              <w:t>297,893,657.24</w:t>
            </w:r>
          </w:p>
        </w:tc>
        <w:tc>
          <w:tcPr>
            <w:vAlign w:val="center"/>
          </w:tcPr>
          <w:p>
            <w:pPr>
              <w:jc w:val="right"/>
            </w:pPr>
            <w:r>
              <w:rPr>
                <w:color w:val="000000"/>
                <w:sz w:val="24"/>
              </w:rPr>
              <w:t>1.47</w:t>
            </w:r>
          </w:p>
        </w:tc>
      </w:tr>
      <w:tr>
        <w:tc>
          <w:tcPr>
            <w:vAlign w:val="center"/>
          </w:tcPr>
          <w:p>
            <w:pPr>
              <w:jc w:val="center"/>
            </w:pPr>
            <w:r>
              <w:rPr>
                <w:color w:val="000000"/>
                <w:sz w:val="24"/>
              </w:rPr>
              <w:t>4</w:t>
            </w:r>
          </w:p>
        </w:tc>
        <w:tc>
          <w:tcPr>
            <w:vAlign w:val="center"/>
          </w:tcPr>
          <w:p>
            <w:pPr>
              <w:jc w:val="center"/>
            </w:pPr>
            <w:r>
              <w:rPr>
                <w:color w:val="000000"/>
                <w:sz w:val="24"/>
              </w:rPr>
              <w:t>111994206</w:t>
            </w:r>
          </w:p>
        </w:tc>
        <w:tc>
          <w:tcPr>
            <w:vAlign w:val="center"/>
          </w:tcPr>
          <w:p>
            <w:pPr>
              <w:jc w:val="center"/>
            </w:pPr>
            <w:r>
              <w:rPr>
                <w:color w:val="000000"/>
                <w:sz w:val="24"/>
              </w:rPr>
              <w:t>19承德银行CD032</w:t>
            </w:r>
          </w:p>
        </w:tc>
        <w:tc>
          <w:tcPr>
            <w:vAlign w:val="center"/>
          </w:tcPr>
          <w:p>
            <w:pPr>
              <w:jc w:val="right"/>
            </w:pPr>
            <w:r>
              <w:rPr>
                <w:color w:val="000000"/>
                <w:sz w:val="24"/>
              </w:rPr>
              <w:t>3,000,000</w:t>
            </w:r>
          </w:p>
        </w:tc>
        <w:tc>
          <w:tcPr>
            <w:vAlign w:val="center"/>
          </w:tcPr>
          <w:p>
            <w:pPr>
              <w:jc w:val="right"/>
            </w:pPr>
            <w:r>
              <w:rPr>
                <w:color w:val="000000"/>
                <w:sz w:val="24"/>
              </w:rPr>
              <w:t>297,863,192.59</w:t>
            </w:r>
          </w:p>
        </w:tc>
        <w:tc>
          <w:tcPr>
            <w:vAlign w:val="center"/>
          </w:tcPr>
          <w:p>
            <w:pPr>
              <w:jc w:val="right"/>
            </w:pPr>
            <w:r>
              <w:rPr>
                <w:color w:val="000000"/>
                <w:sz w:val="24"/>
              </w:rPr>
              <w:t>1.47</w:t>
            </w:r>
          </w:p>
        </w:tc>
      </w:tr>
      <w:tr>
        <w:tc>
          <w:tcPr>
            <w:vAlign w:val="center"/>
          </w:tcPr>
          <w:p>
            <w:pPr>
              <w:jc w:val="center"/>
            </w:pPr>
            <w:r>
              <w:rPr>
                <w:color w:val="000000"/>
                <w:sz w:val="24"/>
              </w:rPr>
              <w:t>5</w:t>
            </w:r>
          </w:p>
        </w:tc>
        <w:tc>
          <w:tcPr>
            <w:vAlign w:val="center"/>
          </w:tcPr>
          <w:p>
            <w:pPr>
              <w:jc w:val="center"/>
            </w:pPr>
            <w:r>
              <w:rPr>
                <w:color w:val="000000"/>
                <w:sz w:val="24"/>
              </w:rPr>
              <w:t>111872055</w:t>
            </w:r>
          </w:p>
        </w:tc>
        <w:tc>
          <w:tcPr>
            <w:vAlign w:val="center"/>
          </w:tcPr>
          <w:p>
            <w:pPr>
              <w:jc w:val="center"/>
            </w:pPr>
            <w:r>
              <w:rPr>
                <w:color w:val="000000"/>
                <w:sz w:val="24"/>
              </w:rPr>
              <w:t>18青岛农商行CD108</w:t>
            </w:r>
          </w:p>
        </w:tc>
        <w:tc>
          <w:tcPr>
            <w:vAlign w:val="center"/>
          </w:tcPr>
          <w:p>
            <w:pPr>
              <w:jc w:val="right"/>
            </w:pPr>
            <w:r>
              <w:rPr>
                <w:color w:val="000000"/>
                <w:sz w:val="24"/>
              </w:rPr>
              <w:t>3,000,000</w:t>
            </w:r>
          </w:p>
        </w:tc>
        <w:tc>
          <w:tcPr>
            <w:vAlign w:val="center"/>
          </w:tcPr>
          <w:p>
            <w:pPr>
              <w:jc w:val="right"/>
            </w:pPr>
            <w:r>
              <w:rPr>
                <w:color w:val="000000"/>
                <w:sz w:val="24"/>
              </w:rPr>
              <w:t>297,630,939.36</w:t>
            </w:r>
          </w:p>
        </w:tc>
        <w:tc>
          <w:tcPr>
            <w:vAlign w:val="center"/>
          </w:tcPr>
          <w:p>
            <w:pPr>
              <w:jc w:val="right"/>
            </w:pPr>
            <w:r>
              <w:rPr>
                <w:color w:val="000000"/>
                <w:sz w:val="24"/>
              </w:rPr>
              <w:t>1.47</w:t>
            </w:r>
          </w:p>
        </w:tc>
      </w:tr>
      <w:tr>
        <w:tc>
          <w:tcPr>
            <w:vAlign w:val="center"/>
          </w:tcPr>
          <w:p>
            <w:pPr>
              <w:jc w:val="center"/>
            </w:pPr>
            <w:r>
              <w:rPr>
                <w:color w:val="000000"/>
                <w:sz w:val="24"/>
              </w:rPr>
              <w:t>6</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2,700,000</w:t>
            </w:r>
          </w:p>
        </w:tc>
        <w:tc>
          <w:tcPr>
            <w:vAlign w:val="center"/>
          </w:tcPr>
          <w:p>
            <w:pPr>
              <w:jc w:val="right"/>
            </w:pPr>
            <w:r>
              <w:rPr>
                <w:color w:val="000000"/>
                <w:sz w:val="24"/>
              </w:rPr>
              <w:t>270,295,075.17</w:t>
            </w:r>
          </w:p>
        </w:tc>
        <w:tc>
          <w:tcPr>
            <w:vAlign w:val="center"/>
          </w:tcPr>
          <w:p>
            <w:pPr>
              <w:jc w:val="right"/>
            </w:pPr>
            <w:r>
              <w:rPr>
                <w:color w:val="000000"/>
                <w:sz w:val="24"/>
              </w:rPr>
              <w:t>1.33</w:t>
            </w:r>
          </w:p>
        </w:tc>
      </w:tr>
      <w:tr>
        <w:tc>
          <w:tcPr>
            <w:vAlign w:val="center"/>
          </w:tcPr>
          <w:p>
            <w:pPr>
              <w:jc w:val="center"/>
            </w:pPr>
            <w:r>
              <w:rPr>
                <w:color w:val="000000"/>
                <w:sz w:val="24"/>
              </w:rPr>
              <w:t>7</w:t>
            </w:r>
          </w:p>
        </w:tc>
        <w:tc>
          <w:tcPr>
            <w:vAlign w:val="center"/>
          </w:tcPr>
          <w:p>
            <w:pPr>
              <w:jc w:val="center"/>
            </w:pPr>
            <w:r>
              <w:rPr>
                <w:color w:val="000000"/>
                <w:sz w:val="24"/>
              </w:rPr>
              <w:t>111994274</w:t>
            </w:r>
          </w:p>
        </w:tc>
        <w:tc>
          <w:tcPr>
            <w:vAlign w:val="center"/>
          </w:tcPr>
          <w:p>
            <w:pPr>
              <w:jc w:val="center"/>
            </w:pPr>
            <w:r>
              <w:rPr>
                <w:color w:val="000000"/>
                <w:sz w:val="24"/>
              </w:rPr>
              <w:t>19萧山农商银行CD047</w:t>
            </w:r>
          </w:p>
        </w:tc>
        <w:tc>
          <w:tcPr>
            <w:vAlign w:val="center"/>
          </w:tcPr>
          <w:p>
            <w:pPr>
              <w:jc w:val="right"/>
            </w:pPr>
            <w:r>
              <w:rPr>
                <w:color w:val="000000"/>
                <w:sz w:val="24"/>
              </w:rPr>
              <w:t>2,100,000</w:t>
            </w:r>
          </w:p>
        </w:tc>
        <w:tc>
          <w:tcPr>
            <w:vAlign w:val="center"/>
          </w:tcPr>
          <w:p>
            <w:pPr>
              <w:jc w:val="right"/>
            </w:pPr>
            <w:r>
              <w:rPr>
                <w:color w:val="000000"/>
                <w:sz w:val="24"/>
              </w:rPr>
              <w:t>208,595,477.09</w:t>
            </w:r>
          </w:p>
        </w:tc>
        <w:tc>
          <w:tcPr>
            <w:vAlign w:val="center"/>
          </w:tcPr>
          <w:p>
            <w:pPr>
              <w:jc w:val="right"/>
            </w:pPr>
            <w:r>
              <w:rPr>
                <w:color w:val="000000"/>
                <w:sz w:val="24"/>
              </w:rPr>
              <w:t>1.03</w:t>
            </w:r>
          </w:p>
        </w:tc>
      </w:tr>
      <w:tr>
        <w:tc>
          <w:tcPr>
            <w:vAlign w:val="center"/>
          </w:tcPr>
          <w:p>
            <w:pPr>
              <w:jc w:val="center"/>
            </w:pPr>
            <w:r>
              <w:rPr>
                <w:color w:val="000000"/>
                <w:sz w:val="24"/>
              </w:rPr>
              <w:t>8</w:t>
            </w:r>
          </w:p>
        </w:tc>
        <w:tc>
          <w:tcPr>
            <w:vAlign w:val="center"/>
          </w:tcPr>
          <w:p>
            <w:pPr>
              <w:jc w:val="center"/>
            </w:pPr>
            <w:r>
              <w:rPr>
                <w:color w:val="000000"/>
                <w:sz w:val="24"/>
              </w:rPr>
              <w:t>011802182</w:t>
            </w:r>
          </w:p>
        </w:tc>
        <w:tc>
          <w:tcPr>
            <w:vAlign w:val="center"/>
          </w:tcPr>
          <w:p>
            <w:pPr>
              <w:jc w:val="center"/>
            </w:pPr>
            <w:r>
              <w:rPr>
                <w:color w:val="000000"/>
                <w:sz w:val="24"/>
              </w:rPr>
              <w:t>18招商局SCP008</w:t>
            </w:r>
          </w:p>
        </w:tc>
        <w:tc>
          <w:tcPr>
            <w:vAlign w:val="center"/>
          </w:tcPr>
          <w:p>
            <w:pPr>
              <w:jc w:val="right"/>
            </w:pPr>
            <w:r>
              <w:rPr>
                <w:color w:val="000000"/>
                <w:sz w:val="24"/>
              </w:rPr>
              <w:t>2,000,000</w:t>
            </w:r>
          </w:p>
        </w:tc>
        <w:tc>
          <w:tcPr>
            <w:vAlign w:val="center"/>
          </w:tcPr>
          <w:p>
            <w:pPr>
              <w:jc w:val="right"/>
            </w:pPr>
            <w:r>
              <w:rPr>
                <w:color w:val="000000"/>
                <w:sz w:val="24"/>
              </w:rPr>
              <w:t>200,308,524.51</w:t>
            </w:r>
          </w:p>
        </w:tc>
        <w:tc>
          <w:tcPr>
            <w:vAlign w:val="center"/>
          </w:tcPr>
          <w:p>
            <w:pPr>
              <w:jc w:val="right"/>
            </w:pPr>
            <w:r>
              <w:rPr>
                <w:color w:val="000000"/>
                <w:sz w:val="24"/>
              </w:rPr>
              <w:t>0.99</w:t>
            </w:r>
          </w:p>
        </w:tc>
      </w:tr>
      <w:tr>
        <w:tc>
          <w:tcPr>
            <w:vAlign w:val="center"/>
          </w:tcPr>
          <w:p>
            <w:pPr>
              <w:jc w:val="center"/>
            </w:pPr>
            <w:r>
              <w:rPr>
                <w:color w:val="000000"/>
                <w:sz w:val="24"/>
              </w:rPr>
              <w:t>9</w:t>
            </w:r>
          </w:p>
        </w:tc>
        <w:tc>
          <w:tcPr>
            <w:vAlign w:val="center"/>
          </w:tcPr>
          <w:p>
            <w:pPr>
              <w:jc w:val="center"/>
            </w:pPr>
            <w:r>
              <w:rPr>
                <w:color w:val="000000"/>
                <w:sz w:val="24"/>
              </w:rPr>
              <w:t>011802291</w:t>
            </w:r>
          </w:p>
        </w:tc>
        <w:tc>
          <w:tcPr>
            <w:vAlign w:val="center"/>
          </w:tcPr>
          <w:p>
            <w:pPr>
              <w:jc w:val="center"/>
            </w:pPr>
            <w:r>
              <w:rPr>
                <w:color w:val="000000"/>
                <w:sz w:val="24"/>
              </w:rPr>
              <w:t>18华能SCP014</w:t>
            </w:r>
          </w:p>
        </w:tc>
        <w:tc>
          <w:tcPr>
            <w:vAlign w:val="center"/>
          </w:tcPr>
          <w:p>
            <w:pPr>
              <w:jc w:val="right"/>
            </w:pPr>
            <w:r>
              <w:rPr>
                <w:color w:val="000000"/>
                <w:sz w:val="24"/>
              </w:rPr>
              <w:t>2,000,000</w:t>
            </w:r>
          </w:p>
        </w:tc>
        <w:tc>
          <w:tcPr>
            <w:vAlign w:val="center"/>
          </w:tcPr>
          <w:p>
            <w:pPr>
              <w:jc w:val="right"/>
            </w:pPr>
            <w:r>
              <w:rPr>
                <w:color w:val="000000"/>
                <w:sz w:val="24"/>
              </w:rPr>
              <w:t>199,912,476.87</w:t>
            </w:r>
          </w:p>
        </w:tc>
        <w:tc>
          <w:tcPr>
            <w:vAlign w:val="center"/>
          </w:tcPr>
          <w:p>
            <w:pPr>
              <w:jc w:val="right"/>
            </w:pPr>
            <w:r>
              <w:rPr>
                <w:color w:val="000000"/>
                <w:sz w:val="24"/>
              </w:rPr>
              <w:t>0.99</w:t>
            </w:r>
          </w:p>
        </w:tc>
      </w:tr>
      <w:tr>
        <w:tc>
          <w:tcPr>
            <w:vAlign w:val="center"/>
          </w:tcPr>
          <w:p>
            <w:pPr>
              <w:jc w:val="center"/>
            </w:pPr>
            <w:r>
              <w:rPr>
                <w:color w:val="000000"/>
                <w:sz w:val="24"/>
              </w:rPr>
              <w:t>10</w:t>
            </w:r>
          </w:p>
        </w:tc>
        <w:tc>
          <w:tcPr>
            <w:vAlign w:val="center"/>
          </w:tcPr>
          <w:p>
            <w:pPr>
              <w:jc w:val="center"/>
            </w:pPr>
            <w:r>
              <w:rPr>
                <w:color w:val="000000"/>
                <w:sz w:val="24"/>
              </w:rPr>
              <w:t>011802409</w:t>
            </w:r>
          </w:p>
        </w:tc>
        <w:tc>
          <w:tcPr>
            <w:vAlign w:val="center"/>
          </w:tcPr>
          <w:p>
            <w:pPr>
              <w:jc w:val="center"/>
            </w:pPr>
            <w:r>
              <w:rPr>
                <w:color w:val="000000"/>
                <w:sz w:val="24"/>
              </w:rPr>
              <w:t>18苏交通SCP024</w:t>
            </w:r>
          </w:p>
        </w:tc>
        <w:tc>
          <w:tcPr>
            <w:vAlign w:val="center"/>
          </w:tcPr>
          <w:p>
            <w:pPr>
              <w:jc w:val="right"/>
            </w:pPr>
            <w:r>
              <w:rPr>
                <w:color w:val="000000"/>
                <w:sz w:val="24"/>
              </w:rPr>
              <w:t>2,000,000</w:t>
            </w:r>
          </w:p>
        </w:tc>
        <w:tc>
          <w:tcPr>
            <w:vAlign w:val="center"/>
          </w:tcPr>
          <w:p>
            <w:pPr>
              <w:jc w:val="right"/>
            </w:pPr>
            <w:r>
              <w:rPr>
                <w:color w:val="000000"/>
                <w:sz w:val="24"/>
              </w:rPr>
              <w:t>199,891,369.03</w:t>
            </w:r>
          </w:p>
        </w:tc>
        <w:tc>
          <w:tcPr>
            <w:vAlign w:val="center"/>
          </w:tcPr>
          <w:p>
            <w:pPr>
              <w:jc w:val="right"/>
            </w:pPr>
            <w:r>
              <w:rPr>
                <w:color w:val="000000"/>
                <w:sz w:val="24"/>
              </w:rPr>
              <w:t>0.99</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0.2241%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0.1210%</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0.1749%</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type="dxa" w:w="8868"/>
        <w:jc w:val="center"/>
        <w:tblCellMar>
          <w:top w:type="dxa" w:w="57"/>
          <w:bottom w:type="dxa" w:w="57"/>
        </w:tblCellMar>
        <w:tblLook w:val="04A0"/>
      </w:tblPr>
      <w:tblGrid>
        <w:gridCol w:w="1465"/>
        <w:gridCol w:w="1464"/>
        <w:gridCol w:w="1464"/>
        <w:gridCol w:w="1567"/>
        <w:gridCol w:w="1567"/>
        <w:gridCol w:w="1775"/>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156794</w:t>
            </w:r>
          </w:p>
        </w:tc>
        <w:tc>
          <w:tcPr>
            <w:vAlign w:val="center"/>
          </w:tcPr>
          <w:p>
            <w:pPr>
              <w:jc w:val="center"/>
            </w:pPr>
            <w:r>
              <w:rPr>
                <w:color w:val="000000"/>
                <w:sz w:val="24"/>
              </w:rPr>
              <w:t>信泽01A2</w:t>
            </w:r>
          </w:p>
        </w:tc>
        <w:tc>
          <w:tcPr>
            <w:vAlign w:val="center"/>
          </w:tcPr>
          <w:p>
            <w:pPr>
              <w:jc w:val="right"/>
            </w:pPr>
            <w:r>
              <w:rPr>
                <w:color w:val="000000"/>
                <w:sz w:val="24"/>
              </w:rPr>
              <w:t>1,000,000</w:t>
            </w:r>
          </w:p>
        </w:tc>
        <w:tc>
          <w:tcPr>
            <w:vAlign w:val="center"/>
          </w:tcPr>
          <w:p>
            <w:pPr>
              <w:jc w:val="right"/>
            </w:pPr>
            <w:r>
              <w:rPr>
                <w:color w:val="000000"/>
                <w:sz w:val="24"/>
              </w:rPr>
              <w:t>100,000,000.00</w:t>
            </w:r>
          </w:p>
        </w:tc>
        <w:tc>
          <w:tcPr>
            <w:vAlign w:val="center"/>
          </w:tcPr>
          <w:p>
            <w:pPr>
              <w:jc w:val="right"/>
            </w:pPr>
            <w:r>
              <w:rPr>
                <w:color w:val="000000"/>
                <w:sz w:val="24"/>
              </w:rPr>
              <w:t>0.49</w:t>
            </w:r>
          </w:p>
        </w:tc>
      </w:tr>
      <w:tr>
        <w:tc>
          <w:tcPr>
            <w:vAlign w:val="center"/>
          </w:tcPr>
          <w:p>
            <w:pPr>
              <w:jc w:val="center"/>
            </w:pPr>
            <w:r>
              <w:rPr>
                <w:color w:val="000000"/>
                <w:sz w:val="24"/>
              </w:rPr>
              <w:t>2</w:t>
            </w:r>
          </w:p>
        </w:tc>
        <w:tc>
          <w:tcPr>
            <w:vAlign w:val="center"/>
          </w:tcPr>
          <w:p>
            <w:pPr>
              <w:jc w:val="center"/>
            </w:pPr>
            <w:r>
              <w:rPr>
                <w:color w:val="000000"/>
                <w:sz w:val="24"/>
              </w:rPr>
              <w:t>156289</w:t>
            </w:r>
          </w:p>
        </w:tc>
        <w:tc>
          <w:tcPr>
            <w:vAlign w:val="center"/>
          </w:tcPr>
          <w:p>
            <w:pPr>
              <w:jc w:val="center"/>
            </w:pPr>
            <w:r>
              <w:rPr>
                <w:color w:val="000000"/>
                <w:sz w:val="24"/>
              </w:rPr>
              <w:t>宁远07A2</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0.25</w:t>
            </w:r>
          </w:p>
        </w:tc>
      </w:tr>
      <w:tr>
        <w:tc>
          <w:tcPr>
            <w:vAlign w:val="center"/>
          </w:tcPr>
          <w:p>
            <w:pPr>
              <w:jc w:val="center"/>
            </w:pPr>
            <w:r>
              <w:rPr>
                <w:color w:val="000000"/>
                <w:sz w:val="24"/>
              </w:rPr>
              <w:t>3</w:t>
            </w:r>
          </w:p>
        </w:tc>
        <w:tc>
          <w:tcPr>
            <w:vAlign w:val="center"/>
          </w:tcPr>
          <w:p>
            <w:pPr>
              <w:jc w:val="center"/>
            </w:pPr>
            <w:r>
              <w:rPr>
                <w:color w:val="000000"/>
                <w:sz w:val="24"/>
              </w:rPr>
              <w:t>149295</w:t>
            </w:r>
          </w:p>
        </w:tc>
        <w:tc>
          <w:tcPr>
            <w:vAlign w:val="center"/>
          </w:tcPr>
          <w:p>
            <w:pPr>
              <w:jc w:val="center"/>
            </w:pPr>
            <w:r>
              <w:rPr>
                <w:color w:val="000000"/>
                <w:sz w:val="24"/>
              </w:rPr>
              <w:t>宁远02A2</w:t>
            </w:r>
          </w:p>
        </w:tc>
        <w:tc>
          <w:tcPr>
            <w:vAlign w:val="center"/>
          </w:tcPr>
          <w:p>
            <w:pPr>
              <w:jc w:val="right"/>
            </w:pPr>
            <w:r>
              <w:rPr>
                <w:color w:val="000000"/>
                <w:sz w:val="24"/>
              </w:rPr>
              <w:t>1,000,000</w:t>
            </w:r>
          </w:p>
        </w:tc>
        <w:tc>
          <w:tcPr>
            <w:vAlign w:val="center"/>
          </w:tcPr>
          <w:p>
            <w:pPr>
              <w:jc w:val="right"/>
            </w:pPr>
            <w:r>
              <w:rPr>
                <w:color w:val="000000"/>
                <w:sz w:val="24"/>
              </w:rPr>
              <w:t>37,680,000.00</w:t>
            </w:r>
          </w:p>
        </w:tc>
        <w:tc>
          <w:tcPr>
            <w:vAlign w:val="center"/>
          </w:tcPr>
          <w:p>
            <w:pPr>
              <w:jc w:val="right"/>
            </w:pPr>
            <w:r>
              <w:rPr>
                <w:color w:val="000000"/>
                <w:sz w:val="24"/>
              </w:rPr>
              <w:t>0.19</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93,355,454.48</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93,355,454.48</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交银理财21天债券A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交银理财21天债券B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13,326,104.44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22,881,515,242.07</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98,268.85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175,730,901.84</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2,043,126.29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2,813,163,129.16</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11,381,247.00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20,244,083,014.75</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6,400,184,453.15</w:t>
            </w:r>
          </w:p>
        </w:tc>
        <w:tc>
          <w:tcPr>
            <w:vAlign w:val="center"/>
          </w:tcPr>
          <w:p>
            <w:pPr>
              <w:jc w:val="center"/>
            </w:pPr>
            <w:r>
              <w:rPr>
                <w:rFonts w:ascii="宋体" w:hAnsi="宋体" w:hint="eastAsia"/>
                <w:color w:val="000000"/>
                <w:kern w:val="0"/>
                <w:szCs w:val="21"/>
              </w:rPr>
              <w:t>53,181,740.32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6,453,366,193.47</w:t>
            </w:r>
          </w:p>
        </w:tc>
        <w:tc>
          <w:tcPr>
            <w:vAlign w:val="center"/>
          </w:tcPr>
          <w:p>
            <w:pPr>
              <w:jc w:val="center"/>
            </w:pPr>
            <w:r>
              <w:rPr>
                <w:rFonts w:ascii="宋体" w:hAnsi="宋体" w:hint="eastAsia"/>
                <w:color w:val="000000"/>
                <w:kern w:val="0"/>
                <w:szCs w:val="21"/>
              </w:rPr>
              <w:t>31.86%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1、中国证监会批准交银施罗德理财21天债券型证券投资基金募集的文件； </w:t>
      </w:r>
    </w:p>
    <w:p>
      <w:pPr>
        <w:spacing w:before="29" w:line="288" w:lineRule="auto"/>
        <w:ind w:firstLine="480" w:firstLineChars="200"/>
        <w:rPr>
          <w:color w:val="000000"/>
          <w:sz w:val="24"/>
        </w:rPr>
      </w:pPr>
      <w:r>
        <w:rPr>
          <w:color w:val="000000"/>
          <w:sz w:val="24"/>
        </w:rPr>
        <w:t xml:space="preserve">2、《交银施罗德理财21天债券型证券投资基金基金合同》； </w:t>
      </w:r>
    </w:p>
    <w:p>
      <w:pPr>
        <w:spacing w:before="29" w:line="288" w:lineRule="auto"/>
        <w:ind w:firstLine="480" w:firstLineChars="200"/>
        <w:rPr>
          <w:color w:val="000000"/>
          <w:sz w:val="24"/>
        </w:rPr>
      </w:pPr>
      <w:r>
        <w:rPr>
          <w:color w:val="000000"/>
          <w:sz w:val="24"/>
        </w:rPr>
        <w:t xml:space="preserve">3、《交银施罗德理财21天债券型证券投资基金招募说明书》； </w:t>
      </w:r>
    </w:p>
    <w:p>
      <w:pPr>
        <w:spacing w:before="29" w:line="288" w:lineRule="auto"/>
        <w:ind w:firstLine="480" w:firstLineChars="200"/>
        <w:rPr>
          <w:color w:val="000000"/>
          <w:sz w:val="24"/>
        </w:rPr>
      </w:pPr>
      <w:r>
        <w:rPr>
          <w:color w:val="000000"/>
          <w:sz w:val="24"/>
        </w:rPr>
        <w:t xml:space="preserve">4、《交银施罗德理财21天债券型证券投资基金托管协议》； </w:t>
      </w:r>
    </w:p>
    <w:p>
      <w:pPr>
        <w:spacing w:before="29" w:line="288" w:lineRule="auto"/>
        <w:ind w:firstLine="480" w:firstLineChars="200"/>
        <w:rPr>
          <w:color w:val="000000"/>
          <w:sz w:val="24"/>
        </w:rPr>
      </w:pPr>
      <w:r>
        <w:rPr>
          <w:color w:val="000000"/>
          <w:sz w:val="24"/>
        </w:rPr>
        <w:t xml:space="preserve">5、关于募集交银施罗德理财21天债券型证券投资基金之法律意见书；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8、报告期内交银施罗德理财21天债券型证券投资基金在指定报刊上各项公告的原稿。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交银施罗德理财21天债券型证券投资基金</w:t>
    </w:r>
    <w:proofErr w:type="spellStart"/>
    <w:r w:rsidRPr="003E676C">
      <w:rPr>
        <w:sz w:val="24"/>
        <w:szCs w:val="24"/>
      </w:rPr>
      <w:t/>
    </w:r>
    <w:proofErr w:type="spellEnd"/>
    <w:r w:rsidRPr="003E676C">
      <w:rPr>
        <w:sz w:val="24"/>
        <w:szCs w:val="24"/>
      </w:rPr>
      <w:t>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