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交银施罗德国企改革灵活配置混合型证券投资基金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2019年第1季度报告</w:t>
      </w:r>
    </w:p>
    <w:p w:rsidP="00C15CAC" w:rsidR="004061AC" w:rsidRDefault="00655CD8" w:rsidRPr="0081286B">
      <w:pPr>
        <w:spacing w:before="29" w:line="288" w:lineRule="auto"/>
        <w:jc w:val="center"/>
        <w:rPr>
          <w:b/>
          <w:sz w:val="36"/>
          <w:szCs w:val="36"/>
        </w:rPr>
      </w:pPr>
      <w:r w:rsidRPr="0081286B">
        <w:rPr>
          <w:b/>
          <w:sz w:val="36"/>
          <w:szCs w:val="36"/>
        </w:rPr>
        <w:t>2019年3月31日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二〇一九年四月二十日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基金托管人中国农业银行股份有限公司根据本基金合同规定，于2019年4月19日复核了本报告中的财务指标、净值表现和投资组合报告等内容，保证复核内容不存在虚假记载、误导性陈述或者重大遗漏。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交银国企改革灵活配置混合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519756</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519756</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2015年6月10日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586,153,389.20</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本基金主要投资受益于国企改革红利的上市公司股票，通过积极主动的投资管理，在合理控制投资风险的基础上，力争实现基金资产的长期稳定增值。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60%×沪深300指数+40%×中证综合债券指数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(2019年1月1日-2019年3月31日)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11,193,526.46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120,170,482.30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0.2008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592,621,120.17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1.011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24.66%</w:t>
            </w:r>
          </w:p>
        </w:tc>
        <w:tc>
          <w:tcPr>
            <w:vAlign w:val="center"/>
          </w:tcPr>
          <w:p>
            <w:pPr>
              <w:jc w:val="center"/>
            </w:pPr>
            <w:r>
              <w:rPr>
                <w:color w:val="000000"/>
                <w:sz w:val="24"/>
                <w:szCs w:val="24"/>
              </w:rPr>
              <w:t>1.29%</w:t>
            </w:r>
          </w:p>
        </w:tc>
        <w:tc>
          <w:tcPr>
            <w:vAlign w:val="center"/>
          </w:tcPr>
          <w:p>
            <w:pPr>
              <w:jc w:val="center"/>
            </w:pPr>
            <w:r>
              <w:rPr>
                <w:color w:val="000000"/>
                <w:sz w:val="24"/>
                <w:szCs w:val="24"/>
              </w:rPr>
              <w:t>17.14%</w:t>
            </w:r>
          </w:p>
        </w:tc>
        <w:tc>
          <w:tcPr>
            <w:vAlign w:val="center"/>
          </w:tcPr>
          <w:p>
            <w:pPr>
              <w:jc w:val="center"/>
            </w:pPr>
            <w:r>
              <w:rPr>
                <w:color w:val="000000"/>
                <w:sz w:val="24"/>
                <w:szCs w:val="24"/>
              </w:rPr>
              <w:t>0.93%</w:t>
            </w:r>
          </w:p>
        </w:tc>
        <w:tc>
          <w:tcPr>
            <w:vAlign w:val="center"/>
          </w:tcPr>
          <w:p>
            <w:pPr>
              <w:jc w:val="center"/>
            </w:pPr>
            <w:r>
              <w:rPr>
                <w:color w:val="000000"/>
                <w:sz w:val="24"/>
                <w:szCs w:val="24"/>
              </w:rPr>
              <w:t>7.52%</w:t>
            </w:r>
          </w:p>
        </w:tc>
        <w:tc>
          <w:tcPr>
            <w:vAlign w:val="center"/>
          </w:tcPr>
          <w:p>
            <w:pPr>
              <w:jc w:val="center"/>
            </w:pPr>
            <w:r>
              <w:rPr>
                <w:color w:val="000000"/>
                <w:sz w:val="24"/>
                <w:szCs w:val="24"/>
              </w:rPr>
              <w:t>0.36%</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60%×沪深300指数+40%×中信标普全债指数”变更为“60%×沪深300指数+40%×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交银施罗德国企改革灵活配置混合型证券投资基金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2015年6月10日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沈楠</w:t>
            </w:r>
          </w:p>
        </w:tc>
        <w:tc>
          <w:tcPr>
            <w:vAlign w:val="center"/>
          </w:tcPr>
          <w:p>
            <w:pPr>
              <w:jc w:val="center"/>
            </w:pPr>
            <w:r>
              <w:rPr>
                <w:color w:val="000000"/>
                <w:sz w:val="24"/>
                <w:szCs w:val="24"/>
              </w:rPr>
              <w:t>交银主题优选混合、交银国企改革灵活配置混合的基金经理</w:t>
            </w:r>
          </w:p>
        </w:tc>
        <w:tc>
          <w:tcPr>
            <w:vAlign w:val="center"/>
          </w:tcPr>
          <w:p>
            <w:pPr>
              <w:jc w:val="center"/>
            </w:pPr>
            <w:r>
              <w:rPr>
                <w:color w:val="000000"/>
                <w:sz w:val="24"/>
                <w:szCs w:val="24"/>
              </w:rPr>
              <w:t>2015-06-10</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沈楠先生，复旦大学硕士。历任长江证券高级分析师，2011年加入交银施罗德基金管理有限公司，历任行业分析师、基金经理助理。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以来，国内经济总需求从中观行业观察有企稳迹象，相比2018年底的预期有明显改善。内部来看，财政政策趋于宽松，社融增速企稳，外部环境，中美贸易战的不确定性降低，双方达成协议的可能性较高。我们认为中期来看市场底部区域已经确认，短期伴随内外部环境的好转，市场继续处于可为阶段，2019年投资机会预计将多于2018年。</w:t>
      </w:r>
    </w:p>
    <w:p>
      <w:pPr>
        <w:spacing w:before="29" w:line="288" w:lineRule="auto"/>
        <w:ind w:firstLine="480" w:firstLineChars="200"/>
        <w:rPr>
          <w:color w:val="000000"/>
          <w:sz w:val="24"/>
          <w:szCs w:val="24"/>
        </w:rPr>
      </w:pPr>
      <w:r>
        <w:rPr>
          <w:color w:val="000000"/>
          <w:sz w:val="24"/>
          <w:szCs w:val="24"/>
        </w:rPr>
        <w:t>随着内外环境的改善，我们认为国企改革的进程在2019年将逐渐发力，部分领域例如混改试点进入执行效果落实观察期，并且新一批的混改试点将继续推行。全年来看，中央明确将稳步推进包括国企改革在内的一系列改革进程，因此我们继续看好该领域的投资机会。</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内本基金重点配置了食品、医药、金融、地产、航空以及酒店等消费性行业，同时进一步增配了军工、制造国产化等成长性行业以及公用事业等稳定性行业。展望2019年二季度，我们认为重点区域的改革试点可以继续关注。考虑到贸易战的缓和，结构性投资机会预计将不断显现，市场的估值有望回升，主题趋于活跃。本产品将结合外部环境的变化，综合判断下一步改革试点的突破口，把握最新政策动向受益的国有企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502,583,251.62</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80.27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502,583,251.62</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80.27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28,075,100.20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4.48</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28,075,100.20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4.48</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91,646,158.00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14.64</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3,776,589.36</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0.60</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626,081,099.18</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20,628,000.00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3.48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186,293,101.67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31.44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26,462,616.92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4.47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13,420,771.55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34,645,900.94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5.85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45,738,982.00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7.72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17,471,682.20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2.95</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18,801,541.09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64,882,498.65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10.95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22,119,492.16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3.73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3,145,500.00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0.53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9,552,526.34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39,420,638.10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6.65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502,583,251.62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84.81</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445,420</w:t>
            </w:r>
          </w:p>
        </w:tc>
        <w:tc>
          <w:tcPr>
            <w:vAlign w:val="center"/>
          </w:tcPr>
          <w:p>
            <w:pPr>
              <w:jc w:val="right"/>
            </w:pPr>
            <w:r>
              <w:rPr>
                <w:color w:val="000000"/>
                <w:sz w:val="24"/>
                <w:szCs w:val="24"/>
              </w:rPr>
              <w:t>19,732,106.00</w:t>
            </w:r>
          </w:p>
        </w:tc>
        <w:tc>
          <w:tcPr>
            <w:vAlign w:val="center"/>
          </w:tcPr>
          <w:p>
            <w:pPr>
              <w:jc w:val="right"/>
            </w:pPr>
            <w:r>
              <w:rPr>
                <w:color w:val="000000"/>
                <w:sz w:val="24"/>
                <w:szCs w:val="24"/>
              </w:rPr>
              <w:t>3.33</w:t>
            </w:r>
          </w:p>
        </w:tc>
      </w:tr>
      <w:tr>
        <w:tc>
          <w:tcPr>
            <w:vAlign w:val="center"/>
          </w:tcPr>
          <w:p>
            <w:pPr>
              <w:jc w:val="center"/>
            </w:pPr>
            <w:r>
              <w:rPr>
                <w:color w:val="000000"/>
                <w:sz w:val="24"/>
                <w:szCs w:val="24"/>
              </w:rPr>
              <w:t>2</w:t>
            </w:r>
          </w:p>
        </w:tc>
        <w:tc>
          <w:tcPr>
            <w:vAlign w:val="center"/>
          </w:tcPr>
          <w:p>
            <w:pPr>
              <w:jc w:val="center"/>
            </w:pPr>
            <w:r>
              <w:rPr>
                <w:color w:val="000000"/>
                <w:sz w:val="24"/>
                <w:szCs w:val="24"/>
              </w:rPr>
              <w:t>600030</w:t>
            </w:r>
          </w:p>
        </w:tc>
        <w:tc>
          <w:tcPr>
            <w:vAlign w:val="center"/>
          </w:tcPr>
          <w:p>
            <w:pPr>
              <w:jc w:val="center"/>
            </w:pPr>
            <w:r>
              <w:rPr>
                <w:color w:val="000000"/>
                <w:sz w:val="24"/>
                <w:szCs w:val="24"/>
              </w:rPr>
              <w:t>中信证券</w:t>
            </w:r>
          </w:p>
        </w:tc>
        <w:tc>
          <w:tcPr>
            <w:vAlign w:val="center"/>
          </w:tcPr>
          <w:p>
            <w:pPr>
              <w:jc w:val="right"/>
            </w:pPr>
            <w:r>
              <w:rPr>
                <w:color w:val="000000"/>
                <w:sz w:val="24"/>
                <w:szCs w:val="24"/>
              </w:rPr>
              <w:t>757,700</w:t>
            </w:r>
          </w:p>
        </w:tc>
        <w:tc>
          <w:tcPr>
            <w:vAlign w:val="center"/>
          </w:tcPr>
          <w:p>
            <w:pPr>
              <w:jc w:val="right"/>
            </w:pPr>
            <w:r>
              <w:rPr>
                <w:color w:val="000000"/>
                <w:sz w:val="24"/>
                <w:szCs w:val="24"/>
              </w:rPr>
              <w:t>18,775,806.00</w:t>
            </w:r>
          </w:p>
        </w:tc>
        <w:tc>
          <w:tcPr>
            <w:vAlign w:val="center"/>
          </w:tcPr>
          <w:p>
            <w:pPr>
              <w:jc w:val="right"/>
            </w:pPr>
            <w:r>
              <w:rPr>
                <w:color w:val="000000"/>
                <w:sz w:val="24"/>
                <w:szCs w:val="24"/>
              </w:rPr>
              <w:t>3.17</w:t>
            </w:r>
          </w:p>
        </w:tc>
      </w:tr>
      <w:tr>
        <w:tc>
          <w:tcPr>
            <w:vAlign w:val="center"/>
          </w:tcPr>
          <w:p>
            <w:pPr>
              <w:jc w:val="center"/>
            </w:pPr>
            <w:r>
              <w:rPr>
                <w:color w:val="000000"/>
                <w:sz w:val="24"/>
                <w:szCs w:val="24"/>
              </w:rPr>
              <w:t>3</w:t>
            </w:r>
          </w:p>
        </w:tc>
        <w:tc>
          <w:tcPr>
            <w:vAlign w:val="center"/>
          </w:tcPr>
          <w:p>
            <w:pPr>
              <w:jc w:val="center"/>
            </w:pPr>
            <w:r>
              <w:rPr>
                <w:color w:val="000000"/>
                <w:sz w:val="24"/>
                <w:szCs w:val="24"/>
              </w:rPr>
              <w:t>600038</w:t>
            </w:r>
          </w:p>
        </w:tc>
        <w:tc>
          <w:tcPr>
            <w:vAlign w:val="center"/>
          </w:tcPr>
          <w:p>
            <w:pPr>
              <w:jc w:val="center"/>
            </w:pPr>
            <w:r>
              <w:rPr>
                <w:color w:val="000000"/>
                <w:sz w:val="24"/>
                <w:szCs w:val="24"/>
              </w:rPr>
              <w:t>中直股份</w:t>
            </w:r>
          </w:p>
        </w:tc>
        <w:tc>
          <w:tcPr>
            <w:vAlign w:val="center"/>
          </w:tcPr>
          <w:p>
            <w:pPr>
              <w:jc w:val="right"/>
            </w:pPr>
            <w:r>
              <w:rPr>
                <w:color w:val="000000"/>
                <w:sz w:val="24"/>
                <w:szCs w:val="24"/>
              </w:rPr>
              <w:t>400,000</w:t>
            </w:r>
          </w:p>
        </w:tc>
        <w:tc>
          <w:tcPr>
            <w:vAlign w:val="center"/>
          </w:tcPr>
          <w:p>
            <w:pPr>
              <w:jc w:val="right"/>
            </w:pPr>
            <w:r>
              <w:rPr>
                <w:color w:val="000000"/>
                <w:sz w:val="24"/>
                <w:szCs w:val="24"/>
              </w:rPr>
              <w:t>18,700,000.00</w:t>
            </w:r>
          </w:p>
        </w:tc>
        <w:tc>
          <w:tcPr>
            <w:vAlign w:val="center"/>
          </w:tcPr>
          <w:p>
            <w:pPr>
              <w:jc w:val="right"/>
            </w:pPr>
            <w:r>
              <w:rPr>
                <w:color w:val="000000"/>
                <w:sz w:val="24"/>
                <w:szCs w:val="24"/>
              </w:rPr>
              <w:t>3.16</w:t>
            </w:r>
          </w:p>
        </w:tc>
      </w:tr>
      <w:tr>
        <w:tc>
          <w:tcPr>
            <w:vAlign w:val="center"/>
          </w:tcPr>
          <w:p>
            <w:pPr>
              <w:jc w:val="center"/>
            </w:pPr>
            <w:r>
              <w:rPr>
                <w:color w:val="000000"/>
                <w:sz w:val="24"/>
                <w:szCs w:val="24"/>
              </w:rPr>
              <w:t>4</w:t>
            </w:r>
          </w:p>
        </w:tc>
        <w:tc>
          <w:tcPr>
            <w:vAlign w:val="center"/>
          </w:tcPr>
          <w:p>
            <w:pPr>
              <w:jc w:val="center"/>
            </w:pPr>
            <w:r>
              <w:rPr>
                <w:color w:val="000000"/>
                <w:sz w:val="24"/>
                <w:szCs w:val="24"/>
              </w:rPr>
              <w:t>600258</w:t>
            </w:r>
          </w:p>
        </w:tc>
        <w:tc>
          <w:tcPr>
            <w:vAlign w:val="center"/>
          </w:tcPr>
          <w:p>
            <w:pPr>
              <w:jc w:val="center"/>
            </w:pPr>
            <w:r>
              <w:rPr>
                <w:color w:val="000000"/>
                <w:sz w:val="24"/>
                <w:szCs w:val="24"/>
              </w:rPr>
              <w:t>首旅酒店</w:t>
            </w:r>
          </w:p>
        </w:tc>
        <w:tc>
          <w:tcPr>
            <w:vAlign w:val="center"/>
          </w:tcPr>
          <w:p>
            <w:pPr>
              <w:jc w:val="right"/>
            </w:pPr>
            <w:r>
              <w:rPr>
                <w:color w:val="000000"/>
                <w:sz w:val="24"/>
                <w:szCs w:val="24"/>
              </w:rPr>
              <w:t>794,890</w:t>
            </w:r>
          </w:p>
        </w:tc>
        <w:tc>
          <w:tcPr>
            <w:vAlign w:val="center"/>
          </w:tcPr>
          <w:p>
            <w:pPr>
              <w:jc w:val="right"/>
            </w:pPr>
            <w:r>
              <w:rPr>
                <w:color w:val="000000"/>
                <w:sz w:val="24"/>
                <w:szCs w:val="24"/>
              </w:rPr>
              <w:t>17,471,682.20</w:t>
            </w:r>
          </w:p>
        </w:tc>
        <w:tc>
          <w:tcPr>
            <w:vAlign w:val="center"/>
          </w:tcPr>
          <w:p>
            <w:pPr>
              <w:jc w:val="right"/>
            </w:pPr>
            <w:r>
              <w:rPr>
                <w:color w:val="000000"/>
                <w:sz w:val="24"/>
                <w:szCs w:val="24"/>
              </w:rPr>
              <w:t>2.95</w:t>
            </w:r>
          </w:p>
        </w:tc>
      </w:tr>
      <w:tr>
        <w:tc>
          <w:tcPr>
            <w:vAlign w:val="center"/>
          </w:tcPr>
          <w:p>
            <w:pPr>
              <w:jc w:val="center"/>
            </w:pPr>
            <w:r>
              <w:rPr>
                <w:color w:val="000000"/>
                <w:sz w:val="24"/>
                <w:szCs w:val="24"/>
              </w:rPr>
              <w:t>5</w:t>
            </w:r>
          </w:p>
        </w:tc>
        <w:tc>
          <w:tcPr>
            <w:vAlign w:val="center"/>
          </w:tcPr>
          <w:p>
            <w:pPr>
              <w:jc w:val="center"/>
            </w:pPr>
            <w:r>
              <w:rPr>
                <w:color w:val="000000"/>
                <w:sz w:val="24"/>
                <w:szCs w:val="24"/>
              </w:rPr>
              <w:t>600029</w:t>
            </w:r>
          </w:p>
        </w:tc>
        <w:tc>
          <w:tcPr>
            <w:vAlign w:val="center"/>
          </w:tcPr>
          <w:p>
            <w:pPr>
              <w:jc w:val="center"/>
            </w:pPr>
            <w:r>
              <w:rPr>
                <w:color w:val="000000"/>
                <w:sz w:val="24"/>
                <w:szCs w:val="24"/>
              </w:rPr>
              <w:t>南方航空</w:t>
            </w:r>
          </w:p>
        </w:tc>
        <w:tc>
          <w:tcPr>
            <w:vAlign w:val="center"/>
          </w:tcPr>
          <w:p>
            <w:pPr>
              <w:jc w:val="right"/>
            </w:pPr>
            <w:r>
              <w:rPr>
                <w:color w:val="000000"/>
                <w:sz w:val="24"/>
                <w:szCs w:val="24"/>
              </w:rPr>
              <w:t>2,014,200</w:t>
            </w:r>
          </w:p>
        </w:tc>
        <w:tc>
          <w:tcPr>
            <w:vAlign w:val="center"/>
          </w:tcPr>
          <w:p>
            <w:pPr>
              <w:jc w:val="right"/>
            </w:pPr>
            <w:r>
              <w:rPr>
                <w:color w:val="000000"/>
                <w:sz w:val="24"/>
                <w:szCs w:val="24"/>
              </w:rPr>
              <w:t>17,221,410.00</w:t>
            </w:r>
          </w:p>
        </w:tc>
        <w:tc>
          <w:tcPr>
            <w:vAlign w:val="center"/>
          </w:tcPr>
          <w:p>
            <w:pPr>
              <w:jc w:val="right"/>
            </w:pPr>
            <w:r>
              <w:rPr>
                <w:color w:val="000000"/>
                <w:sz w:val="24"/>
                <w:szCs w:val="24"/>
              </w:rPr>
              <w:t>2.91</w:t>
            </w:r>
          </w:p>
        </w:tc>
      </w:tr>
      <w:tr>
        <w:tc>
          <w:tcPr>
            <w:vAlign w:val="center"/>
          </w:tcPr>
          <w:p>
            <w:pPr>
              <w:jc w:val="center"/>
            </w:pPr>
            <w:r>
              <w:rPr>
                <w:color w:val="000000"/>
                <w:sz w:val="24"/>
                <w:szCs w:val="24"/>
              </w:rPr>
              <w:t>6</w:t>
            </w:r>
          </w:p>
        </w:tc>
        <w:tc>
          <w:tcPr>
            <w:vAlign w:val="center"/>
          </w:tcPr>
          <w:p>
            <w:pPr>
              <w:jc w:val="center"/>
            </w:pPr>
            <w:r>
              <w:rPr>
                <w:color w:val="000000"/>
                <w:sz w:val="24"/>
                <w:szCs w:val="24"/>
              </w:rPr>
              <w:t>601398</w:t>
            </w:r>
          </w:p>
        </w:tc>
        <w:tc>
          <w:tcPr>
            <w:vAlign w:val="center"/>
          </w:tcPr>
          <w:p>
            <w:pPr>
              <w:jc w:val="center"/>
            </w:pPr>
            <w:r>
              <w:rPr>
                <w:color w:val="000000"/>
                <w:sz w:val="24"/>
                <w:szCs w:val="24"/>
              </w:rPr>
              <w:t>工商银行</w:t>
            </w:r>
          </w:p>
        </w:tc>
        <w:tc>
          <w:tcPr>
            <w:vAlign w:val="center"/>
          </w:tcPr>
          <w:p>
            <w:pPr>
              <w:jc w:val="right"/>
            </w:pPr>
            <w:r>
              <w:rPr>
                <w:color w:val="000000"/>
                <w:sz w:val="24"/>
                <w:szCs w:val="24"/>
              </w:rPr>
              <w:t>2,799,900</w:t>
            </w:r>
          </w:p>
        </w:tc>
        <w:tc>
          <w:tcPr>
            <w:vAlign w:val="center"/>
          </w:tcPr>
          <w:p>
            <w:pPr>
              <w:jc w:val="right"/>
            </w:pPr>
            <w:r>
              <w:rPr>
                <w:color w:val="000000"/>
                <w:sz w:val="24"/>
                <w:szCs w:val="24"/>
              </w:rPr>
              <w:t>15,595,443.00</w:t>
            </w:r>
          </w:p>
        </w:tc>
        <w:tc>
          <w:tcPr>
            <w:vAlign w:val="center"/>
          </w:tcPr>
          <w:p>
            <w:pPr>
              <w:jc w:val="right"/>
            </w:pPr>
            <w:r>
              <w:rPr>
                <w:color w:val="000000"/>
                <w:sz w:val="24"/>
                <w:szCs w:val="24"/>
              </w:rPr>
              <w:t>2.63</w:t>
            </w:r>
          </w:p>
        </w:tc>
      </w:tr>
      <w:tr>
        <w:tc>
          <w:tcPr>
            <w:vAlign w:val="center"/>
          </w:tcPr>
          <w:p>
            <w:pPr>
              <w:jc w:val="center"/>
            </w:pPr>
            <w:r>
              <w:rPr>
                <w:color w:val="000000"/>
                <w:sz w:val="24"/>
                <w:szCs w:val="24"/>
              </w:rPr>
              <w:t>7</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1,034,234</w:t>
            </w:r>
          </w:p>
        </w:tc>
        <w:tc>
          <w:tcPr>
            <w:vAlign w:val="center"/>
          </w:tcPr>
          <w:p>
            <w:pPr>
              <w:jc w:val="right"/>
            </w:pPr>
            <w:r>
              <w:rPr>
                <w:color w:val="000000"/>
                <w:sz w:val="24"/>
                <w:szCs w:val="24"/>
              </w:rPr>
              <w:t>14,727,492.16</w:t>
            </w:r>
          </w:p>
        </w:tc>
        <w:tc>
          <w:tcPr>
            <w:vAlign w:val="center"/>
          </w:tcPr>
          <w:p>
            <w:pPr>
              <w:jc w:val="right"/>
            </w:pPr>
            <w:r>
              <w:rPr>
                <w:color w:val="000000"/>
                <w:sz w:val="24"/>
                <w:szCs w:val="24"/>
              </w:rPr>
              <w:t>2.49</w:t>
            </w:r>
          </w:p>
        </w:tc>
      </w:tr>
      <w:tr>
        <w:tc>
          <w:tcPr>
            <w:vAlign w:val="center"/>
          </w:tcPr>
          <w:p>
            <w:pPr>
              <w:jc w:val="center"/>
            </w:pPr>
            <w:r>
              <w:rPr>
                <w:color w:val="000000"/>
                <w:sz w:val="24"/>
                <w:szCs w:val="24"/>
              </w:rPr>
              <w:t>8</w:t>
            </w:r>
          </w:p>
        </w:tc>
        <w:tc>
          <w:tcPr>
            <w:vAlign w:val="center"/>
          </w:tcPr>
          <w:p>
            <w:pPr>
              <w:jc w:val="center"/>
            </w:pPr>
            <w:r>
              <w:rPr>
                <w:color w:val="000000"/>
                <w:sz w:val="24"/>
                <w:szCs w:val="24"/>
              </w:rPr>
              <w:t>600967</w:t>
            </w:r>
          </w:p>
        </w:tc>
        <w:tc>
          <w:tcPr>
            <w:vAlign w:val="center"/>
          </w:tcPr>
          <w:p>
            <w:pPr>
              <w:jc w:val="center"/>
            </w:pPr>
            <w:r>
              <w:rPr>
                <w:color w:val="000000"/>
                <w:sz w:val="24"/>
                <w:szCs w:val="24"/>
              </w:rPr>
              <w:t>内蒙一机</w:t>
            </w:r>
          </w:p>
        </w:tc>
        <w:tc>
          <w:tcPr>
            <w:vAlign w:val="center"/>
          </w:tcPr>
          <w:p>
            <w:pPr>
              <w:jc w:val="right"/>
            </w:pPr>
            <w:r>
              <w:rPr>
                <w:color w:val="000000"/>
                <w:sz w:val="24"/>
                <w:szCs w:val="24"/>
              </w:rPr>
              <w:t>1,150,000</w:t>
            </w:r>
          </w:p>
        </w:tc>
        <w:tc>
          <w:tcPr>
            <w:vAlign w:val="center"/>
          </w:tcPr>
          <w:p>
            <w:pPr>
              <w:jc w:val="right"/>
            </w:pPr>
            <w:r>
              <w:rPr>
                <w:color w:val="000000"/>
                <w:sz w:val="24"/>
                <w:szCs w:val="24"/>
              </w:rPr>
              <w:t>13,869,000.00</w:t>
            </w:r>
          </w:p>
        </w:tc>
        <w:tc>
          <w:tcPr>
            <w:vAlign w:val="center"/>
          </w:tcPr>
          <w:p>
            <w:pPr>
              <w:jc w:val="right"/>
            </w:pPr>
            <w:r>
              <w:rPr>
                <w:color w:val="000000"/>
                <w:sz w:val="24"/>
                <w:szCs w:val="24"/>
              </w:rPr>
              <w:t>2.34</w:t>
            </w:r>
          </w:p>
        </w:tc>
      </w:tr>
      <w:tr>
        <w:tc>
          <w:tcPr>
            <w:vAlign w:val="center"/>
          </w:tcPr>
          <w:p>
            <w:pPr>
              <w:jc w:val="center"/>
            </w:pPr>
            <w:r>
              <w:rPr>
                <w:color w:val="000000"/>
                <w:sz w:val="24"/>
                <w:szCs w:val="24"/>
              </w:rPr>
              <w:t>9</w:t>
            </w:r>
          </w:p>
        </w:tc>
        <w:tc>
          <w:tcPr>
            <w:vAlign w:val="center"/>
          </w:tcPr>
          <w:p>
            <w:pPr>
              <w:jc w:val="center"/>
            </w:pPr>
            <w:r>
              <w:rPr>
                <w:color w:val="000000"/>
                <w:sz w:val="24"/>
                <w:szCs w:val="24"/>
              </w:rPr>
              <w:t>600406</w:t>
            </w:r>
          </w:p>
        </w:tc>
        <w:tc>
          <w:tcPr>
            <w:vAlign w:val="center"/>
          </w:tcPr>
          <w:p>
            <w:pPr>
              <w:jc w:val="center"/>
            </w:pPr>
            <w:r>
              <w:rPr>
                <w:color w:val="000000"/>
                <w:sz w:val="24"/>
                <w:szCs w:val="24"/>
              </w:rPr>
              <w:t>国电南瑞</w:t>
            </w:r>
          </w:p>
        </w:tc>
        <w:tc>
          <w:tcPr>
            <w:vAlign w:val="center"/>
          </w:tcPr>
          <w:p>
            <w:pPr>
              <w:jc w:val="right"/>
            </w:pPr>
            <w:r>
              <w:rPr>
                <w:color w:val="000000"/>
                <w:sz w:val="24"/>
                <w:szCs w:val="24"/>
              </w:rPr>
              <w:t>600,000</w:t>
            </w:r>
          </w:p>
        </w:tc>
        <w:tc>
          <w:tcPr>
            <w:vAlign w:val="center"/>
          </w:tcPr>
          <w:p>
            <w:pPr>
              <w:jc w:val="right"/>
            </w:pPr>
            <w:r>
              <w:rPr>
                <w:color w:val="000000"/>
                <w:sz w:val="24"/>
                <w:szCs w:val="24"/>
              </w:rPr>
              <w:t>12,666,000.00</w:t>
            </w:r>
          </w:p>
        </w:tc>
        <w:tc>
          <w:tcPr>
            <w:vAlign w:val="center"/>
          </w:tcPr>
          <w:p>
            <w:pPr>
              <w:jc w:val="right"/>
            </w:pPr>
            <w:r>
              <w:rPr>
                <w:color w:val="000000"/>
                <w:sz w:val="24"/>
                <w:szCs w:val="24"/>
              </w:rPr>
              <w:t>2.14</w:t>
            </w:r>
          </w:p>
        </w:tc>
      </w:tr>
      <w:tr>
        <w:tc>
          <w:tcPr>
            <w:vAlign w:val="center"/>
          </w:tcPr>
          <w:p>
            <w:pPr>
              <w:jc w:val="center"/>
            </w:pPr>
            <w:r>
              <w:rPr>
                <w:color w:val="000000"/>
                <w:sz w:val="24"/>
                <w:szCs w:val="24"/>
              </w:rPr>
              <w:t>10</w:t>
            </w:r>
          </w:p>
        </w:tc>
        <w:tc>
          <w:tcPr>
            <w:vAlign w:val="center"/>
          </w:tcPr>
          <w:p>
            <w:pPr>
              <w:jc w:val="center"/>
            </w:pPr>
            <w:r>
              <w:rPr>
                <w:color w:val="000000"/>
                <w:sz w:val="24"/>
                <w:szCs w:val="24"/>
              </w:rPr>
              <w:t>600115</w:t>
            </w:r>
          </w:p>
        </w:tc>
        <w:tc>
          <w:tcPr>
            <w:vAlign w:val="center"/>
          </w:tcPr>
          <w:p>
            <w:pPr>
              <w:jc w:val="center"/>
            </w:pPr>
            <w:r>
              <w:rPr>
                <w:color w:val="000000"/>
                <w:sz w:val="24"/>
                <w:szCs w:val="24"/>
              </w:rPr>
              <w:t>东方航空</w:t>
            </w:r>
          </w:p>
        </w:tc>
        <w:tc>
          <w:tcPr>
            <w:vAlign w:val="center"/>
          </w:tcPr>
          <w:p>
            <w:pPr>
              <w:jc w:val="right"/>
            </w:pPr>
            <w:r>
              <w:rPr>
                <w:color w:val="000000"/>
                <w:sz w:val="24"/>
                <w:szCs w:val="24"/>
              </w:rPr>
              <w:t>1,800,000</w:t>
            </w:r>
          </w:p>
        </w:tc>
        <w:tc>
          <w:tcPr>
            <w:vAlign w:val="center"/>
          </w:tcPr>
          <w:p>
            <w:pPr>
              <w:jc w:val="right"/>
            </w:pPr>
            <w:r>
              <w:rPr>
                <w:color w:val="000000"/>
                <w:sz w:val="24"/>
                <w:szCs w:val="24"/>
              </w:rPr>
              <w:t>12,492,000.00</w:t>
            </w:r>
          </w:p>
        </w:tc>
        <w:tc>
          <w:tcPr>
            <w:vAlign w:val="center"/>
          </w:tcPr>
          <w:p>
            <w:pPr>
              <w:jc w:val="right"/>
            </w:pPr>
            <w:r>
              <w:rPr>
                <w:color w:val="000000"/>
                <w:sz w:val="24"/>
                <w:szCs w:val="24"/>
              </w:rPr>
              <w:t>2.11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27,857,200.00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4.70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217,900.20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0.04</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28,075,100.20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4.74</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199908</w:t>
            </w:r>
          </w:p>
        </w:tc>
        <w:tc>
          <w:tcPr>
            <w:vAlign w:val="center"/>
          </w:tcPr>
          <w:p>
            <w:pPr>
              <w:jc w:val="center"/>
            </w:pPr>
            <w:r>
              <w:rPr>
                <w:color w:val="000000"/>
                <w:sz w:val="24"/>
                <w:szCs w:val="24"/>
              </w:rPr>
              <w:t>19贴现国债08</w:t>
            </w:r>
          </w:p>
        </w:tc>
        <w:tc>
          <w:tcPr>
            <w:vAlign w:val="center"/>
          </w:tcPr>
          <w:p>
            <w:pPr>
              <w:jc w:val="right"/>
            </w:pPr>
            <w:r>
              <w:rPr>
                <w:color w:val="000000"/>
                <w:sz w:val="24"/>
                <w:szCs w:val="24"/>
              </w:rPr>
              <w:t>280,000</w:t>
            </w:r>
          </w:p>
        </w:tc>
        <w:tc>
          <w:tcPr>
            <w:vAlign w:val="center"/>
          </w:tcPr>
          <w:p>
            <w:pPr>
              <w:jc w:val="right"/>
            </w:pPr>
            <w:r>
              <w:rPr>
                <w:color w:val="000000"/>
                <w:sz w:val="24"/>
                <w:szCs w:val="24"/>
              </w:rPr>
              <w:t>27,857,200.00</w:t>
            </w:r>
          </w:p>
        </w:tc>
        <w:tc>
          <w:tcPr>
            <w:vAlign w:val="center"/>
          </w:tcPr>
          <w:p>
            <w:pPr>
              <w:jc w:val="right"/>
            </w:pPr>
            <w:r>
              <w:rPr>
                <w:color w:val="000000"/>
                <w:sz w:val="24"/>
                <w:szCs w:val="24"/>
              </w:rPr>
              <w:t>4.70</w:t>
            </w:r>
          </w:p>
        </w:tc>
      </w:tr>
      <w:tr>
        <w:tc>
          <w:tcPr>
            <w:vAlign w:val="center"/>
          </w:tcPr>
          <w:p>
            <w:pPr>
              <w:jc w:val="center"/>
            </w:pPr>
            <w:r>
              <w:rPr>
                <w:color w:val="000000"/>
                <w:sz w:val="24"/>
                <w:szCs w:val="24"/>
              </w:rPr>
              <w:t>2</w:t>
            </w:r>
          </w:p>
        </w:tc>
        <w:tc>
          <w:tcPr>
            <w:vAlign w:val="center"/>
          </w:tcPr>
          <w:p>
            <w:pPr>
              <w:jc w:val="center"/>
            </w:pPr>
            <w:r>
              <w:rPr>
                <w:color w:val="000000"/>
                <w:sz w:val="24"/>
                <w:szCs w:val="24"/>
              </w:rPr>
              <w:t>113517</w:t>
            </w:r>
          </w:p>
        </w:tc>
        <w:tc>
          <w:tcPr>
            <w:vAlign w:val="center"/>
          </w:tcPr>
          <w:p>
            <w:pPr>
              <w:jc w:val="center"/>
            </w:pPr>
            <w:r>
              <w:rPr>
                <w:color w:val="000000"/>
                <w:sz w:val="24"/>
                <w:szCs w:val="24"/>
              </w:rPr>
              <w:t>曙光转债</w:t>
            </w:r>
          </w:p>
        </w:tc>
        <w:tc>
          <w:tcPr>
            <w:vAlign w:val="center"/>
          </w:tcPr>
          <w:p>
            <w:pPr>
              <w:jc w:val="right"/>
            </w:pPr>
            <w:r>
              <w:rPr>
                <w:color w:val="000000"/>
                <w:sz w:val="24"/>
                <w:szCs w:val="24"/>
              </w:rPr>
              <w:t>1,740</w:t>
            </w:r>
          </w:p>
        </w:tc>
        <w:tc>
          <w:tcPr>
            <w:vAlign w:val="center"/>
          </w:tcPr>
          <w:p>
            <w:pPr>
              <w:jc w:val="right"/>
            </w:pPr>
            <w:r>
              <w:rPr>
                <w:color w:val="000000"/>
                <w:sz w:val="24"/>
                <w:szCs w:val="24"/>
              </w:rPr>
              <w:t>217,900.20</w:t>
            </w:r>
          </w:p>
        </w:tc>
        <w:tc>
          <w:tcPr>
            <w:vAlign w:val="center"/>
          </w:tcPr>
          <w:p>
            <w:pPr>
              <w:jc w:val="right"/>
            </w:pPr>
            <w:r>
              <w:rPr>
                <w:color w:val="000000"/>
                <w:sz w:val="24"/>
                <w:szCs w:val="24"/>
              </w:rPr>
              <w:t>0.04</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
          <w:bottom w:type="dxa" w:w="-1"/>
        </w:tblCellMar>
        <w:tblLook w:val="0000"/>
      </w:tblPr>
      <w:tblGrid>
        <w:gridCol w:w="1478"/>
        <w:gridCol w:w="1479"/>
        <w:gridCol w:w="1479"/>
        <w:gridCol w:w="1479"/>
        <w:gridCol w:w="1480"/>
        <w:gridCol w:w="1473"/>
      </w:tblGrid>
      <w:tr w:rsidR="00275745" w:rsidRPr="00414345" w:rsidTr="00AB4DB6">
        <w:trPr>
          <w:trHeight w:val="105"/>
          <w:jc w:val="center"/>
        </w:trPr>
        <w:tc>
          <w:tcPr>
            <w:tcW w:type="dxa" w:w="1422"/>
            <w:vAlign w:val="center"/>
          </w:tcPr>
          <w:p w:rsidP="00C15CAC" w:rsidR="00275745" w:rsidRDefault="00275745" w:rsidRPr="00414345">
            <w:pPr>
              <w:pStyle w:val="Default"/>
              <w:spacing w:before="29" w:line="288" w:lineRule="auto"/>
              <w:jc w:val="center"/>
              <w:rPr>
                <w:rFonts w:ascii="Times New Roman" w:cs="Times New Roman" w:hAnsi="Times New Roman"/>
              </w:rPr>
            </w:pPr>
            <w:r w:rsidRPr="00414345">
              <w:rPr>
                <w:rFonts w:ascii="Times New Roman" w:cs="Times New Roman" w:hAnsi="Times New Roman"/>
              </w:rPr>
              <w:t>代码</w:t>
            </w:r>
            <w:r w:rsidR="00A83500" w:rsidRPr="00414345">
              <w:rPr>
                <w:rFonts w:ascii="Times New Roman" w:cs="Times New Roman" w:hAnsi="Times New Roman"/>
                <w:b/>
              </w:rPr>
              <w:t/>
            </w:r>
            <w:r w:rsidR="00A83500" w:rsidRPr="00414345">
              <w:rPr>
                <w:rFonts w:ascii="Times New Roman" w:cs="Times New Roman" w:hAnsi="Times New Roman"/>
              </w:rPr>
              <w:t/>
            </w:r>
          </w:p>
        </w:tc>
        <w:tc>
          <w:tcPr>
            <w:tcW w:type="dxa" w:w="1422"/>
            <w:vAlign w:val="center"/>
          </w:tcPr>
          <w:p w:rsidP="00C15CAC" w:rsidR="00275745" w:rsidRDefault="00275745" w:rsidRPr="00414345">
            <w:pPr>
              <w:pStyle w:val="Default"/>
              <w:spacing w:before="29" w:line="288" w:lineRule="auto"/>
              <w:jc w:val="center"/>
              <w:rPr>
                <w:rFonts w:ascii="Times New Roman" w:cs="Times New Roman" w:hAnsi="Times New Roman"/>
              </w:rPr>
            </w:pPr>
            <w:r w:rsidRPr="00414345">
              <w:rPr>
                <w:rFonts w:ascii="Times New Roman" w:cs="Times New Roman" w:hAnsi="Times New Roman"/>
              </w:rPr>
              <w:t>名称</w:t>
            </w:r>
          </w:p>
        </w:tc>
        <w:tc>
          <w:tcPr>
            <w:tcW w:type="dxa" w:w="1422"/>
            <w:vAlign w:val="center"/>
          </w:tcPr>
          <w:p w:rsidP="00C15CAC" w:rsidR="00275745" w:rsidRDefault="00275745" w:rsidRPr="00414345">
            <w:pPr>
              <w:pStyle w:val="Default"/>
              <w:spacing w:before="29" w:line="288" w:lineRule="auto"/>
              <w:jc w:val="center"/>
              <w:rPr>
                <w:rFonts w:ascii="Times New Roman" w:cs="Times New Roman" w:hAnsi="Times New Roman"/>
              </w:rPr>
            </w:pPr>
            <w:r w:rsidRPr="00414345">
              <w:rPr>
                <w:rFonts w:ascii="Times New Roman" w:cs="Times New Roman" w:hAnsi="Times New Roman"/>
              </w:rPr>
              <w:t>持仓量</w:t>
            </w:r>
          </w:p>
        </w:tc>
        <w:tc>
          <w:tcPr>
            <w:tcW w:type="dxa" w:w="1422"/>
            <w:vAlign w:val="center"/>
          </w:tcPr>
          <w:p w:rsidP="00C15CAC" w:rsidR="00275745" w:rsidRDefault="00275745" w:rsidRPr="00414345">
            <w:pPr>
              <w:pStyle w:val="Default"/>
              <w:spacing w:before="29" w:line="288" w:lineRule="auto"/>
              <w:jc w:val="center"/>
              <w:rPr>
                <w:rFonts w:ascii="Times New Roman" w:cs="Times New Roman" w:hAnsi="Times New Roman"/>
              </w:rPr>
            </w:pPr>
            <w:r w:rsidRPr="00414345">
              <w:rPr>
                <w:rFonts w:ascii="Times New Roman" w:cs="Times New Roman" w:hAnsi="Times New Roman"/>
              </w:rPr>
              <w:t>合约市值</w:t>
            </w:r>
            <w:r w:rsidR="00C87129" w:rsidRPr="00414345">
              <w:rPr>
                <w:rFonts w:ascii="Times New Roman" w:cs="Times New Roman" w:hAnsi="Times New Roman"/>
              </w:rPr>
              <w:t>(</w:t>
            </w:r>
            <w:r w:rsidR="00C87129" w:rsidRPr="00414345">
              <w:rPr>
                <w:rFonts w:ascii="Times New Roman" w:cs="Times New Roman" w:hAnsi="Times New Roman"/>
              </w:rPr>
              <w:t>元</w:t>
            </w:r>
            <w:r w:rsidR="00C87129" w:rsidRPr="00414345">
              <w:rPr>
                <w:rFonts w:ascii="Times New Roman" w:cs="Times New Roman" w:hAnsi="Times New Roman"/>
              </w:rPr>
              <w:t>)</w:t>
            </w:r>
          </w:p>
        </w:tc>
        <w:tc>
          <w:tcPr>
            <w:tcW w:type="dxa" w:w="1423"/>
            <w:vAlign w:val="center"/>
          </w:tcPr>
          <w:p w:rsidP="00C15CAC" w:rsidR="00275745" w:rsidRDefault="00275745" w:rsidRPr="00414345">
            <w:pPr>
              <w:pStyle w:val="Default"/>
              <w:spacing w:before="29" w:line="288" w:lineRule="auto"/>
              <w:jc w:val="center"/>
              <w:rPr>
                <w:rFonts w:ascii="Times New Roman" w:cs="Times New Roman" w:hAnsi="Times New Roman"/>
              </w:rPr>
            </w:pPr>
            <w:r w:rsidRPr="00414345">
              <w:rPr>
                <w:rFonts w:ascii="Times New Roman" w:cs="Times New Roman" w:hAnsi="Times New Roman"/>
              </w:rPr>
              <w:t>公允价值变动</w:t>
            </w:r>
            <w:r w:rsidR="00C87129" w:rsidRPr="00414345">
              <w:rPr>
                <w:rFonts w:ascii="Times New Roman" w:cs="Times New Roman" w:hAnsi="Times New Roman"/>
              </w:rPr>
              <w:t>(</w:t>
            </w:r>
            <w:r w:rsidR="00C87129" w:rsidRPr="00414345">
              <w:rPr>
                <w:rFonts w:ascii="Times New Roman" w:cs="Times New Roman" w:hAnsi="Times New Roman"/>
              </w:rPr>
              <w:t>元</w:t>
            </w:r>
            <w:r w:rsidR="00C87129" w:rsidRPr="00414345">
              <w:rPr>
                <w:rFonts w:ascii="Times New Roman" w:cs="Times New Roman" w:hAnsi="Times New Roman"/>
              </w:rPr>
              <w:t>)</w:t>
            </w:r>
          </w:p>
        </w:tc>
        <w:tc>
          <w:tcPr>
            <w:tcW w:type="dxa" w:w="1416"/>
            <w:vAlign w:val="center"/>
          </w:tcPr>
          <w:p w:rsidP="00C15CAC" w:rsidR="00275745" w:rsidRDefault="00275745" w:rsidRPr="00414345">
            <w:pPr>
              <w:pStyle w:val="Default"/>
              <w:spacing w:before="29" w:line="288" w:lineRule="auto"/>
              <w:jc w:val="center"/>
              <w:rPr>
                <w:rFonts w:ascii="Times New Roman" w:cs="Times New Roman" w:hAnsi="Times New Roman"/>
                <w:color w:val="auto"/>
              </w:rPr>
            </w:pPr>
            <w:r w:rsidRPr="00414345">
              <w:rPr>
                <w:rFonts w:ascii="Times New Roman" w:cs="Times New Roman" w:hAnsi="Times New Roman"/>
                <w:color w:val="auto"/>
              </w:rPr>
              <w:t>风险说明</w:t>
            </w:r>
          </w:p>
        </w:tc>
      </w:tr>
      <w:tr>
        <w:tc>
          <w:tcPr>
            <w:vAlign w:val="center"/>
          </w:tcPr>
          <w:p>
            <w:pPr>
              <w:jc w:val="center"/>
            </w:pPr>
            <w:r>
              <w:rPr>
                <w:rFonts w:ascii="Times New Roman" w:cs="Times New Roman" w:hAnsi="Times New Roman"/>
              </w:rPr>
              <w:t>IC1906</w:t>
            </w:r>
          </w:p>
        </w:tc>
        <w:tc>
          <w:tcPr>
            <w:vAlign w:val="center"/>
          </w:tcPr>
          <w:p>
            <w:pPr>
              <w:jc w:val="left"/>
            </w:pPr>
            <w:r>
              <w:rPr>
                <w:rFonts w:ascii="Times New Roman" w:cs="Times New Roman" w:hAnsi="Times New Roman"/>
              </w:rPr>
              <w:t>IC1906</w:t>
            </w:r>
          </w:p>
        </w:tc>
        <w:tc>
          <w:tcPr>
            <w:vAlign w:val="center"/>
          </w:tcPr>
          <w:p>
            <w:pPr>
              <w:jc w:val="right"/>
            </w:pPr>
            <w:r>
              <w:rPr>
                <w:rFonts w:ascii="Times New Roman" w:cs="Times New Roman" w:hAnsi="Times New Roman"/>
              </w:rPr>
              <w:t>20.00</w:t>
            </w:r>
          </w:p>
        </w:tc>
        <w:tc>
          <w:tcPr>
            <w:vAlign w:val="center"/>
          </w:tcPr>
          <w:p>
            <w:pPr>
              <w:jc w:val="right"/>
            </w:pPr>
            <w:r>
              <w:rPr>
                <w:rFonts w:ascii="Times New Roman" w:cs="Times New Roman" w:hAnsi="Times New Roman"/>
              </w:rPr>
              <w:t>-21,928,000.00</w:t>
            </w:r>
          </w:p>
        </w:tc>
        <w:tc>
          <w:tcPr>
            <w:vAlign w:val="center"/>
          </w:tcPr>
          <w:p>
            <w:pPr>
              <w:jc w:val="right"/>
            </w:pPr>
            <w:r>
              <w:rPr>
                <w:rFonts w:ascii="Times New Roman" w:cs="Times New Roman" w:hAnsi="Times New Roman"/>
              </w:rPr>
              <w:t>11,600.00</w:t>
            </w:r>
          </w:p>
        </w:tc>
        <w:tc>
          <w:tcPr>
            <w:vAlign w:val="center"/>
          </w:tcPr>
          <w:p>
            <w:pPr>
              <w:jc w:val="left"/>
            </w:pPr>
            <w:r>
              <w:rPr>
                <w:rFonts w:ascii="Times New Roman" w:cs="Times New Roman" w:hAnsi="Times New Roman"/>
              </w:rPr>
              <w:t>-</w:t>
            </w:r>
          </w:p>
        </w:tc>
      </w:tr>
      <w:tr w:rsidR="00275745" w:rsidRPr="00414345" w:rsidTr="00AB4DB6">
        <w:trPr>
          <w:trHeight w:val="105"/>
          <w:jc w:val="center"/>
        </w:trPr>
        <w:tc>
          <w:tcPr>
            <w:tcW w:type="dxa" w:w="7111"/>
            <w:gridSpan w:val="5"/>
            <w:vAlign w:val="center"/>
          </w:tcPr>
          <w:p w:rsidP="00C15CAC" w:rsidR="00275745" w:rsidRDefault="00275745" w:rsidRPr="00414345">
            <w:pPr>
              <w:pStyle w:val="Default"/>
              <w:spacing w:before="29" w:line="288" w:lineRule="auto"/>
              <w:rPr>
                <w:rFonts w:ascii="Times New Roman" w:cs="Times New Roman" w:hAnsi="Times New Roman"/>
              </w:rPr>
            </w:pPr>
            <w:r w:rsidRPr="00414345">
              <w:rPr>
                <w:rFonts w:ascii="Times New Roman" w:cs="Times New Roman" w:hAnsi="Times New Roman"/>
              </w:rPr>
              <w:t>公允价值变动总额合计</w:t>
            </w:r>
            <w:r w:rsidR="00C87129" w:rsidRPr="00414345">
              <w:rPr>
                <w:rFonts w:ascii="Times New Roman" w:cs="Times New Roman" w:hAnsi="Times New Roman"/>
              </w:rPr>
              <w:t>(</w:t>
            </w:r>
            <w:r w:rsidR="00C87129" w:rsidRPr="00414345">
              <w:rPr>
                <w:rFonts w:ascii="Times New Roman" w:cs="Times New Roman" w:hAnsi="Times New Roman"/>
              </w:rPr>
              <w:t>元</w:t>
            </w:r>
            <w:r w:rsidR="00C87129" w:rsidRPr="00414345">
              <w:rPr>
                <w:rFonts w:ascii="Times New Roman" w:cs="Times New Roman" w:hAnsi="Times New Roman"/>
              </w:rPr>
              <w:t>)</w:t>
            </w:r>
          </w:p>
        </w:tc>
        <w:tc>
          <w:tcPr>
            <w:tcW w:type="dxa" w:w="1416"/>
            <w:vAlign w:val="center"/>
          </w:tcPr>
          <w:p w:rsidP="00C15CAC" w:rsidR="00275745" w:rsidRDefault="00275745" w:rsidRPr="00414345">
            <w:pPr>
              <w:pStyle w:val="Default"/>
              <w:spacing w:before="29" w:line="288" w:lineRule="auto"/>
              <w:jc w:val="right"/>
              <w:rPr>
                <w:rFonts w:ascii="Times New Roman" w:cs="Times New Roman" w:hAnsi="Times New Roman"/>
                <w:color w:val="auto"/>
              </w:rPr>
            </w:pPr>
            <w:r w:rsidRPr="00414345">
              <w:rPr>
                <w:rFonts w:ascii="Times New Roman" w:cs="Times New Roman" w:hAnsi="Times New Roman"/>
                <w:color w:val="auto"/>
              </w:rPr>
              <w:t/>
            </w:r>
            <w:r w:rsidR="001E4630" w:rsidRPr="00414345">
              <w:rPr>
                <w:rFonts w:ascii="Times New Roman" w:cs="Times New Roman" w:hAnsi="Times New Roman"/>
                <w:color w:val="auto"/>
              </w:rPr>
              <w:t/>
            </w:r>
            <w:r w:rsidRPr="00414345">
              <w:rPr>
                <w:rFonts w:ascii="Times New Roman" w:cs="Times New Roman" w:hAnsi="Times New Roman"/>
                <w:color w:val="auto"/>
              </w:rPr>
              <w:t/>
            </w:r>
            <w:r w:rsidRPr="00414345">
              <w:rPr>
                <w:rFonts w:ascii="Times New Roman" w:cs="Times New Roman" w:hAnsi="Times New Roman"/>
                <w:color w:val="auto"/>
              </w:rPr>
              <w:lastRenderedPageBreak/>
              <w:t>11,600.00</w:t>
            </w:r>
          </w:p>
        </w:tc>
      </w:tr>
      <w:tr w:rsidR="00275745" w:rsidRPr="00414345" w:rsidTr="00AB4DB6">
        <w:trPr>
          <w:trHeight w:val="105"/>
          <w:jc w:val="center"/>
        </w:trPr>
        <w:tc>
          <w:tcPr>
            <w:tcW w:type="dxa" w:w="7111"/>
            <w:gridSpan w:val="5"/>
            <w:vAlign w:val="center"/>
          </w:tcPr>
          <w:p w:rsidP="00C15CAC" w:rsidR="00275745" w:rsidRDefault="00275745" w:rsidRPr="00414345">
            <w:pPr>
              <w:pStyle w:val="Default"/>
              <w:spacing w:before="29" w:line="288" w:lineRule="auto"/>
              <w:rPr>
                <w:rFonts w:ascii="Times New Roman" w:cs="Times New Roman" w:hAnsi="Times New Roman"/>
                <w:color w:val="auto"/>
              </w:rPr>
            </w:pPr>
            <w:r w:rsidRPr="00414345">
              <w:rPr>
                <w:rFonts w:ascii="Times New Roman" w:cs="Times New Roman" w:hAnsi="Times New Roman"/>
                <w:color w:val="auto"/>
              </w:rPr>
              <w:lastRenderedPageBreak/>
              <w:t>股指期货投资本期收益</w:t>
            </w:r>
            <w:r w:rsidR="00C87129" w:rsidRPr="00414345">
              <w:rPr>
                <w:rFonts w:ascii="Times New Roman" w:cs="Times New Roman" w:hAnsi="Times New Roman"/>
              </w:rPr>
              <w:t>(</w:t>
            </w:r>
            <w:r w:rsidR="00C87129" w:rsidRPr="00414345">
              <w:rPr>
                <w:rFonts w:ascii="Times New Roman" w:cs="Times New Roman" w:hAnsi="Times New Roman"/>
              </w:rPr>
              <w:t>元</w:t>
            </w:r>
            <w:r w:rsidR="00C87129" w:rsidRPr="00414345">
              <w:rPr>
                <w:rFonts w:ascii="Times New Roman" w:cs="Times New Roman" w:hAnsi="Times New Roman"/>
              </w:rPr>
              <w:t>)</w:t>
            </w:r>
          </w:p>
        </w:tc>
        <w:tc>
          <w:tcPr>
            <w:tcW w:type="dxa" w:w="1416"/>
            <w:vAlign w:val="center"/>
          </w:tcPr>
          <w:p w:rsidP="00C15CAC" w:rsidR="00275745" w:rsidRDefault="00275745" w:rsidRPr="00414345">
            <w:pPr>
              <w:pStyle w:val="Default"/>
              <w:spacing w:before="29" w:line="288" w:lineRule="auto"/>
              <w:jc w:val="right"/>
              <w:rPr>
                <w:rFonts w:ascii="Times New Roman" w:cs="Times New Roman" w:hAnsi="Times New Roman"/>
                <w:color w:val="auto"/>
              </w:rPr>
            </w:pPr>
            <w:r w:rsidRPr="00414345">
              <w:rPr>
                <w:rFonts w:ascii="Times New Roman" w:cs="Times New Roman" w:hAnsi="Times New Roman"/>
                <w:color w:val="auto"/>
              </w:rPr>
              <w:t/>
            </w:r>
            <w:r w:rsidR="001E4630" w:rsidRPr="00414345">
              <w:rPr>
                <w:rFonts w:ascii="Times New Roman" w:cs="Times New Roman" w:hAnsi="Times New Roman"/>
                <w:color w:val="auto"/>
              </w:rPr>
              <w:t/>
            </w:r>
            <w:r w:rsidRPr="00414345">
              <w:rPr>
                <w:rFonts w:ascii="Times New Roman" w:cs="Times New Roman" w:hAnsi="Times New Roman"/>
                <w:color w:val="auto"/>
              </w:rPr>
              <w:t>-1,283,776.00</w:t>
            </w:r>
          </w:p>
        </w:tc>
      </w:tr>
      <w:tr w:rsidR="00275745" w:rsidRPr="00414345" w:rsidTr="00AB4DB6">
        <w:trPr>
          <w:trHeight w:val="105"/>
          <w:jc w:val="center"/>
        </w:trPr>
        <w:tc>
          <w:tcPr>
            <w:tcW w:type="dxa" w:w="7111"/>
            <w:gridSpan w:val="5"/>
            <w:vAlign w:val="center"/>
          </w:tcPr>
          <w:p w:rsidP="00C15CAC" w:rsidR="00275745" w:rsidRDefault="00275745" w:rsidRPr="00414345">
            <w:pPr>
              <w:pStyle w:val="Default"/>
              <w:spacing w:before="29" w:line="288" w:lineRule="auto"/>
              <w:rPr>
                <w:rFonts w:ascii="Times New Roman" w:cs="Times New Roman" w:hAnsi="Times New Roman"/>
                <w:color w:val="auto"/>
              </w:rPr>
            </w:pPr>
            <w:r w:rsidRPr="00414345">
              <w:rPr>
                <w:rFonts w:ascii="Times New Roman" w:cs="Times New Roman" w:hAnsi="Times New Roman"/>
                <w:color w:val="auto"/>
              </w:rPr>
              <w:t>股指期货投资本期公允价值变动</w:t>
            </w:r>
            <w:r w:rsidR="00C87129" w:rsidRPr="00414345">
              <w:rPr>
                <w:rFonts w:ascii="Times New Roman" w:cs="Times New Roman" w:hAnsi="Times New Roman"/>
              </w:rPr>
              <w:t>(</w:t>
            </w:r>
            <w:r w:rsidR="00C87129" w:rsidRPr="00414345">
              <w:rPr>
                <w:rFonts w:ascii="Times New Roman" w:cs="Times New Roman" w:hAnsi="Times New Roman"/>
              </w:rPr>
              <w:t>元</w:t>
            </w:r>
            <w:r w:rsidR="00C87129" w:rsidRPr="00414345">
              <w:rPr>
                <w:rFonts w:ascii="Times New Roman" w:cs="Times New Roman" w:hAnsi="Times New Roman"/>
              </w:rPr>
              <w:t>)</w:t>
            </w:r>
          </w:p>
        </w:tc>
        <w:tc>
          <w:tcPr>
            <w:tcW w:type="dxa" w:w="1416"/>
            <w:vAlign w:val="center"/>
          </w:tcPr>
          <w:p w:rsidP="00C15CAC" w:rsidR="00275745" w:rsidRDefault="00275745" w:rsidRPr="00414345">
            <w:pPr>
              <w:pStyle w:val="Default"/>
              <w:spacing w:before="29" w:line="288" w:lineRule="auto"/>
              <w:jc w:val="right"/>
              <w:rPr>
                <w:rFonts w:ascii="Times New Roman" w:cs="Times New Roman" w:hAnsi="Times New Roman"/>
                <w:color w:val="auto"/>
              </w:rPr>
            </w:pPr>
            <w:r w:rsidRPr="00414345">
              <w:rPr>
                <w:rFonts w:ascii="Times New Roman" w:cs="Times New Roman" w:hAnsi="Times New Roman"/>
                <w:color w:val="auto"/>
              </w:rPr>
              <w:t/>
            </w:r>
            <w:r w:rsidR="001E4630" w:rsidRPr="00414345">
              <w:rPr>
                <w:rFonts w:ascii="Times New Roman" w:cs="Times New Roman" w:hAnsi="Times New Roman"/>
                <w:color w:val="auto"/>
              </w:rPr>
              <w:t/>
            </w:r>
            <w:r w:rsidRPr="00414345">
              <w:rPr>
                <w:rFonts w:ascii="Times New Roman" w:cs="Times New Roman" w:hAnsi="Times New Roman"/>
                <w:color w:val="auto"/>
              </w:rPr>
              <w:t>42,200.00</w:t>
            </w:r>
          </w:p>
        </w:tc>
      </w:tr>
    </w:tbl>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3,684,610.64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61,038.24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30,940.48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3,776,589.36</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type="dxa" w:w="8868"/>
        <w:jc w:val="center"/>
        <w:tblLayout w:type="fixed"/>
        <w:tblCellMar>
          <w:top w:type="dxa" w:w="57"/>
          <w:bottom w:type="dxa" w:w="57"/>
        </w:tblCellMar>
        <w:tblLook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113517</w:t>
            </w:r>
          </w:p>
        </w:tc>
        <w:tc>
          <w:tcPr>
            <w:vAlign w:val="center"/>
          </w:tcPr>
          <w:p>
            <w:pPr>
              <w:jc w:val="center"/>
            </w:pPr>
            <w:r>
              <w:rPr>
                <w:color w:val="000000"/>
                <w:sz w:val="24"/>
                <w:szCs w:val="24"/>
              </w:rPr>
              <w:t>曙光转债</w:t>
            </w:r>
          </w:p>
        </w:tc>
        <w:tc>
          <w:tcPr>
            <w:vAlign w:val="center"/>
          </w:tcPr>
          <w:p>
            <w:pPr>
              <w:jc w:val="right"/>
            </w:pPr>
            <w:r>
              <w:rPr>
                <w:color w:val="000000"/>
                <w:sz w:val="24"/>
                <w:szCs w:val="24"/>
              </w:rPr>
              <w:t>217,900.20</w:t>
            </w:r>
          </w:p>
        </w:tc>
        <w:tc>
          <w:tcPr>
            <w:vAlign w:val="center"/>
          </w:tcPr>
          <w:p>
            <w:pPr>
              <w:jc w:val="right"/>
            </w:pPr>
            <w:r>
              <w:rPr>
                <w:color w:val="000000"/>
                <w:sz w:val="24"/>
                <w:szCs w:val="24"/>
              </w:rPr>
              <w:t>0.04</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604,778,941.70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4,546,790.24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23,172,342.74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586,153,389.20</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1、中国证监会准予交银施罗德国企改革灵活配置混合型证券投资基金募集注册的文件； </w:t>
      </w:r>
    </w:p>
    <w:p>
      <w:pPr>
        <w:spacing w:before="29" w:line="288" w:lineRule="auto"/>
        <w:ind w:firstLine="480" w:firstLineChars="200"/>
        <w:rPr>
          <w:color w:val="000000"/>
          <w:sz w:val="24"/>
          <w:szCs w:val="24"/>
        </w:rPr>
      </w:pPr>
      <w:r>
        <w:rPr>
          <w:color w:val="000000"/>
          <w:sz w:val="24"/>
          <w:szCs w:val="24"/>
        </w:rPr>
        <w:t>2、《交银施罗德国企改革灵活配置混合型证券投资基金基金合同》；</w:t>
      </w:r>
    </w:p>
    <w:p>
      <w:pPr>
        <w:spacing w:before="29" w:line="288" w:lineRule="auto"/>
        <w:ind w:firstLine="480" w:firstLineChars="200"/>
        <w:rPr>
          <w:color w:val="000000"/>
          <w:sz w:val="24"/>
          <w:szCs w:val="24"/>
        </w:rPr>
      </w:pPr>
      <w:r>
        <w:rPr>
          <w:color w:val="000000"/>
          <w:sz w:val="24"/>
          <w:szCs w:val="24"/>
        </w:rPr>
        <w:t xml:space="preserve">3、《交银施罗德国企改革灵活配置混合型证券投资基金招募说明书》；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4、《交银施罗德国企改革灵活配置混合型证券投资基金托管协议》； </w:t>
      </w:r>
    </w:p>
    <w:p>
      <w:pPr>
        <w:spacing w:before="29" w:line="288" w:lineRule="auto"/>
        <w:ind w:firstLine="480" w:firstLineChars="200"/>
        <w:rPr>
          <w:color w:val="000000"/>
          <w:sz w:val="24"/>
          <w:szCs w:val="24"/>
        </w:rPr>
      </w:pPr>
      <w:r>
        <w:rPr>
          <w:color w:val="000000"/>
          <w:sz w:val="24"/>
          <w:szCs w:val="24"/>
        </w:rPr>
        <w:t>5、基金管理人业务资格批件、营业执照；</w:t>
      </w:r>
    </w:p>
    <w:p>
      <w:pPr>
        <w:spacing w:before="29" w:line="288" w:lineRule="auto"/>
        <w:ind w:firstLine="480" w:firstLineChars="200"/>
        <w:rPr>
          <w:color w:val="000000"/>
          <w:sz w:val="24"/>
          <w:szCs w:val="24"/>
        </w:rPr>
      </w:pPr>
      <w:r>
        <w:rPr>
          <w:color w:val="000000"/>
          <w:sz w:val="24"/>
          <w:szCs w:val="24"/>
        </w:rPr>
        <w:t>6、基金托管人业务资格批件、营业执照；</w:t>
      </w:r>
    </w:p>
    <w:p>
      <w:pPr>
        <w:spacing w:before="29" w:line="288" w:lineRule="auto"/>
        <w:ind w:firstLine="480" w:firstLineChars="200"/>
        <w:rPr>
          <w:color w:val="000000"/>
          <w:sz w:val="24"/>
          <w:szCs w:val="24"/>
        </w:rPr>
      </w:pPr>
      <w:r>
        <w:rPr>
          <w:color w:val="000000"/>
          <w:sz w:val="24"/>
          <w:szCs w:val="24"/>
        </w:rPr>
        <w:t>7、关于申请募集注册交银施罗德国企改革灵活配置混合型证券投资基金的法律意见书；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8、报告期内交银施罗德国企改革灵活配置混合型证券投资基金在指定报刊上各项公告的原稿。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交银施罗德国企改革灵活配置混合型证券投资基金2019年第1季度报告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