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交银施罗德丰晟收益债券型证券投资基金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C023E" w:rsidRDefault="007B655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C023E" w:rsidRDefault="007B6558">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C023E" w:rsidRDefault="007B655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C023E" w:rsidRDefault="007B655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C023E" w:rsidRDefault="007B655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交银丰晟收益债券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005577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331,589,908.23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在严格控制风险的前提下</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C023E" w:rsidRDefault="007B6558">
            <w:pPr>
              <w:adjustRightInd w:val="0"/>
              <w:spacing w:before="29" w:line="288" w:lineRule="auto"/>
              <w:ind w:left="17"/>
              <w:jc w:val="left"/>
              <w:rPr>
                <w:color w:val="000000"/>
                <w:sz w:val="24"/>
              </w:rPr>
            </w:pPr>
            <w:r>
              <w:rPr>
                <w:color w:val="000000"/>
                <w:kern w:val="0"/>
                <w:sz w:val="24"/>
              </w:rPr>
              <w:t>封闭期内的投资策略：</w:t>
            </w:r>
          </w:p>
          <w:p w:rsidR="008C023E" w:rsidRDefault="007B6558">
            <w:pPr>
              <w:adjustRightInd w:val="0"/>
              <w:spacing w:before="29" w:line="288" w:lineRule="auto"/>
              <w:ind w:left="17"/>
              <w:jc w:val="left"/>
              <w:rPr>
                <w:color w:val="000000"/>
                <w:sz w:val="24"/>
              </w:rPr>
            </w:pPr>
            <w:r>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8C023E" w:rsidRDefault="007B6558">
            <w:pPr>
              <w:adjustRightInd w:val="0"/>
              <w:spacing w:before="29" w:line="288" w:lineRule="auto"/>
              <w:ind w:left="17"/>
              <w:jc w:val="left"/>
              <w:rPr>
                <w:color w:val="000000"/>
                <w:sz w:val="24"/>
              </w:rPr>
            </w:pPr>
            <w:r>
              <w:rPr>
                <w:color w:val="000000"/>
                <w:kern w:val="0"/>
                <w:sz w:val="24"/>
              </w:rPr>
              <w:t>转为开放式运作后的投资策略：</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交银丰晟收益债券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交银丰晟收益债券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005577</w:t>
            </w:r>
          </w:p>
        </w:tc>
        <w:tc>
          <w:tcPr>
            <w:tcW w:w="3048" w:type="dxa"/>
            <w:vAlign w:val="center"/>
          </w:tcPr>
          <w:p w:rsidR="00C23B30" w:rsidRPr="000E4C40" w:rsidRDefault="00C23B30" w:rsidP="00A52A9E">
            <w:pPr>
              <w:spacing w:before="29" w:line="288" w:lineRule="auto"/>
              <w:jc w:val="left"/>
              <w:rPr>
                <w:sz w:val="24"/>
              </w:rPr>
            </w:pPr>
            <w:r w:rsidRPr="000E4C40">
              <w:rPr>
                <w:sz w:val="24"/>
              </w:rPr>
              <w:t>005578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330,813,244.80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776,663.43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交银丰晟收益债券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交银丰晟收益债券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4,053,023.30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8,287.64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7,625,580.05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16,641.87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0.0231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0.0214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349,658,166.37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819,731.65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1.0555</w:t>
            </w:r>
          </w:p>
        </w:tc>
      </w:tr>
    </w:tbl>
    <w:p w:rsidR="008C023E" w:rsidRDefault="007B655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交银丰晟收益债券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C023E">
        <w:trPr>
          <w:jc w:val="center"/>
        </w:trPr>
        <w:tc>
          <w:tcPr>
            <w:tcW w:w="1266" w:type="dxa"/>
            <w:vAlign w:val="center"/>
          </w:tcPr>
          <w:p w:rsidR="008C023E" w:rsidRDefault="007B6558">
            <w:pPr>
              <w:jc w:val="left"/>
            </w:pPr>
            <w:r>
              <w:rPr>
                <w:color w:val="000000"/>
                <w:sz w:val="24"/>
              </w:rPr>
              <w:t>过去三个月</w:t>
            </w:r>
          </w:p>
        </w:tc>
        <w:tc>
          <w:tcPr>
            <w:tcW w:w="1267" w:type="dxa"/>
            <w:vAlign w:val="center"/>
          </w:tcPr>
          <w:p w:rsidR="008C023E" w:rsidRDefault="007B6558">
            <w:pPr>
              <w:jc w:val="center"/>
            </w:pPr>
            <w:r>
              <w:rPr>
                <w:color w:val="000000"/>
                <w:sz w:val="24"/>
              </w:rPr>
              <w:t>2.19%</w:t>
            </w:r>
          </w:p>
        </w:tc>
        <w:tc>
          <w:tcPr>
            <w:tcW w:w="1267" w:type="dxa"/>
            <w:vAlign w:val="center"/>
          </w:tcPr>
          <w:p w:rsidR="008C023E" w:rsidRDefault="007B6558">
            <w:pPr>
              <w:jc w:val="center"/>
            </w:pPr>
            <w:r>
              <w:rPr>
                <w:color w:val="000000"/>
                <w:sz w:val="24"/>
              </w:rPr>
              <w:t>0.08%</w:t>
            </w:r>
          </w:p>
        </w:tc>
        <w:tc>
          <w:tcPr>
            <w:tcW w:w="1267" w:type="dxa"/>
            <w:vAlign w:val="center"/>
          </w:tcPr>
          <w:p w:rsidR="008C023E" w:rsidRDefault="007B6558">
            <w:pPr>
              <w:jc w:val="center"/>
            </w:pPr>
            <w:r>
              <w:rPr>
                <w:color w:val="000000"/>
                <w:sz w:val="24"/>
              </w:rPr>
              <w:t>0.47%</w:t>
            </w:r>
          </w:p>
        </w:tc>
        <w:tc>
          <w:tcPr>
            <w:tcW w:w="1267" w:type="dxa"/>
            <w:vAlign w:val="center"/>
          </w:tcPr>
          <w:p w:rsidR="008C023E" w:rsidRDefault="007B6558">
            <w:pPr>
              <w:jc w:val="center"/>
            </w:pPr>
            <w:r>
              <w:rPr>
                <w:color w:val="000000"/>
                <w:sz w:val="24"/>
              </w:rPr>
              <w:t>0.05%</w:t>
            </w:r>
          </w:p>
        </w:tc>
        <w:tc>
          <w:tcPr>
            <w:tcW w:w="1267" w:type="dxa"/>
            <w:vAlign w:val="center"/>
          </w:tcPr>
          <w:p w:rsidR="008C023E" w:rsidRDefault="007B6558">
            <w:pPr>
              <w:jc w:val="center"/>
            </w:pPr>
            <w:r>
              <w:rPr>
                <w:color w:val="000000"/>
                <w:sz w:val="24"/>
              </w:rPr>
              <w:t>1.72%</w:t>
            </w:r>
          </w:p>
        </w:tc>
        <w:tc>
          <w:tcPr>
            <w:tcW w:w="1267" w:type="dxa"/>
            <w:vAlign w:val="center"/>
          </w:tcPr>
          <w:p w:rsidR="008C023E" w:rsidRDefault="007B6558">
            <w:pPr>
              <w:jc w:val="center"/>
            </w:pPr>
            <w:r>
              <w:rPr>
                <w:color w:val="000000"/>
                <w:sz w:val="24"/>
              </w:rPr>
              <w:t>0.03%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交银丰晟收益债券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C023E">
        <w:trPr>
          <w:jc w:val="center"/>
        </w:trPr>
        <w:tc>
          <w:tcPr>
            <w:tcW w:w="1266" w:type="dxa"/>
            <w:vAlign w:val="center"/>
          </w:tcPr>
          <w:p w:rsidR="008C023E" w:rsidRDefault="007B6558">
            <w:pPr>
              <w:jc w:val="left"/>
            </w:pPr>
            <w:r>
              <w:rPr>
                <w:color w:val="000000"/>
                <w:sz w:val="24"/>
              </w:rPr>
              <w:t>过去三个月</w:t>
            </w:r>
          </w:p>
        </w:tc>
        <w:tc>
          <w:tcPr>
            <w:tcW w:w="1267" w:type="dxa"/>
            <w:vAlign w:val="center"/>
          </w:tcPr>
          <w:p w:rsidR="008C023E" w:rsidRDefault="007B6558">
            <w:pPr>
              <w:jc w:val="center"/>
            </w:pPr>
            <w:r>
              <w:rPr>
                <w:color w:val="000000"/>
                <w:sz w:val="24"/>
              </w:rPr>
              <w:t>2.04%</w:t>
            </w:r>
          </w:p>
        </w:tc>
        <w:tc>
          <w:tcPr>
            <w:tcW w:w="1267" w:type="dxa"/>
            <w:vAlign w:val="center"/>
          </w:tcPr>
          <w:p w:rsidR="008C023E" w:rsidRDefault="007B6558">
            <w:pPr>
              <w:jc w:val="center"/>
            </w:pPr>
            <w:r>
              <w:rPr>
                <w:color w:val="000000"/>
                <w:sz w:val="24"/>
              </w:rPr>
              <w:t>0.08%</w:t>
            </w:r>
          </w:p>
        </w:tc>
        <w:tc>
          <w:tcPr>
            <w:tcW w:w="1267" w:type="dxa"/>
            <w:vAlign w:val="center"/>
          </w:tcPr>
          <w:p w:rsidR="008C023E" w:rsidRDefault="007B6558">
            <w:pPr>
              <w:jc w:val="center"/>
            </w:pPr>
            <w:r>
              <w:rPr>
                <w:color w:val="000000"/>
                <w:sz w:val="24"/>
              </w:rPr>
              <w:t>0.47%</w:t>
            </w:r>
          </w:p>
        </w:tc>
        <w:tc>
          <w:tcPr>
            <w:tcW w:w="1267" w:type="dxa"/>
            <w:vAlign w:val="center"/>
          </w:tcPr>
          <w:p w:rsidR="008C023E" w:rsidRDefault="007B6558">
            <w:pPr>
              <w:jc w:val="center"/>
            </w:pPr>
            <w:r>
              <w:rPr>
                <w:color w:val="000000"/>
                <w:sz w:val="24"/>
              </w:rPr>
              <w:t>0.05%</w:t>
            </w:r>
          </w:p>
        </w:tc>
        <w:tc>
          <w:tcPr>
            <w:tcW w:w="1267" w:type="dxa"/>
            <w:vAlign w:val="center"/>
          </w:tcPr>
          <w:p w:rsidR="008C023E" w:rsidRDefault="007B6558">
            <w:pPr>
              <w:jc w:val="center"/>
            </w:pPr>
            <w:r>
              <w:rPr>
                <w:color w:val="000000"/>
                <w:sz w:val="24"/>
              </w:rPr>
              <w:t>1.57%</w:t>
            </w:r>
          </w:p>
        </w:tc>
        <w:tc>
          <w:tcPr>
            <w:tcW w:w="1267" w:type="dxa"/>
            <w:vAlign w:val="center"/>
          </w:tcPr>
          <w:p w:rsidR="008C023E" w:rsidRDefault="007B6558">
            <w:pPr>
              <w:jc w:val="center"/>
            </w:pPr>
            <w:r>
              <w:rPr>
                <w:color w:val="000000"/>
                <w:sz w:val="24"/>
              </w:rPr>
              <w:t>0.03%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交银施罗德丰晟收益债券型证券投资基金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交银丰晟收益债券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2018</w:t>
      </w:r>
      <w:r w:rsidRPr="007F52FA">
        <w:rPr>
          <w:color w:val="000000"/>
          <w:sz w:val="24"/>
        </w:rPr>
        <w:t>年</w:t>
      </w:r>
      <w:r w:rsidRPr="007F52FA">
        <w:rPr>
          <w:color w:val="000000"/>
          <w:sz w:val="24"/>
        </w:rPr>
        <w:t>5</w:t>
      </w:r>
      <w:r w:rsidRPr="007F52FA">
        <w:rPr>
          <w:color w:val="000000"/>
          <w:sz w:val="24"/>
        </w:rPr>
        <w:t>月</w:t>
      </w:r>
      <w:r w:rsidRPr="007F52FA">
        <w:rPr>
          <w:color w:val="000000"/>
          <w:sz w:val="24"/>
        </w:rPr>
        <w:t>23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交银丰晟收益债券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2018</w:t>
      </w:r>
      <w:r w:rsidRPr="007F52FA">
        <w:rPr>
          <w:color w:val="000000"/>
          <w:sz w:val="24"/>
        </w:rPr>
        <w:t>年</w:t>
      </w:r>
      <w:r w:rsidRPr="007F52FA">
        <w:rPr>
          <w:color w:val="000000"/>
          <w:sz w:val="24"/>
        </w:rPr>
        <w:t>5</w:t>
      </w:r>
      <w:r w:rsidRPr="007F52FA">
        <w:rPr>
          <w:color w:val="000000"/>
          <w:sz w:val="24"/>
        </w:rPr>
        <w:t>月</w:t>
      </w:r>
      <w:r w:rsidRPr="007F52FA">
        <w:rPr>
          <w:color w:val="000000"/>
          <w:sz w:val="24"/>
        </w:rPr>
        <w:t>23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C023E">
        <w:trPr>
          <w:jc w:val="center"/>
        </w:trPr>
        <w:tc>
          <w:tcPr>
            <w:tcW w:w="946" w:type="dxa"/>
            <w:vAlign w:val="center"/>
          </w:tcPr>
          <w:p w:rsidR="008C023E" w:rsidRDefault="007B6558">
            <w:pPr>
              <w:jc w:val="center"/>
            </w:pPr>
            <w:r>
              <w:rPr>
                <w:color w:val="000000"/>
                <w:sz w:val="24"/>
              </w:rPr>
              <w:t>于海颖</w:t>
            </w:r>
          </w:p>
        </w:tc>
        <w:tc>
          <w:tcPr>
            <w:tcW w:w="924" w:type="dxa"/>
            <w:vAlign w:val="center"/>
          </w:tcPr>
          <w:p w:rsidR="008C023E" w:rsidRDefault="007B6558">
            <w:pPr>
              <w:jc w:val="center"/>
            </w:pPr>
            <w:r>
              <w:rPr>
                <w:color w:val="000000"/>
                <w:sz w:val="24"/>
              </w:rPr>
              <w:t>交银增利债券、交银纯债债券发起、交银丰盈收益债券、交银丰晟收益债券、交银裕如纯债债券的基金经理，公司固定收益（公募）投资总监</w:t>
            </w:r>
          </w:p>
        </w:tc>
        <w:tc>
          <w:tcPr>
            <w:tcW w:w="1202" w:type="dxa"/>
            <w:vAlign w:val="center"/>
          </w:tcPr>
          <w:p w:rsidR="008C023E" w:rsidRDefault="007B6558">
            <w:pPr>
              <w:jc w:val="center"/>
            </w:pPr>
            <w:r>
              <w:rPr>
                <w:color w:val="000000"/>
                <w:sz w:val="24"/>
              </w:rPr>
              <w:t>2018-05-23</w:t>
            </w:r>
          </w:p>
        </w:tc>
        <w:tc>
          <w:tcPr>
            <w:tcW w:w="1300" w:type="dxa"/>
            <w:vAlign w:val="center"/>
          </w:tcPr>
          <w:p w:rsidR="008C023E" w:rsidRDefault="007B6558">
            <w:pPr>
              <w:jc w:val="center"/>
            </w:pPr>
            <w:r>
              <w:rPr>
                <w:color w:val="000000"/>
                <w:sz w:val="24"/>
              </w:rPr>
              <w:t>-</w:t>
            </w:r>
          </w:p>
        </w:tc>
        <w:tc>
          <w:tcPr>
            <w:tcW w:w="1245" w:type="dxa"/>
            <w:vAlign w:val="center"/>
          </w:tcPr>
          <w:p w:rsidR="008C023E" w:rsidRDefault="007B6558" w:rsidP="00362560">
            <w:pPr>
              <w:jc w:val="center"/>
            </w:pPr>
            <w:r>
              <w:rPr>
                <w:color w:val="000000"/>
                <w:sz w:val="24"/>
              </w:rPr>
              <w:t>1</w:t>
            </w:r>
            <w:r w:rsidR="00362560">
              <w:rPr>
                <w:color w:val="000000"/>
                <w:sz w:val="24"/>
              </w:rPr>
              <w:t>3</w:t>
            </w:r>
            <w:r>
              <w:rPr>
                <w:color w:val="000000"/>
                <w:sz w:val="24"/>
              </w:rPr>
              <w:t>年</w:t>
            </w:r>
          </w:p>
        </w:tc>
        <w:tc>
          <w:tcPr>
            <w:tcW w:w="3251" w:type="dxa"/>
            <w:vAlign w:val="center"/>
          </w:tcPr>
          <w:p w:rsidR="008C023E" w:rsidRDefault="007B6558">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lastRenderedPageBreak/>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日担任交银施罗德强化回报债券型证券投资基金的基金经理。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r w:rsidR="008C023E">
        <w:trPr>
          <w:jc w:val="center"/>
        </w:trPr>
        <w:tc>
          <w:tcPr>
            <w:tcW w:w="946" w:type="dxa"/>
            <w:vAlign w:val="center"/>
          </w:tcPr>
          <w:p w:rsidR="008C023E" w:rsidRDefault="007B6558">
            <w:pPr>
              <w:jc w:val="center"/>
            </w:pPr>
            <w:r>
              <w:rPr>
                <w:color w:val="000000"/>
                <w:sz w:val="24"/>
              </w:rPr>
              <w:lastRenderedPageBreak/>
              <w:t>魏玉敏</w:t>
            </w:r>
          </w:p>
        </w:tc>
        <w:tc>
          <w:tcPr>
            <w:tcW w:w="924" w:type="dxa"/>
            <w:vAlign w:val="center"/>
          </w:tcPr>
          <w:p w:rsidR="008C023E" w:rsidRDefault="007B6558">
            <w:pPr>
              <w:jc w:val="center"/>
            </w:pPr>
            <w:r>
              <w:rPr>
                <w:color w:val="000000"/>
                <w:sz w:val="24"/>
              </w:rPr>
              <w:t>交银增利债券、交银纯债债券发起、交银丰润收益债券、交银</w:t>
            </w:r>
            <w:r>
              <w:rPr>
                <w:color w:val="000000"/>
                <w:sz w:val="24"/>
              </w:rPr>
              <w:lastRenderedPageBreak/>
              <w:t>增利增强债券、交银丰晟收益债券、交银裕如纯债债券、交银中债</w:t>
            </w:r>
            <w:r>
              <w:rPr>
                <w:color w:val="000000"/>
                <w:sz w:val="24"/>
              </w:rPr>
              <w:t>1-3</w:t>
            </w:r>
            <w:r>
              <w:rPr>
                <w:color w:val="000000"/>
                <w:sz w:val="24"/>
              </w:rPr>
              <w:t>年农发债指数的基金经理</w:t>
            </w:r>
          </w:p>
        </w:tc>
        <w:tc>
          <w:tcPr>
            <w:tcW w:w="1202" w:type="dxa"/>
            <w:vAlign w:val="center"/>
          </w:tcPr>
          <w:p w:rsidR="008C023E" w:rsidRDefault="007B6558">
            <w:pPr>
              <w:jc w:val="center"/>
            </w:pPr>
            <w:r>
              <w:rPr>
                <w:color w:val="000000"/>
                <w:sz w:val="24"/>
              </w:rPr>
              <w:lastRenderedPageBreak/>
              <w:t>2018-08-29</w:t>
            </w:r>
          </w:p>
        </w:tc>
        <w:tc>
          <w:tcPr>
            <w:tcW w:w="1300" w:type="dxa"/>
            <w:vAlign w:val="center"/>
          </w:tcPr>
          <w:p w:rsidR="008C023E" w:rsidRDefault="007B6558">
            <w:pPr>
              <w:jc w:val="center"/>
            </w:pPr>
            <w:r>
              <w:rPr>
                <w:color w:val="000000"/>
                <w:sz w:val="24"/>
              </w:rPr>
              <w:t>-</w:t>
            </w:r>
          </w:p>
        </w:tc>
        <w:tc>
          <w:tcPr>
            <w:tcW w:w="1245" w:type="dxa"/>
            <w:vAlign w:val="center"/>
          </w:tcPr>
          <w:p w:rsidR="008C023E" w:rsidRDefault="00362560">
            <w:pPr>
              <w:jc w:val="center"/>
            </w:pPr>
            <w:r>
              <w:rPr>
                <w:color w:val="000000"/>
                <w:sz w:val="24"/>
              </w:rPr>
              <w:t>7</w:t>
            </w:r>
            <w:bookmarkStart w:id="0" w:name="_GoBack"/>
            <w:bookmarkEnd w:id="0"/>
            <w:r w:rsidR="007B6558">
              <w:rPr>
                <w:color w:val="000000"/>
                <w:sz w:val="24"/>
              </w:rPr>
              <w:t>年</w:t>
            </w:r>
          </w:p>
        </w:tc>
        <w:tc>
          <w:tcPr>
            <w:tcW w:w="3251" w:type="dxa"/>
            <w:vAlign w:val="center"/>
          </w:tcPr>
          <w:p w:rsidR="008C023E" w:rsidRDefault="007B6558">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8C023E" w:rsidRDefault="007B655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C023E" w:rsidRDefault="007B655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C023E" w:rsidRDefault="007B655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C023E" w:rsidRDefault="007B6558">
      <w:pPr>
        <w:spacing w:before="29" w:line="288" w:lineRule="auto"/>
        <w:ind w:firstLineChars="200" w:firstLine="480"/>
        <w:rPr>
          <w:color w:val="000000"/>
          <w:sz w:val="24"/>
        </w:rPr>
      </w:pPr>
      <w:r>
        <w:rPr>
          <w:color w:val="000000"/>
          <w:sz w:val="24"/>
        </w:rPr>
        <w:t>2019</w:t>
      </w:r>
      <w:r>
        <w:rPr>
          <w:color w:val="000000"/>
          <w:sz w:val="24"/>
        </w:rPr>
        <w:t>年一季度以来债券市场的交易逻辑从去年的</w:t>
      </w:r>
      <w:r>
        <w:rPr>
          <w:color w:val="000000"/>
          <w:sz w:val="24"/>
        </w:rPr>
        <w:t>“</w:t>
      </w:r>
      <w:r>
        <w:rPr>
          <w:color w:val="000000"/>
          <w:sz w:val="24"/>
        </w:rPr>
        <w:t>宽货币紧信用</w:t>
      </w:r>
      <w:r>
        <w:rPr>
          <w:color w:val="000000"/>
          <w:sz w:val="24"/>
        </w:rPr>
        <w:t>”</w:t>
      </w:r>
      <w:r>
        <w:rPr>
          <w:color w:val="000000"/>
          <w:sz w:val="24"/>
        </w:rPr>
        <w:t>逐步转向</w:t>
      </w:r>
      <w:r>
        <w:rPr>
          <w:color w:val="000000"/>
          <w:sz w:val="24"/>
        </w:rPr>
        <w:t>“</w:t>
      </w:r>
      <w:r>
        <w:rPr>
          <w:color w:val="000000"/>
          <w:sz w:val="24"/>
        </w:rPr>
        <w:t>宽货币宽信用</w:t>
      </w:r>
      <w:r>
        <w:rPr>
          <w:color w:val="000000"/>
          <w:sz w:val="24"/>
        </w:rPr>
        <w:t>”</w:t>
      </w:r>
      <w:r>
        <w:rPr>
          <w:color w:val="000000"/>
          <w:sz w:val="24"/>
        </w:rPr>
        <w:t>，随着经济托底政策的推进，市场对前期经济的悲观预期明显修复，债券收益率下行受阻，权益市场风险偏好回升。今年以来市场对基本面的分歧加大，对融资数据和经济增长数据何时企稳讨论更多。融资方面，由于春节错位导致的一月的的社融大增和二月的社融缩量，使得判断融资数据是否企稳分歧加大。经济增长方面，春节复工情况是普遍关注焦点，分项看消费波动不大，投资端的制造业下行和基建回升形成对冲，主要观察点在出口和地产投资。通胀方面，整体判断全年中枢依然较低，但由于猪肉价格的明显上涨，</w:t>
      </w:r>
      <w:r>
        <w:rPr>
          <w:color w:val="000000"/>
          <w:sz w:val="24"/>
        </w:rPr>
        <w:t>CPI</w:t>
      </w:r>
      <w:r>
        <w:rPr>
          <w:color w:val="000000"/>
          <w:sz w:val="24"/>
        </w:rPr>
        <w:t>可能超预期成为市场的隐忧。总体而言随着经济预期的修复债券市场方向不明，一季度维持弱势震荡。</w:t>
      </w:r>
    </w:p>
    <w:p w:rsidR="008C023E" w:rsidRDefault="007B6558">
      <w:pPr>
        <w:spacing w:before="29" w:line="288" w:lineRule="auto"/>
        <w:ind w:firstLineChars="200" w:firstLine="480"/>
        <w:rPr>
          <w:color w:val="000000"/>
          <w:sz w:val="24"/>
        </w:rPr>
      </w:pPr>
      <w:r>
        <w:rPr>
          <w:color w:val="000000"/>
          <w:sz w:val="24"/>
        </w:rPr>
        <w:t>报告期内，本基金继续采用久期匹配策略配置信用债，并根据市场情况适时优化组合持仓。本基金以信用债为主要配置，充分利用杠杆，获得稳定的票息和杠杆收益。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债券市场在资金面预期边际收紧，通胀预期抬升和股市风险偏好上行等多重因素下仍将维持弱势震荡。当前时点股债跷跷板效应较为明显，股市估值修复和中美贸易摩擦缓和有利风险偏好的提升，同时由于货币政策处于观察期而市场对降准降息有一定期待，短期内宽松预期可能会出现反复，预计短端维持平稳、长端延续震荡走势。后期债券市场的机会需要等待基本面更加明确的下行。中长期来看，债券市场牛市尚未结束，从社融企稳到经济企稳至少存在半年以上的时间差，只有投资企稳拉动经济上行债市才会出现由牛转熊的拐点。往后看，全球经济增速放缓带来的出口下行以及棚改退潮带来地产投资的回落是经济增长的主要拖累项。此外全球央行货币政策宽松格局下，国内经济企稳之前货币政策预计将维持宽松。操作策略方面，组合将维持久期匹配的套息策略，通过对资金面的预判，控制组合杠杆，以期获得较好的票息和杠杆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w:t>
      </w:r>
      <w:r w:rsidRPr="007F52FA">
        <w:rPr>
          <w:color w:val="000000"/>
          <w:sz w:val="24"/>
        </w:rPr>
        <w:lastRenderedPageBreak/>
        <w:t>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659,380,000.00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94.70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659,380,000.00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94.70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19,786,838.49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2.84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17,115,826.61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2.46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696,282,665.10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325,355,500.00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92.83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334,024,500.00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95.31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659,380,000.00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188.14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C023E">
        <w:trPr>
          <w:jc w:val="center"/>
        </w:trPr>
        <w:tc>
          <w:tcPr>
            <w:tcW w:w="1075" w:type="dxa"/>
            <w:vAlign w:val="center"/>
          </w:tcPr>
          <w:p w:rsidR="008C023E" w:rsidRDefault="007B6558">
            <w:pPr>
              <w:jc w:val="center"/>
            </w:pPr>
            <w:r>
              <w:rPr>
                <w:color w:val="000000"/>
                <w:sz w:val="24"/>
              </w:rPr>
              <w:t>1</w:t>
            </w:r>
          </w:p>
        </w:tc>
        <w:tc>
          <w:tcPr>
            <w:tcW w:w="1533" w:type="dxa"/>
            <w:vAlign w:val="center"/>
          </w:tcPr>
          <w:p w:rsidR="008C023E" w:rsidRDefault="007B6558">
            <w:pPr>
              <w:jc w:val="center"/>
            </w:pPr>
            <w:r>
              <w:rPr>
                <w:color w:val="000000"/>
                <w:sz w:val="24"/>
              </w:rPr>
              <w:t>101800692</w:t>
            </w:r>
          </w:p>
        </w:tc>
        <w:tc>
          <w:tcPr>
            <w:tcW w:w="1533" w:type="dxa"/>
            <w:vAlign w:val="center"/>
          </w:tcPr>
          <w:p w:rsidR="008C023E" w:rsidRDefault="007B6558">
            <w:pPr>
              <w:jc w:val="center"/>
            </w:pPr>
            <w:r>
              <w:rPr>
                <w:color w:val="000000"/>
                <w:sz w:val="24"/>
              </w:rPr>
              <w:t>18</w:t>
            </w:r>
            <w:r>
              <w:rPr>
                <w:color w:val="000000"/>
                <w:sz w:val="24"/>
              </w:rPr>
              <w:t>拉萨城投</w:t>
            </w:r>
            <w:r>
              <w:rPr>
                <w:color w:val="000000"/>
                <w:sz w:val="24"/>
              </w:rPr>
              <w:t>MTN001</w:t>
            </w:r>
          </w:p>
        </w:tc>
        <w:tc>
          <w:tcPr>
            <w:tcW w:w="1394" w:type="dxa"/>
            <w:vAlign w:val="center"/>
          </w:tcPr>
          <w:p w:rsidR="008C023E" w:rsidRDefault="007B6558">
            <w:pPr>
              <w:jc w:val="right"/>
            </w:pPr>
            <w:r>
              <w:rPr>
                <w:color w:val="000000"/>
                <w:sz w:val="24"/>
              </w:rPr>
              <w:t>300,000</w:t>
            </w:r>
          </w:p>
        </w:tc>
        <w:tc>
          <w:tcPr>
            <w:tcW w:w="1944" w:type="dxa"/>
            <w:vAlign w:val="center"/>
          </w:tcPr>
          <w:p w:rsidR="008C023E" w:rsidRDefault="007B6558">
            <w:pPr>
              <w:jc w:val="right"/>
            </w:pPr>
            <w:r>
              <w:rPr>
                <w:color w:val="000000"/>
                <w:sz w:val="24"/>
              </w:rPr>
              <w:t>31,440,000.00</w:t>
            </w:r>
          </w:p>
        </w:tc>
        <w:tc>
          <w:tcPr>
            <w:tcW w:w="1389" w:type="dxa"/>
            <w:vAlign w:val="center"/>
          </w:tcPr>
          <w:p w:rsidR="008C023E" w:rsidRDefault="007B6558">
            <w:pPr>
              <w:jc w:val="right"/>
            </w:pPr>
            <w:r>
              <w:rPr>
                <w:color w:val="000000"/>
                <w:sz w:val="24"/>
              </w:rPr>
              <w:t>8.97</w:t>
            </w:r>
          </w:p>
        </w:tc>
      </w:tr>
      <w:tr w:rsidR="008C023E">
        <w:trPr>
          <w:jc w:val="center"/>
        </w:trPr>
        <w:tc>
          <w:tcPr>
            <w:tcW w:w="1075" w:type="dxa"/>
            <w:vAlign w:val="center"/>
          </w:tcPr>
          <w:p w:rsidR="008C023E" w:rsidRDefault="007B6558">
            <w:pPr>
              <w:jc w:val="center"/>
            </w:pPr>
            <w:r>
              <w:rPr>
                <w:color w:val="000000"/>
                <w:sz w:val="24"/>
              </w:rPr>
              <w:t>2</w:t>
            </w:r>
          </w:p>
        </w:tc>
        <w:tc>
          <w:tcPr>
            <w:tcW w:w="1533" w:type="dxa"/>
            <w:vAlign w:val="center"/>
          </w:tcPr>
          <w:p w:rsidR="008C023E" w:rsidRDefault="007B6558">
            <w:pPr>
              <w:jc w:val="center"/>
            </w:pPr>
            <w:r>
              <w:rPr>
                <w:color w:val="000000"/>
                <w:sz w:val="24"/>
              </w:rPr>
              <w:t>143287</w:t>
            </w:r>
          </w:p>
        </w:tc>
        <w:tc>
          <w:tcPr>
            <w:tcW w:w="1533" w:type="dxa"/>
            <w:vAlign w:val="center"/>
          </w:tcPr>
          <w:p w:rsidR="008C023E" w:rsidRDefault="007B6558">
            <w:pPr>
              <w:jc w:val="center"/>
            </w:pPr>
            <w:r>
              <w:rPr>
                <w:color w:val="000000"/>
                <w:sz w:val="24"/>
              </w:rPr>
              <w:t>17</w:t>
            </w:r>
            <w:r>
              <w:rPr>
                <w:color w:val="000000"/>
                <w:sz w:val="24"/>
              </w:rPr>
              <w:t>联投</w:t>
            </w:r>
            <w:r>
              <w:rPr>
                <w:color w:val="000000"/>
                <w:sz w:val="24"/>
              </w:rPr>
              <w:t>01</w:t>
            </w:r>
          </w:p>
        </w:tc>
        <w:tc>
          <w:tcPr>
            <w:tcW w:w="1394" w:type="dxa"/>
            <w:vAlign w:val="center"/>
          </w:tcPr>
          <w:p w:rsidR="008C023E" w:rsidRDefault="007B6558">
            <w:pPr>
              <w:jc w:val="right"/>
            </w:pPr>
            <w:r>
              <w:rPr>
                <w:color w:val="000000"/>
                <w:sz w:val="24"/>
              </w:rPr>
              <w:t>300,000</w:t>
            </w:r>
          </w:p>
        </w:tc>
        <w:tc>
          <w:tcPr>
            <w:tcW w:w="1944" w:type="dxa"/>
            <w:vAlign w:val="center"/>
          </w:tcPr>
          <w:p w:rsidR="008C023E" w:rsidRDefault="007B6558">
            <w:pPr>
              <w:jc w:val="right"/>
            </w:pPr>
            <w:r>
              <w:rPr>
                <w:color w:val="000000"/>
                <w:sz w:val="24"/>
              </w:rPr>
              <w:t>30,495,000.00</w:t>
            </w:r>
          </w:p>
        </w:tc>
        <w:tc>
          <w:tcPr>
            <w:tcW w:w="1389" w:type="dxa"/>
            <w:vAlign w:val="center"/>
          </w:tcPr>
          <w:p w:rsidR="008C023E" w:rsidRDefault="007B6558">
            <w:pPr>
              <w:jc w:val="right"/>
            </w:pPr>
            <w:r>
              <w:rPr>
                <w:color w:val="000000"/>
                <w:sz w:val="24"/>
              </w:rPr>
              <w:t>8.70</w:t>
            </w:r>
          </w:p>
        </w:tc>
      </w:tr>
      <w:tr w:rsidR="008C023E">
        <w:trPr>
          <w:jc w:val="center"/>
        </w:trPr>
        <w:tc>
          <w:tcPr>
            <w:tcW w:w="1075" w:type="dxa"/>
            <w:vAlign w:val="center"/>
          </w:tcPr>
          <w:p w:rsidR="008C023E" w:rsidRDefault="007B6558">
            <w:pPr>
              <w:jc w:val="center"/>
            </w:pPr>
            <w:r>
              <w:rPr>
                <w:color w:val="000000"/>
                <w:sz w:val="24"/>
              </w:rPr>
              <w:t>3</w:t>
            </w:r>
          </w:p>
        </w:tc>
        <w:tc>
          <w:tcPr>
            <w:tcW w:w="1533" w:type="dxa"/>
            <w:vAlign w:val="center"/>
          </w:tcPr>
          <w:p w:rsidR="008C023E" w:rsidRDefault="007B6558">
            <w:pPr>
              <w:jc w:val="center"/>
            </w:pPr>
            <w:r>
              <w:rPr>
                <w:color w:val="000000"/>
                <w:sz w:val="24"/>
              </w:rPr>
              <w:t>143222</w:t>
            </w:r>
          </w:p>
        </w:tc>
        <w:tc>
          <w:tcPr>
            <w:tcW w:w="1533" w:type="dxa"/>
            <w:vAlign w:val="center"/>
          </w:tcPr>
          <w:p w:rsidR="008C023E" w:rsidRDefault="007B6558">
            <w:pPr>
              <w:jc w:val="center"/>
            </w:pPr>
            <w:r>
              <w:rPr>
                <w:color w:val="000000"/>
                <w:sz w:val="24"/>
              </w:rPr>
              <w:t>17</w:t>
            </w:r>
            <w:r>
              <w:rPr>
                <w:color w:val="000000"/>
                <w:sz w:val="24"/>
              </w:rPr>
              <w:t>圆融</w:t>
            </w:r>
            <w:r>
              <w:rPr>
                <w:color w:val="000000"/>
                <w:sz w:val="24"/>
              </w:rPr>
              <w:t>02</w:t>
            </w:r>
          </w:p>
        </w:tc>
        <w:tc>
          <w:tcPr>
            <w:tcW w:w="1394" w:type="dxa"/>
            <w:vAlign w:val="center"/>
          </w:tcPr>
          <w:p w:rsidR="008C023E" w:rsidRDefault="007B6558">
            <w:pPr>
              <w:jc w:val="right"/>
            </w:pPr>
            <w:r>
              <w:rPr>
                <w:color w:val="000000"/>
                <w:sz w:val="24"/>
              </w:rPr>
              <w:t>300,000</w:t>
            </w:r>
          </w:p>
        </w:tc>
        <w:tc>
          <w:tcPr>
            <w:tcW w:w="1944" w:type="dxa"/>
            <w:vAlign w:val="center"/>
          </w:tcPr>
          <w:p w:rsidR="008C023E" w:rsidRDefault="007B6558">
            <w:pPr>
              <w:jc w:val="right"/>
            </w:pPr>
            <w:r>
              <w:rPr>
                <w:color w:val="000000"/>
                <w:sz w:val="24"/>
              </w:rPr>
              <w:t>30,444,000.00</w:t>
            </w:r>
          </w:p>
        </w:tc>
        <w:tc>
          <w:tcPr>
            <w:tcW w:w="1389" w:type="dxa"/>
            <w:vAlign w:val="center"/>
          </w:tcPr>
          <w:p w:rsidR="008C023E" w:rsidRDefault="007B6558">
            <w:pPr>
              <w:jc w:val="right"/>
            </w:pPr>
            <w:r>
              <w:rPr>
                <w:color w:val="000000"/>
                <w:sz w:val="24"/>
              </w:rPr>
              <w:t>8.69</w:t>
            </w:r>
          </w:p>
        </w:tc>
      </w:tr>
      <w:tr w:rsidR="008C023E">
        <w:trPr>
          <w:jc w:val="center"/>
        </w:trPr>
        <w:tc>
          <w:tcPr>
            <w:tcW w:w="1075" w:type="dxa"/>
            <w:vAlign w:val="center"/>
          </w:tcPr>
          <w:p w:rsidR="008C023E" w:rsidRDefault="007B6558">
            <w:pPr>
              <w:jc w:val="center"/>
            </w:pPr>
            <w:r>
              <w:rPr>
                <w:color w:val="000000"/>
                <w:sz w:val="24"/>
              </w:rPr>
              <w:t>4</w:t>
            </w:r>
          </w:p>
        </w:tc>
        <w:tc>
          <w:tcPr>
            <w:tcW w:w="1533" w:type="dxa"/>
            <w:vAlign w:val="center"/>
          </w:tcPr>
          <w:p w:rsidR="008C023E" w:rsidRDefault="007B6558">
            <w:pPr>
              <w:jc w:val="center"/>
            </w:pPr>
            <w:r>
              <w:rPr>
                <w:color w:val="000000"/>
                <w:sz w:val="24"/>
              </w:rPr>
              <w:t>101560059</w:t>
            </w:r>
          </w:p>
        </w:tc>
        <w:tc>
          <w:tcPr>
            <w:tcW w:w="1533" w:type="dxa"/>
            <w:vAlign w:val="center"/>
          </w:tcPr>
          <w:p w:rsidR="008C023E" w:rsidRDefault="007B6558">
            <w:pPr>
              <w:jc w:val="center"/>
            </w:pPr>
            <w:r>
              <w:rPr>
                <w:color w:val="000000"/>
                <w:sz w:val="24"/>
              </w:rPr>
              <w:t>15</w:t>
            </w:r>
            <w:r>
              <w:rPr>
                <w:color w:val="000000"/>
                <w:sz w:val="24"/>
              </w:rPr>
              <w:t>盐城城南</w:t>
            </w:r>
            <w:r>
              <w:rPr>
                <w:color w:val="000000"/>
                <w:sz w:val="24"/>
              </w:rPr>
              <w:t>MTN001</w:t>
            </w:r>
          </w:p>
        </w:tc>
        <w:tc>
          <w:tcPr>
            <w:tcW w:w="1394" w:type="dxa"/>
            <w:vAlign w:val="center"/>
          </w:tcPr>
          <w:p w:rsidR="008C023E" w:rsidRDefault="007B6558">
            <w:pPr>
              <w:jc w:val="right"/>
            </w:pPr>
            <w:r>
              <w:rPr>
                <w:color w:val="000000"/>
                <w:sz w:val="24"/>
              </w:rPr>
              <w:t>300,000</w:t>
            </w:r>
          </w:p>
        </w:tc>
        <w:tc>
          <w:tcPr>
            <w:tcW w:w="1944" w:type="dxa"/>
            <w:vAlign w:val="center"/>
          </w:tcPr>
          <w:p w:rsidR="008C023E" w:rsidRDefault="007B6558">
            <w:pPr>
              <w:jc w:val="right"/>
            </w:pPr>
            <w:r>
              <w:rPr>
                <w:color w:val="000000"/>
                <w:sz w:val="24"/>
              </w:rPr>
              <w:t>30,435,000.00</w:t>
            </w:r>
          </w:p>
        </w:tc>
        <w:tc>
          <w:tcPr>
            <w:tcW w:w="1389" w:type="dxa"/>
            <w:vAlign w:val="center"/>
          </w:tcPr>
          <w:p w:rsidR="008C023E" w:rsidRDefault="007B6558">
            <w:pPr>
              <w:jc w:val="right"/>
            </w:pPr>
            <w:r>
              <w:rPr>
                <w:color w:val="000000"/>
                <w:sz w:val="24"/>
              </w:rPr>
              <w:t>8.68</w:t>
            </w:r>
          </w:p>
        </w:tc>
      </w:tr>
      <w:tr w:rsidR="008C023E">
        <w:trPr>
          <w:jc w:val="center"/>
        </w:trPr>
        <w:tc>
          <w:tcPr>
            <w:tcW w:w="1075" w:type="dxa"/>
            <w:vAlign w:val="center"/>
          </w:tcPr>
          <w:p w:rsidR="008C023E" w:rsidRDefault="007B6558">
            <w:pPr>
              <w:jc w:val="center"/>
            </w:pPr>
            <w:r>
              <w:rPr>
                <w:color w:val="000000"/>
                <w:sz w:val="24"/>
              </w:rPr>
              <w:t>5</w:t>
            </w:r>
          </w:p>
        </w:tc>
        <w:tc>
          <w:tcPr>
            <w:tcW w:w="1533" w:type="dxa"/>
            <w:vAlign w:val="center"/>
          </w:tcPr>
          <w:p w:rsidR="008C023E" w:rsidRDefault="007B6558">
            <w:pPr>
              <w:jc w:val="center"/>
            </w:pPr>
            <w:r>
              <w:rPr>
                <w:color w:val="000000"/>
                <w:sz w:val="24"/>
              </w:rPr>
              <w:t>122358</w:t>
            </w:r>
          </w:p>
        </w:tc>
        <w:tc>
          <w:tcPr>
            <w:tcW w:w="1533" w:type="dxa"/>
            <w:vAlign w:val="center"/>
          </w:tcPr>
          <w:p w:rsidR="008C023E" w:rsidRDefault="007B6558">
            <w:pPr>
              <w:jc w:val="center"/>
            </w:pPr>
            <w:r>
              <w:rPr>
                <w:color w:val="000000"/>
                <w:sz w:val="24"/>
              </w:rPr>
              <w:t>15</w:t>
            </w:r>
            <w:r>
              <w:rPr>
                <w:color w:val="000000"/>
                <w:sz w:val="24"/>
              </w:rPr>
              <w:t>际华</w:t>
            </w:r>
            <w:r>
              <w:rPr>
                <w:color w:val="000000"/>
                <w:sz w:val="24"/>
              </w:rPr>
              <w:t>03</w:t>
            </w:r>
          </w:p>
        </w:tc>
        <w:tc>
          <w:tcPr>
            <w:tcW w:w="1394" w:type="dxa"/>
            <w:vAlign w:val="center"/>
          </w:tcPr>
          <w:p w:rsidR="008C023E" w:rsidRDefault="007B6558">
            <w:pPr>
              <w:jc w:val="right"/>
            </w:pPr>
            <w:r>
              <w:rPr>
                <w:color w:val="000000"/>
                <w:sz w:val="24"/>
              </w:rPr>
              <w:t>300,000</w:t>
            </w:r>
          </w:p>
        </w:tc>
        <w:tc>
          <w:tcPr>
            <w:tcW w:w="1944" w:type="dxa"/>
            <w:vAlign w:val="center"/>
          </w:tcPr>
          <w:p w:rsidR="008C023E" w:rsidRDefault="007B6558">
            <w:pPr>
              <w:jc w:val="right"/>
            </w:pPr>
            <w:r>
              <w:rPr>
                <w:color w:val="000000"/>
                <w:sz w:val="24"/>
              </w:rPr>
              <w:t>30,237,000.00</w:t>
            </w:r>
          </w:p>
        </w:tc>
        <w:tc>
          <w:tcPr>
            <w:tcW w:w="1389" w:type="dxa"/>
            <w:vAlign w:val="center"/>
          </w:tcPr>
          <w:p w:rsidR="008C023E" w:rsidRDefault="007B6558">
            <w:pPr>
              <w:jc w:val="right"/>
            </w:pPr>
            <w:r>
              <w:rPr>
                <w:color w:val="000000"/>
                <w:sz w:val="24"/>
              </w:rPr>
              <w:t>8.63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3,575.45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423,720.01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16,688,531.15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17,115,826.61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7B6558" w:rsidP="007C14DF">
      <w:pPr>
        <w:autoSpaceDE w:val="0"/>
        <w:autoSpaceDN w:val="0"/>
        <w:adjustRightInd w:val="0"/>
        <w:spacing w:before="29" w:line="288" w:lineRule="auto"/>
        <w:jc w:val="left"/>
        <w:rPr>
          <w:rFonts w:eastAsiaTheme="minorEastAsia"/>
          <w:sz w:val="24"/>
        </w:rPr>
      </w:pPr>
      <w:r>
        <w:rPr>
          <w:rFonts w:hint="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交银丰晟收益债券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交银丰晟收益债券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330,813,244.80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776,663.43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330,813,244.80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776,663.43</w:t>
            </w:r>
          </w:p>
        </w:tc>
      </w:tr>
    </w:tbl>
    <w:p w:rsidR="008C023E" w:rsidRDefault="007B655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lastRenderedPageBreak/>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C023E" w:rsidRDefault="007B655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、中国证监会准予交银施罗德丰晟收益债券型证券投资基金募集注册的文件；</w:t>
      </w:r>
      <w:r>
        <w:rPr>
          <w:rFonts w:eastAsiaTheme="minorEastAsia"/>
          <w:color w:val="000000"/>
          <w:sz w:val="24"/>
        </w:rPr>
        <w:t xml:space="preserve"> </w:t>
      </w:r>
    </w:p>
    <w:p w:rsidR="008C023E" w:rsidRDefault="007B655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、《交银施罗德丰晟收益债券型证券投资基金基金合同》；</w:t>
      </w:r>
      <w:r>
        <w:rPr>
          <w:rFonts w:eastAsiaTheme="minorEastAsia"/>
          <w:color w:val="000000"/>
          <w:sz w:val="24"/>
        </w:rPr>
        <w:t xml:space="preserve"> </w:t>
      </w:r>
    </w:p>
    <w:p w:rsidR="008C023E" w:rsidRDefault="007B655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、《交银施罗德丰晟收益债券型证券投资基金招募说明书》；</w:t>
      </w:r>
      <w:r>
        <w:rPr>
          <w:rFonts w:eastAsiaTheme="minorEastAsia"/>
          <w:color w:val="000000"/>
          <w:sz w:val="24"/>
        </w:rPr>
        <w:t xml:space="preserve"> </w:t>
      </w:r>
    </w:p>
    <w:p w:rsidR="008C023E" w:rsidRDefault="007B655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、《交银施罗德丰晟收益债券型证券投资基金托管协议》；</w:t>
      </w:r>
      <w:r>
        <w:rPr>
          <w:rFonts w:eastAsiaTheme="minorEastAsia"/>
          <w:color w:val="000000"/>
          <w:sz w:val="24"/>
        </w:rPr>
        <w:t xml:space="preserve"> </w:t>
      </w:r>
    </w:p>
    <w:p w:rsidR="008C023E" w:rsidRDefault="007B655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、关于申请募集注册交银施罗德丰晟收益债券型证券投资基金的法律意见书；</w:t>
      </w:r>
      <w:r>
        <w:rPr>
          <w:rFonts w:eastAsiaTheme="minorEastAsia"/>
          <w:color w:val="000000"/>
          <w:sz w:val="24"/>
        </w:rPr>
        <w:t xml:space="preserve"> </w:t>
      </w:r>
    </w:p>
    <w:p w:rsidR="008C023E" w:rsidRDefault="007B655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C023E" w:rsidRDefault="007B655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、报告期内交银施罗德丰晟收益债券型证券投资基金在指定报刊上各项公告的原稿。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8C023E" w:rsidRDefault="007B655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428" w:rsidRDefault="00761428">
      <w:r>
        <w:separator/>
      </w:r>
    </w:p>
  </w:endnote>
  <w:endnote w:type="continuationSeparator" w:id="0">
    <w:p w:rsidR="00761428" w:rsidRDefault="0076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362560">
      <w:rPr>
        <w:noProof/>
        <w:kern w:val="0"/>
        <w:szCs w:val="21"/>
      </w:rPr>
      <w:t>8</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362560">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428" w:rsidRDefault="00761428">
      <w:r>
        <w:separator/>
      </w:r>
    </w:p>
  </w:footnote>
  <w:footnote w:type="continuationSeparator" w:id="0">
    <w:p w:rsidR="00761428" w:rsidRDefault="00761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交银施罗德丰晟收益债券型证券投资基金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2560"/>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428"/>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B655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23E"/>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414318C-2632-4114-B4DB-529D3446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2FF9-E451-4A53-AA02-EC0744A2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208</TotalTime>
  <Pages>14</Pages>
  <Words>1188</Words>
  <Characters>6772</Characters>
  <Application>Microsoft Office Word</Application>
  <DocSecurity>0</DocSecurity>
  <Lines>56</Lines>
  <Paragraphs>15</Paragraphs>
  <ScaleCrop>false</ScaleCrop>
  <Company>TRT. Ltd. Co.</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379</cp:revision>
  <cp:lastPrinted>2007-07-19T00:46:00Z</cp:lastPrinted>
  <dcterms:created xsi:type="dcterms:W3CDTF">2014-01-17T06:19:00Z</dcterms:created>
  <dcterms:modified xsi:type="dcterms:W3CDTF">2019-04-17T07:57:00Z</dcterms:modified>
</cp:coreProperties>
</file>