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517,212,533.48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BC2DD2" w:rsidRDefault="00131C93">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BC2DD2" w:rsidRDefault="00BC2DD2">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BC2DD2" w:rsidRDefault="00131C93">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505,865,946.81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11,346,586.67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983,844.78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66,613.23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1,133,468.37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65,181.35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1,025,381,447.48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11,985,124.00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1.056</w:t>
            </w:r>
          </w:p>
        </w:tc>
      </w:tr>
    </w:tbl>
    <w:p w:rsidR="00BC2DD2" w:rsidRDefault="00131C9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C2DD2">
        <w:trPr>
          <w:jc w:val="center"/>
        </w:trPr>
        <w:tc>
          <w:tcPr>
            <w:tcW w:w="1266" w:type="dxa"/>
            <w:vAlign w:val="center"/>
          </w:tcPr>
          <w:p w:rsidR="00BC2DD2" w:rsidRDefault="00131C93">
            <w:pPr>
              <w:jc w:val="left"/>
            </w:pPr>
            <w:r>
              <w:rPr>
                <w:color w:val="000000"/>
                <w:sz w:val="24"/>
              </w:rPr>
              <w:t>过去三个月</w:t>
            </w:r>
          </w:p>
        </w:tc>
        <w:tc>
          <w:tcPr>
            <w:tcW w:w="1267" w:type="dxa"/>
            <w:vAlign w:val="center"/>
          </w:tcPr>
          <w:p w:rsidR="00BC2DD2" w:rsidRDefault="00131C93">
            <w:pPr>
              <w:jc w:val="center"/>
            </w:pPr>
            <w:r>
              <w:rPr>
                <w:color w:val="000000"/>
                <w:sz w:val="24"/>
              </w:rPr>
              <w:t>0.55%</w:t>
            </w:r>
          </w:p>
        </w:tc>
        <w:tc>
          <w:tcPr>
            <w:tcW w:w="1267" w:type="dxa"/>
            <w:vAlign w:val="center"/>
          </w:tcPr>
          <w:p w:rsidR="00BC2DD2" w:rsidRDefault="00131C93">
            <w:pPr>
              <w:jc w:val="center"/>
            </w:pPr>
            <w:r>
              <w:rPr>
                <w:color w:val="000000"/>
                <w:sz w:val="24"/>
              </w:rPr>
              <w:t>0.03%</w:t>
            </w:r>
          </w:p>
        </w:tc>
        <w:tc>
          <w:tcPr>
            <w:tcW w:w="1267" w:type="dxa"/>
            <w:vAlign w:val="center"/>
          </w:tcPr>
          <w:p w:rsidR="00BC2DD2" w:rsidRDefault="00131C93">
            <w:pPr>
              <w:jc w:val="center"/>
            </w:pPr>
            <w:r>
              <w:rPr>
                <w:color w:val="000000"/>
                <w:sz w:val="24"/>
              </w:rPr>
              <w:t>0.47%</w:t>
            </w:r>
          </w:p>
        </w:tc>
        <w:tc>
          <w:tcPr>
            <w:tcW w:w="1267" w:type="dxa"/>
            <w:vAlign w:val="center"/>
          </w:tcPr>
          <w:p w:rsidR="00BC2DD2" w:rsidRDefault="00131C93">
            <w:pPr>
              <w:jc w:val="center"/>
            </w:pPr>
            <w:r>
              <w:rPr>
                <w:color w:val="000000"/>
                <w:sz w:val="24"/>
              </w:rPr>
              <w:t>0.05%</w:t>
            </w:r>
          </w:p>
        </w:tc>
        <w:tc>
          <w:tcPr>
            <w:tcW w:w="1267" w:type="dxa"/>
            <w:vAlign w:val="center"/>
          </w:tcPr>
          <w:p w:rsidR="00BC2DD2" w:rsidRDefault="00131C93">
            <w:pPr>
              <w:jc w:val="center"/>
            </w:pPr>
            <w:r>
              <w:rPr>
                <w:color w:val="000000"/>
                <w:sz w:val="24"/>
              </w:rPr>
              <w:t>0.08%</w:t>
            </w:r>
          </w:p>
        </w:tc>
        <w:tc>
          <w:tcPr>
            <w:tcW w:w="1267" w:type="dxa"/>
            <w:vAlign w:val="center"/>
          </w:tcPr>
          <w:p w:rsidR="00BC2DD2" w:rsidRDefault="00131C93">
            <w:pPr>
              <w:jc w:val="center"/>
            </w:pPr>
            <w:r>
              <w:rPr>
                <w:color w:val="000000"/>
                <w:sz w:val="24"/>
              </w:rPr>
              <w:t>-0.02%</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C2DD2">
        <w:trPr>
          <w:jc w:val="center"/>
        </w:trPr>
        <w:tc>
          <w:tcPr>
            <w:tcW w:w="1266" w:type="dxa"/>
            <w:vAlign w:val="center"/>
          </w:tcPr>
          <w:p w:rsidR="00BC2DD2" w:rsidRDefault="00131C93">
            <w:pPr>
              <w:jc w:val="left"/>
            </w:pPr>
            <w:r>
              <w:rPr>
                <w:color w:val="000000"/>
                <w:sz w:val="24"/>
              </w:rPr>
              <w:t>过去三个月</w:t>
            </w:r>
          </w:p>
        </w:tc>
        <w:tc>
          <w:tcPr>
            <w:tcW w:w="1267" w:type="dxa"/>
            <w:vAlign w:val="center"/>
          </w:tcPr>
          <w:p w:rsidR="00BC2DD2" w:rsidRDefault="00131C93">
            <w:pPr>
              <w:jc w:val="center"/>
            </w:pPr>
            <w:r>
              <w:rPr>
                <w:color w:val="000000"/>
                <w:sz w:val="24"/>
              </w:rPr>
              <w:t>0.38%</w:t>
            </w:r>
          </w:p>
        </w:tc>
        <w:tc>
          <w:tcPr>
            <w:tcW w:w="1267" w:type="dxa"/>
            <w:vAlign w:val="center"/>
          </w:tcPr>
          <w:p w:rsidR="00BC2DD2" w:rsidRDefault="00131C93">
            <w:pPr>
              <w:jc w:val="center"/>
            </w:pPr>
            <w:r>
              <w:rPr>
                <w:color w:val="000000"/>
                <w:sz w:val="24"/>
              </w:rPr>
              <w:t>0.04%</w:t>
            </w:r>
          </w:p>
        </w:tc>
        <w:tc>
          <w:tcPr>
            <w:tcW w:w="1267" w:type="dxa"/>
            <w:vAlign w:val="center"/>
          </w:tcPr>
          <w:p w:rsidR="00BC2DD2" w:rsidRDefault="00131C93">
            <w:pPr>
              <w:jc w:val="center"/>
            </w:pPr>
            <w:r>
              <w:rPr>
                <w:color w:val="000000"/>
                <w:sz w:val="24"/>
              </w:rPr>
              <w:t>0.47%</w:t>
            </w:r>
          </w:p>
        </w:tc>
        <w:tc>
          <w:tcPr>
            <w:tcW w:w="1267" w:type="dxa"/>
            <w:vAlign w:val="center"/>
          </w:tcPr>
          <w:p w:rsidR="00BC2DD2" w:rsidRDefault="00131C93">
            <w:pPr>
              <w:jc w:val="center"/>
            </w:pPr>
            <w:r>
              <w:rPr>
                <w:color w:val="000000"/>
                <w:sz w:val="24"/>
              </w:rPr>
              <w:t>0.05%</w:t>
            </w:r>
          </w:p>
        </w:tc>
        <w:tc>
          <w:tcPr>
            <w:tcW w:w="1267" w:type="dxa"/>
            <w:vAlign w:val="center"/>
          </w:tcPr>
          <w:p w:rsidR="00BC2DD2" w:rsidRDefault="00131C93">
            <w:pPr>
              <w:jc w:val="center"/>
            </w:pPr>
            <w:r>
              <w:rPr>
                <w:color w:val="000000"/>
                <w:sz w:val="24"/>
              </w:rPr>
              <w:t>-0.09%</w:t>
            </w:r>
          </w:p>
        </w:tc>
        <w:tc>
          <w:tcPr>
            <w:tcW w:w="1267" w:type="dxa"/>
            <w:vAlign w:val="center"/>
          </w:tcPr>
          <w:p w:rsidR="00BC2DD2" w:rsidRDefault="00131C93">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日起，开始销售</w:t>
      </w:r>
      <w:r w:rsidRPr="007F52FA">
        <w:rPr>
          <w:color w:val="000000"/>
          <w:sz w:val="24"/>
        </w:rPr>
        <w:t>A</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19</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E86139"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C2DD2">
        <w:trPr>
          <w:jc w:val="center"/>
        </w:trPr>
        <w:tc>
          <w:tcPr>
            <w:tcW w:w="946" w:type="dxa"/>
            <w:vAlign w:val="center"/>
          </w:tcPr>
          <w:p w:rsidR="00BC2DD2" w:rsidRDefault="00131C93">
            <w:pPr>
              <w:jc w:val="center"/>
            </w:pPr>
            <w:r>
              <w:rPr>
                <w:color w:val="000000"/>
                <w:sz w:val="24"/>
              </w:rPr>
              <w:t>黄莹洁</w:t>
            </w:r>
          </w:p>
        </w:tc>
        <w:tc>
          <w:tcPr>
            <w:tcW w:w="924" w:type="dxa"/>
            <w:vAlign w:val="center"/>
          </w:tcPr>
          <w:p w:rsidR="00BC2DD2" w:rsidRDefault="00131C93">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w:t>
            </w:r>
            <w:r>
              <w:rPr>
                <w:color w:val="000000"/>
                <w:sz w:val="24"/>
              </w:rPr>
              <w:lastRenderedPageBreak/>
              <w:t>宝货币、交银境尚收益债券、交银稳鑫短债债券的基金经理</w:t>
            </w:r>
          </w:p>
        </w:tc>
        <w:tc>
          <w:tcPr>
            <w:tcW w:w="1202" w:type="dxa"/>
            <w:vAlign w:val="center"/>
          </w:tcPr>
          <w:p w:rsidR="00BC2DD2" w:rsidRDefault="00131C93">
            <w:pPr>
              <w:jc w:val="center"/>
            </w:pPr>
            <w:r>
              <w:rPr>
                <w:color w:val="000000"/>
                <w:sz w:val="24"/>
              </w:rPr>
              <w:lastRenderedPageBreak/>
              <w:t>2015-07-25</w:t>
            </w:r>
          </w:p>
        </w:tc>
        <w:tc>
          <w:tcPr>
            <w:tcW w:w="1300" w:type="dxa"/>
            <w:vAlign w:val="center"/>
          </w:tcPr>
          <w:p w:rsidR="00BC2DD2" w:rsidRDefault="00131C93">
            <w:pPr>
              <w:jc w:val="center"/>
            </w:pPr>
            <w:r>
              <w:rPr>
                <w:color w:val="000000"/>
                <w:sz w:val="24"/>
              </w:rPr>
              <w:t>-</w:t>
            </w:r>
          </w:p>
        </w:tc>
        <w:tc>
          <w:tcPr>
            <w:tcW w:w="1245" w:type="dxa"/>
            <w:vAlign w:val="center"/>
          </w:tcPr>
          <w:p w:rsidR="00BC2DD2" w:rsidRDefault="00131C93">
            <w:pPr>
              <w:jc w:val="center"/>
            </w:pPr>
            <w:r>
              <w:rPr>
                <w:color w:val="000000"/>
                <w:sz w:val="24"/>
              </w:rPr>
              <w:t>11</w:t>
            </w:r>
            <w:r>
              <w:rPr>
                <w:color w:val="000000"/>
                <w:sz w:val="24"/>
              </w:rPr>
              <w:t>年</w:t>
            </w:r>
          </w:p>
        </w:tc>
        <w:tc>
          <w:tcPr>
            <w:tcW w:w="3251" w:type="dxa"/>
            <w:vAlign w:val="center"/>
          </w:tcPr>
          <w:p w:rsidR="00BC2DD2" w:rsidRDefault="00131C9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C2DD2" w:rsidRDefault="00131C9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C2DD2" w:rsidRDefault="00131C9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2DD2" w:rsidRDefault="00131C9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C2DD2" w:rsidRDefault="00131C93">
      <w:pPr>
        <w:spacing w:before="29" w:line="288" w:lineRule="auto"/>
        <w:ind w:firstLineChars="200" w:firstLine="480"/>
        <w:rPr>
          <w:color w:val="000000"/>
          <w:sz w:val="24"/>
        </w:rPr>
      </w:pPr>
      <w:r>
        <w:rPr>
          <w:color w:val="000000"/>
          <w:sz w:val="24"/>
        </w:rPr>
        <w:t>本报告期内，国内经济的表现逐步向好，部分金融信贷数据企稳，通胀走高的担忧加剧。权益类资产的表现优于债券类资产，货币基金的收益率在短端利率的下行中进一步走低。具体看来，一、二月人民币新增贷款</w:t>
      </w:r>
      <w:r>
        <w:rPr>
          <w:color w:val="000000"/>
          <w:sz w:val="24"/>
        </w:rPr>
        <w:t>41158</w:t>
      </w:r>
      <w:r>
        <w:rPr>
          <w:color w:val="000000"/>
          <w:sz w:val="24"/>
        </w:rPr>
        <w:t>亿元，社会融资增速在此基础上有望企稳。非洲猪瘟的爆发使得本轮猪周期提前到来，猪肉价格在一季度大幅增长，市场预期</w:t>
      </w:r>
      <w:r>
        <w:rPr>
          <w:color w:val="000000"/>
          <w:sz w:val="24"/>
        </w:rPr>
        <w:t>CPI</w:t>
      </w:r>
      <w:r>
        <w:rPr>
          <w:color w:val="000000"/>
          <w:sz w:val="24"/>
        </w:rPr>
        <w:t>在未来回到</w:t>
      </w:r>
      <w:r>
        <w:rPr>
          <w:color w:val="000000"/>
          <w:sz w:val="24"/>
        </w:rPr>
        <w:t>2.0%</w:t>
      </w:r>
      <w:r>
        <w:rPr>
          <w:color w:val="000000"/>
          <w:sz w:val="24"/>
        </w:rPr>
        <w:t>上方，债券也由此在一季度步入盘整态势。全球贸易方面，中美的贸易谈判还在继续中，不确定性尚未消除，而二月的进出口增长进一步下行至</w:t>
      </w:r>
      <w:r>
        <w:rPr>
          <w:color w:val="000000"/>
          <w:sz w:val="24"/>
        </w:rPr>
        <w:t>-5.2%</w:t>
      </w:r>
      <w:r>
        <w:rPr>
          <w:color w:val="000000"/>
          <w:sz w:val="24"/>
        </w:rPr>
        <w:t>和</w:t>
      </w:r>
      <w:r>
        <w:rPr>
          <w:color w:val="000000"/>
          <w:sz w:val="24"/>
        </w:rPr>
        <w:t>-20.8%</w:t>
      </w:r>
      <w:r>
        <w:rPr>
          <w:color w:val="000000"/>
          <w:sz w:val="24"/>
        </w:rPr>
        <w:t>，地域性的贸易条件继续收紧。货币政策方面，美联储在三月的会议纪要偏鸽派，且在点阵图指引中将</w:t>
      </w:r>
      <w:r>
        <w:rPr>
          <w:color w:val="000000"/>
          <w:sz w:val="24"/>
        </w:rPr>
        <w:t>2019</w:t>
      </w:r>
      <w:r>
        <w:rPr>
          <w:color w:val="000000"/>
          <w:sz w:val="24"/>
        </w:rPr>
        <w:t>年的加息次数调整为</w:t>
      </w:r>
      <w:r>
        <w:rPr>
          <w:color w:val="000000"/>
          <w:sz w:val="24"/>
        </w:rPr>
        <w:t>0</w:t>
      </w:r>
      <w:r>
        <w:rPr>
          <w:color w:val="000000"/>
          <w:sz w:val="24"/>
        </w:rPr>
        <w:t>，市场进一步预期美联储将开始降息操作。同时央行在一月调降存款准备金率</w:t>
      </w:r>
      <w:r>
        <w:rPr>
          <w:color w:val="000000"/>
          <w:sz w:val="24"/>
        </w:rPr>
        <w:t>100bps</w:t>
      </w:r>
      <w:r>
        <w:rPr>
          <w:color w:val="000000"/>
          <w:sz w:val="24"/>
        </w:rPr>
        <w:t>，以对冲一季度的</w:t>
      </w:r>
      <w:r>
        <w:rPr>
          <w:color w:val="000000"/>
          <w:sz w:val="24"/>
        </w:rPr>
        <w:t>MLF</w:t>
      </w:r>
      <w:r>
        <w:rPr>
          <w:color w:val="000000"/>
          <w:sz w:val="24"/>
        </w:rPr>
        <w:t>到期，继续保持稳健偏宽松的态度。在一季度国内债券显现出盘整态势，一、二月在风险资产优异的表现下，长端收益率持续上行，同时信用利差走扩。随后在三月下旬跟随全球债券走势，收益率转而走低。整体看来市场风险偏好变化、通胀担忧加剧和金融信贷数据企稳等因素成为债券市场收益率变动的主要原因。报告期内，十年期国债收益率下行</w:t>
      </w:r>
      <w:r>
        <w:rPr>
          <w:color w:val="000000"/>
          <w:sz w:val="24"/>
        </w:rPr>
        <w:t>16BPS</w:t>
      </w:r>
      <w:r>
        <w:rPr>
          <w:color w:val="000000"/>
          <w:sz w:val="24"/>
        </w:rPr>
        <w:t>至</w:t>
      </w:r>
      <w:r>
        <w:rPr>
          <w:color w:val="000000"/>
          <w:sz w:val="24"/>
        </w:rPr>
        <w:t>3.06%</w:t>
      </w:r>
      <w:r>
        <w:rPr>
          <w:color w:val="000000"/>
          <w:sz w:val="24"/>
        </w:rPr>
        <w:t>，十年期国开债收益率上行</w:t>
      </w:r>
      <w:r>
        <w:rPr>
          <w:color w:val="000000"/>
          <w:sz w:val="24"/>
        </w:rPr>
        <w:t>6BP</w:t>
      </w:r>
      <w:r>
        <w:rPr>
          <w:color w:val="000000"/>
          <w:sz w:val="24"/>
        </w:rPr>
        <w:t>至</w:t>
      </w:r>
      <w:r>
        <w:rPr>
          <w:color w:val="000000"/>
          <w:sz w:val="24"/>
        </w:rPr>
        <w:t>3.70%</w:t>
      </w:r>
      <w:r>
        <w:rPr>
          <w:color w:val="000000"/>
          <w:sz w:val="24"/>
        </w:rPr>
        <w:t>，三个月上海银行间拆借利率下行</w:t>
      </w:r>
      <w:r>
        <w:rPr>
          <w:color w:val="000000"/>
          <w:sz w:val="24"/>
        </w:rPr>
        <w:t>55BP</w:t>
      </w:r>
      <w:r>
        <w:rPr>
          <w:color w:val="000000"/>
          <w:sz w:val="24"/>
        </w:rPr>
        <w:t>到</w:t>
      </w:r>
      <w:r>
        <w:rPr>
          <w:color w:val="000000"/>
          <w:sz w:val="24"/>
        </w:rPr>
        <w:t>2.80%</w:t>
      </w:r>
      <w:r>
        <w:rPr>
          <w:color w:val="000000"/>
          <w:sz w:val="24"/>
        </w:rPr>
        <w:t>。</w:t>
      </w:r>
    </w:p>
    <w:p w:rsidR="00BC2DD2" w:rsidRDefault="00131C93">
      <w:pPr>
        <w:spacing w:before="29" w:line="288" w:lineRule="auto"/>
        <w:ind w:firstLineChars="200" w:firstLine="480"/>
        <w:rPr>
          <w:color w:val="000000"/>
          <w:sz w:val="24"/>
        </w:rPr>
      </w:pPr>
      <w:r>
        <w:rPr>
          <w:color w:val="000000"/>
          <w:sz w:val="24"/>
        </w:rPr>
        <w:t>持有期内组合规模增长明显，基金操作方面，从绝对收益率、期限利差和杠杆成本角度看，目前中短端仍是较好的选择，本基金以配置短久期的信用债为主，搭配部分中长端利率债，控制整体组合久期。</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我们将关注风险资产特别是股市在二季度的表现和其溢出效应，警惕中美贸易谈判可能出现的超预期影响，进一步观察国内经济基本面的状况。我们认为，海外货币政策的逐步宽松，将打开国内政策的操作空间，货币政策应该会延续稳健宽松的状态，财政政策将会更加积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w:t>
      </w:r>
      <w:r w:rsidRPr="002070B4">
        <w:rPr>
          <w:color w:val="000000"/>
          <w:sz w:val="24"/>
        </w:rPr>
        <w:lastRenderedPageBreak/>
        <w:t>形，截至本报告期末，本基金基金资产净值已高于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883,165,000.00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85.10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883,165,000.00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85.10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146,000,339.00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691,318.39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0.07</w:t>
            </w:r>
          </w:p>
        </w:tc>
      </w:tr>
      <w:tr w:rsidR="00C51B4E" w:rsidRPr="0028293E" w:rsidTr="00B27DF0">
        <w:tc>
          <w:tcPr>
            <w:tcW w:w="720" w:type="dxa"/>
            <w:tcBorders>
              <w:bottom w:val="single" w:sz="4" w:space="0" w:color="auto"/>
            </w:tcBorders>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tcBorders>
              <w:bottom w:val="single" w:sz="4" w:space="0" w:color="auto"/>
            </w:tcBorders>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tcBorders>
              <w:bottom w:val="single" w:sz="4" w:space="0" w:color="auto"/>
            </w:tcBorders>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7,963,599.66</w:t>
            </w:r>
          </w:p>
        </w:tc>
        <w:tc>
          <w:tcPr>
            <w:tcW w:w="2801" w:type="dxa"/>
            <w:tcBorders>
              <w:bottom w:val="single" w:sz="4" w:space="0" w:color="auto"/>
            </w:tcBorders>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0.77</w:t>
            </w:r>
          </w:p>
        </w:tc>
      </w:tr>
      <w:tr w:rsidR="00C51B4E" w:rsidRPr="0028293E" w:rsidTr="00B27DF0">
        <w:tc>
          <w:tcPr>
            <w:tcW w:w="720" w:type="dxa"/>
            <w:tcBorders>
              <w:bottom w:val="single" w:sz="4" w:space="0" w:color="auto"/>
            </w:tcBorders>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tcBorders>
              <w:bottom w:val="single" w:sz="4" w:space="0" w:color="auto"/>
            </w:tcBorders>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tcBorders>
              <w:bottom w:val="single" w:sz="4" w:space="0" w:color="auto"/>
            </w:tcBorders>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1,037,820,257.05</w:t>
            </w:r>
          </w:p>
        </w:tc>
        <w:tc>
          <w:tcPr>
            <w:tcW w:w="2801" w:type="dxa"/>
            <w:tcBorders>
              <w:bottom w:val="single" w:sz="4" w:space="0" w:color="auto"/>
            </w:tcBorders>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B27DF0" w:rsidRPr="00B27DF0" w:rsidRDefault="00B27DF0"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140,616,000.00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13.56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140,616,000.00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13.56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620,383,000.00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59.80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122,166,000.00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11.78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883,165,000.00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85.14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C2DD2">
        <w:trPr>
          <w:jc w:val="center"/>
        </w:trPr>
        <w:tc>
          <w:tcPr>
            <w:tcW w:w="1075" w:type="dxa"/>
            <w:vAlign w:val="center"/>
          </w:tcPr>
          <w:p w:rsidR="00BC2DD2" w:rsidRDefault="00131C93">
            <w:pPr>
              <w:jc w:val="center"/>
            </w:pPr>
            <w:r>
              <w:rPr>
                <w:color w:val="000000"/>
                <w:sz w:val="24"/>
              </w:rPr>
              <w:t>1</w:t>
            </w:r>
          </w:p>
        </w:tc>
        <w:tc>
          <w:tcPr>
            <w:tcW w:w="1533" w:type="dxa"/>
            <w:vAlign w:val="center"/>
          </w:tcPr>
          <w:p w:rsidR="00BC2DD2" w:rsidRDefault="00131C93">
            <w:pPr>
              <w:jc w:val="center"/>
            </w:pPr>
            <w:r>
              <w:rPr>
                <w:color w:val="000000"/>
                <w:sz w:val="24"/>
              </w:rPr>
              <w:t>011900525</w:t>
            </w:r>
          </w:p>
        </w:tc>
        <w:tc>
          <w:tcPr>
            <w:tcW w:w="1533" w:type="dxa"/>
            <w:vAlign w:val="center"/>
          </w:tcPr>
          <w:p w:rsidR="00BC2DD2" w:rsidRDefault="00131C93">
            <w:pPr>
              <w:jc w:val="center"/>
            </w:pPr>
            <w:r>
              <w:rPr>
                <w:color w:val="000000"/>
                <w:sz w:val="24"/>
              </w:rPr>
              <w:t>19</w:t>
            </w:r>
            <w:r>
              <w:rPr>
                <w:color w:val="000000"/>
                <w:sz w:val="24"/>
              </w:rPr>
              <w:t>海通恒信</w:t>
            </w:r>
            <w:r>
              <w:rPr>
                <w:color w:val="000000"/>
                <w:sz w:val="24"/>
              </w:rPr>
              <w:t>SCP003</w:t>
            </w:r>
          </w:p>
        </w:tc>
        <w:tc>
          <w:tcPr>
            <w:tcW w:w="1394" w:type="dxa"/>
            <w:vAlign w:val="center"/>
          </w:tcPr>
          <w:p w:rsidR="00BC2DD2" w:rsidRDefault="00131C93">
            <w:pPr>
              <w:jc w:val="right"/>
            </w:pPr>
            <w:r>
              <w:rPr>
                <w:color w:val="000000"/>
                <w:sz w:val="24"/>
              </w:rPr>
              <w:t>1,000,000</w:t>
            </w:r>
          </w:p>
        </w:tc>
        <w:tc>
          <w:tcPr>
            <w:tcW w:w="1944" w:type="dxa"/>
            <w:vAlign w:val="center"/>
          </w:tcPr>
          <w:p w:rsidR="00BC2DD2" w:rsidRDefault="00131C93">
            <w:pPr>
              <w:jc w:val="right"/>
            </w:pPr>
            <w:r>
              <w:rPr>
                <w:color w:val="000000"/>
                <w:sz w:val="24"/>
              </w:rPr>
              <w:t>99,780,000.00</w:t>
            </w:r>
          </w:p>
        </w:tc>
        <w:tc>
          <w:tcPr>
            <w:tcW w:w="1389" w:type="dxa"/>
            <w:vAlign w:val="center"/>
          </w:tcPr>
          <w:p w:rsidR="00BC2DD2" w:rsidRDefault="00131C93">
            <w:pPr>
              <w:jc w:val="right"/>
            </w:pPr>
            <w:r>
              <w:rPr>
                <w:color w:val="000000"/>
                <w:sz w:val="24"/>
              </w:rPr>
              <w:t>9.62</w:t>
            </w:r>
          </w:p>
        </w:tc>
      </w:tr>
      <w:tr w:rsidR="00BC2DD2">
        <w:trPr>
          <w:jc w:val="center"/>
        </w:trPr>
        <w:tc>
          <w:tcPr>
            <w:tcW w:w="1075" w:type="dxa"/>
            <w:vAlign w:val="center"/>
          </w:tcPr>
          <w:p w:rsidR="00BC2DD2" w:rsidRDefault="00131C93">
            <w:pPr>
              <w:jc w:val="center"/>
            </w:pPr>
            <w:r>
              <w:rPr>
                <w:color w:val="000000"/>
                <w:sz w:val="24"/>
              </w:rPr>
              <w:t>2</w:t>
            </w:r>
          </w:p>
        </w:tc>
        <w:tc>
          <w:tcPr>
            <w:tcW w:w="1533" w:type="dxa"/>
            <w:vAlign w:val="center"/>
          </w:tcPr>
          <w:p w:rsidR="00BC2DD2" w:rsidRDefault="00131C93">
            <w:pPr>
              <w:jc w:val="center"/>
            </w:pPr>
            <w:r>
              <w:rPr>
                <w:color w:val="000000"/>
                <w:sz w:val="24"/>
              </w:rPr>
              <w:t>011900344</w:t>
            </w:r>
          </w:p>
        </w:tc>
        <w:tc>
          <w:tcPr>
            <w:tcW w:w="1533" w:type="dxa"/>
            <w:vAlign w:val="center"/>
          </w:tcPr>
          <w:p w:rsidR="00BC2DD2" w:rsidRDefault="00131C93">
            <w:pPr>
              <w:jc w:val="center"/>
            </w:pPr>
            <w:r>
              <w:rPr>
                <w:color w:val="000000"/>
                <w:sz w:val="24"/>
              </w:rPr>
              <w:t>19</w:t>
            </w:r>
            <w:r>
              <w:rPr>
                <w:color w:val="000000"/>
                <w:sz w:val="24"/>
              </w:rPr>
              <w:t>日照港</w:t>
            </w:r>
            <w:r>
              <w:rPr>
                <w:color w:val="000000"/>
                <w:sz w:val="24"/>
              </w:rPr>
              <w:t>SCP001</w:t>
            </w:r>
          </w:p>
        </w:tc>
        <w:tc>
          <w:tcPr>
            <w:tcW w:w="1394" w:type="dxa"/>
            <w:vAlign w:val="center"/>
          </w:tcPr>
          <w:p w:rsidR="00BC2DD2" w:rsidRDefault="00131C93">
            <w:pPr>
              <w:jc w:val="right"/>
            </w:pPr>
            <w:r>
              <w:rPr>
                <w:color w:val="000000"/>
                <w:sz w:val="24"/>
              </w:rPr>
              <w:t>700,000</w:t>
            </w:r>
          </w:p>
        </w:tc>
        <w:tc>
          <w:tcPr>
            <w:tcW w:w="1944" w:type="dxa"/>
            <w:vAlign w:val="center"/>
          </w:tcPr>
          <w:p w:rsidR="00BC2DD2" w:rsidRDefault="00131C93">
            <w:pPr>
              <w:jc w:val="right"/>
            </w:pPr>
            <w:r>
              <w:rPr>
                <w:color w:val="000000"/>
                <w:sz w:val="24"/>
              </w:rPr>
              <w:t>70,098,000.00</w:t>
            </w:r>
          </w:p>
        </w:tc>
        <w:tc>
          <w:tcPr>
            <w:tcW w:w="1389" w:type="dxa"/>
            <w:vAlign w:val="center"/>
          </w:tcPr>
          <w:p w:rsidR="00BC2DD2" w:rsidRDefault="00131C93">
            <w:pPr>
              <w:jc w:val="right"/>
            </w:pPr>
            <w:r>
              <w:rPr>
                <w:color w:val="000000"/>
                <w:sz w:val="24"/>
              </w:rPr>
              <w:t>6.76</w:t>
            </w:r>
          </w:p>
        </w:tc>
      </w:tr>
      <w:tr w:rsidR="00BC2DD2">
        <w:trPr>
          <w:jc w:val="center"/>
        </w:trPr>
        <w:tc>
          <w:tcPr>
            <w:tcW w:w="1075" w:type="dxa"/>
            <w:vAlign w:val="center"/>
          </w:tcPr>
          <w:p w:rsidR="00BC2DD2" w:rsidRDefault="00131C93">
            <w:pPr>
              <w:jc w:val="center"/>
            </w:pPr>
            <w:r>
              <w:rPr>
                <w:color w:val="000000"/>
                <w:sz w:val="24"/>
              </w:rPr>
              <w:t>3</w:t>
            </w:r>
          </w:p>
        </w:tc>
        <w:tc>
          <w:tcPr>
            <w:tcW w:w="1533" w:type="dxa"/>
            <w:vAlign w:val="center"/>
          </w:tcPr>
          <w:p w:rsidR="00BC2DD2" w:rsidRDefault="00131C93">
            <w:pPr>
              <w:jc w:val="center"/>
            </w:pPr>
            <w:r>
              <w:rPr>
                <w:color w:val="000000"/>
                <w:sz w:val="24"/>
              </w:rPr>
              <w:t>011900688</w:t>
            </w:r>
          </w:p>
        </w:tc>
        <w:tc>
          <w:tcPr>
            <w:tcW w:w="1533" w:type="dxa"/>
            <w:vAlign w:val="center"/>
          </w:tcPr>
          <w:p w:rsidR="00BC2DD2" w:rsidRDefault="00131C93">
            <w:pPr>
              <w:jc w:val="center"/>
            </w:pPr>
            <w:r>
              <w:rPr>
                <w:color w:val="000000"/>
                <w:sz w:val="24"/>
              </w:rPr>
              <w:t>19</w:t>
            </w:r>
            <w:r>
              <w:rPr>
                <w:color w:val="000000"/>
                <w:sz w:val="24"/>
              </w:rPr>
              <w:t>长发集团</w:t>
            </w:r>
            <w:r>
              <w:rPr>
                <w:color w:val="000000"/>
                <w:sz w:val="24"/>
              </w:rPr>
              <w:t>SCP002</w:t>
            </w:r>
          </w:p>
        </w:tc>
        <w:tc>
          <w:tcPr>
            <w:tcW w:w="1394" w:type="dxa"/>
            <w:vAlign w:val="center"/>
          </w:tcPr>
          <w:p w:rsidR="00BC2DD2" w:rsidRDefault="00131C93">
            <w:pPr>
              <w:jc w:val="right"/>
            </w:pPr>
            <w:r>
              <w:rPr>
                <w:color w:val="000000"/>
                <w:sz w:val="24"/>
              </w:rPr>
              <w:t>700,000</w:t>
            </w:r>
          </w:p>
        </w:tc>
        <w:tc>
          <w:tcPr>
            <w:tcW w:w="1944" w:type="dxa"/>
            <w:vAlign w:val="center"/>
          </w:tcPr>
          <w:p w:rsidR="00BC2DD2" w:rsidRDefault="00131C93">
            <w:pPr>
              <w:jc w:val="right"/>
            </w:pPr>
            <w:r>
              <w:rPr>
                <w:color w:val="000000"/>
                <w:sz w:val="24"/>
              </w:rPr>
              <w:t>69,993,000.00</w:t>
            </w:r>
          </w:p>
        </w:tc>
        <w:tc>
          <w:tcPr>
            <w:tcW w:w="1389" w:type="dxa"/>
            <w:vAlign w:val="center"/>
          </w:tcPr>
          <w:p w:rsidR="00BC2DD2" w:rsidRDefault="00131C93">
            <w:pPr>
              <w:jc w:val="right"/>
            </w:pPr>
            <w:r>
              <w:rPr>
                <w:color w:val="000000"/>
                <w:sz w:val="24"/>
              </w:rPr>
              <w:t>6.75</w:t>
            </w:r>
          </w:p>
        </w:tc>
      </w:tr>
      <w:tr w:rsidR="00BC2DD2">
        <w:trPr>
          <w:jc w:val="center"/>
        </w:trPr>
        <w:tc>
          <w:tcPr>
            <w:tcW w:w="1075" w:type="dxa"/>
            <w:vAlign w:val="center"/>
          </w:tcPr>
          <w:p w:rsidR="00BC2DD2" w:rsidRDefault="00131C93">
            <w:pPr>
              <w:jc w:val="center"/>
            </w:pPr>
            <w:r>
              <w:rPr>
                <w:color w:val="000000"/>
                <w:sz w:val="24"/>
              </w:rPr>
              <w:t>4</w:t>
            </w:r>
          </w:p>
        </w:tc>
        <w:tc>
          <w:tcPr>
            <w:tcW w:w="1533" w:type="dxa"/>
            <w:vAlign w:val="center"/>
          </w:tcPr>
          <w:p w:rsidR="00BC2DD2" w:rsidRDefault="00131C93">
            <w:pPr>
              <w:jc w:val="center"/>
            </w:pPr>
            <w:r>
              <w:rPr>
                <w:color w:val="000000"/>
                <w:sz w:val="24"/>
              </w:rPr>
              <w:t>101456035</w:t>
            </w:r>
          </w:p>
        </w:tc>
        <w:tc>
          <w:tcPr>
            <w:tcW w:w="1533" w:type="dxa"/>
            <w:vAlign w:val="center"/>
          </w:tcPr>
          <w:p w:rsidR="00BC2DD2" w:rsidRDefault="00131C93">
            <w:pPr>
              <w:jc w:val="center"/>
            </w:pPr>
            <w:r>
              <w:rPr>
                <w:color w:val="000000"/>
                <w:sz w:val="24"/>
              </w:rPr>
              <w:t>14</w:t>
            </w:r>
            <w:r>
              <w:rPr>
                <w:color w:val="000000"/>
                <w:sz w:val="24"/>
              </w:rPr>
              <w:t>昆山经技</w:t>
            </w:r>
            <w:r>
              <w:rPr>
                <w:color w:val="000000"/>
                <w:sz w:val="24"/>
              </w:rPr>
              <w:t>MTN001</w:t>
            </w:r>
          </w:p>
        </w:tc>
        <w:tc>
          <w:tcPr>
            <w:tcW w:w="1394" w:type="dxa"/>
            <w:vAlign w:val="center"/>
          </w:tcPr>
          <w:p w:rsidR="00BC2DD2" w:rsidRDefault="00131C93">
            <w:pPr>
              <w:jc w:val="right"/>
            </w:pPr>
            <w:r>
              <w:rPr>
                <w:color w:val="000000"/>
                <w:sz w:val="24"/>
              </w:rPr>
              <w:t>500,000</w:t>
            </w:r>
          </w:p>
        </w:tc>
        <w:tc>
          <w:tcPr>
            <w:tcW w:w="1944" w:type="dxa"/>
            <w:vAlign w:val="center"/>
          </w:tcPr>
          <w:p w:rsidR="00BC2DD2" w:rsidRDefault="00131C93">
            <w:pPr>
              <w:jc w:val="right"/>
            </w:pPr>
            <w:r>
              <w:rPr>
                <w:color w:val="000000"/>
                <w:sz w:val="24"/>
              </w:rPr>
              <w:t>50,740,000.00</w:t>
            </w:r>
          </w:p>
        </w:tc>
        <w:tc>
          <w:tcPr>
            <w:tcW w:w="1389" w:type="dxa"/>
            <w:vAlign w:val="center"/>
          </w:tcPr>
          <w:p w:rsidR="00BC2DD2" w:rsidRDefault="00131C93">
            <w:pPr>
              <w:jc w:val="right"/>
            </w:pPr>
            <w:r>
              <w:rPr>
                <w:color w:val="000000"/>
                <w:sz w:val="24"/>
              </w:rPr>
              <w:t>4.89</w:t>
            </w:r>
          </w:p>
        </w:tc>
      </w:tr>
      <w:tr w:rsidR="00BC2DD2">
        <w:trPr>
          <w:jc w:val="center"/>
        </w:trPr>
        <w:tc>
          <w:tcPr>
            <w:tcW w:w="1075" w:type="dxa"/>
            <w:vAlign w:val="center"/>
          </w:tcPr>
          <w:p w:rsidR="00BC2DD2" w:rsidRDefault="00131C93">
            <w:pPr>
              <w:jc w:val="center"/>
            </w:pPr>
            <w:r>
              <w:rPr>
                <w:color w:val="000000"/>
                <w:sz w:val="24"/>
              </w:rPr>
              <w:t>5</w:t>
            </w:r>
          </w:p>
        </w:tc>
        <w:tc>
          <w:tcPr>
            <w:tcW w:w="1533" w:type="dxa"/>
            <w:vAlign w:val="center"/>
          </w:tcPr>
          <w:p w:rsidR="00BC2DD2" w:rsidRDefault="00131C93">
            <w:pPr>
              <w:jc w:val="center"/>
            </w:pPr>
            <w:r>
              <w:rPr>
                <w:color w:val="000000"/>
                <w:sz w:val="24"/>
              </w:rPr>
              <w:t>011900720</w:t>
            </w:r>
          </w:p>
        </w:tc>
        <w:tc>
          <w:tcPr>
            <w:tcW w:w="1533" w:type="dxa"/>
            <w:vAlign w:val="center"/>
          </w:tcPr>
          <w:p w:rsidR="00BC2DD2" w:rsidRDefault="00131C93">
            <w:pPr>
              <w:jc w:val="center"/>
            </w:pPr>
            <w:r>
              <w:rPr>
                <w:color w:val="000000"/>
                <w:sz w:val="24"/>
              </w:rPr>
              <w:t>19</w:t>
            </w:r>
            <w:r>
              <w:rPr>
                <w:color w:val="000000"/>
                <w:sz w:val="24"/>
              </w:rPr>
              <w:t>西安高新</w:t>
            </w:r>
            <w:r>
              <w:rPr>
                <w:color w:val="000000"/>
                <w:sz w:val="24"/>
              </w:rPr>
              <w:t>SCP004</w:t>
            </w:r>
          </w:p>
        </w:tc>
        <w:tc>
          <w:tcPr>
            <w:tcW w:w="1394" w:type="dxa"/>
            <w:vAlign w:val="center"/>
          </w:tcPr>
          <w:p w:rsidR="00BC2DD2" w:rsidRDefault="00131C93">
            <w:pPr>
              <w:jc w:val="right"/>
            </w:pPr>
            <w:r>
              <w:rPr>
                <w:color w:val="000000"/>
                <w:sz w:val="24"/>
              </w:rPr>
              <w:t>500,000</w:t>
            </w:r>
          </w:p>
        </w:tc>
        <w:tc>
          <w:tcPr>
            <w:tcW w:w="1944" w:type="dxa"/>
            <w:vAlign w:val="center"/>
          </w:tcPr>
          <w:p w:rsidR="00BC2DD2" w:rsidRDefault="00131C93">
            <w:pPr>
              <w:jc w:val="right"/>
            </w:pPr>
            <w:r>
              <w:rPr>
                <w:color w:val="000000"/>
                <w:sz w:val="24"/>
              </w:rPr>
              <w:t>50,045,000.00</w:t>
            </w:r>
          </w:p>
        </w:tc>
        <w:tc>
          <w:tcPr>
            <w:tcW w:w="1389" w:type="dxa"/>
            <w:vAlign w:val="center"/>
          </w:tcPr>
          <w:p w:rsidR="00BC2DD2" w:rsidRDefault="00131C93">
            <w:pPr>
              <w:jc w:val="right"/>
            </w:pPr>
            <w:r>
              <w:rPr>
                <w:color w:val="000000"/>
                <w:sz w:val="24"/>
              </w:rPr>
              <w:t>4.82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260.56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7,947,712.72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15,626.38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7,963,599.66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Default="00131C93" w:rsidP="007C14DF">
      <w:pPr>
        <w:spacing w:before="29" w:line="288" w:lineRule="auto"/>
        <w:rPr>
          <w:rFonts w:eastAsiaTheme="minorEastAsia"/>
          <w:sz w:val="24"/>
        </w:rPr>
      </w:pPr>
      <w:r w:rsidRPr="00131C93">
        <w:rPr>
          <w:rFonts w:eastAsiaTheme="minorEastAsia" w:hint="eastAsia"/>
          <w:sz w:val="24"/>
        </w:rPr>
        <w:t>本基金本报告期末未持有股票。</w:t>
      </w:r>
    </w:p>
    <w:p w:rsidR="00131C93" w:rsidRPr="00131C93" w:rsidRDefault="00131C93"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B27DF0"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B27DF0">
        <w:rPr>
          <w:rFonts w:eastAsiaTheme="minorEastAsia"/>
          <w:color w:val="000000" w:themeColor="text1"/>
          <w:kern w:val="0"/>
          <w:sz w:val="24"/>
          <w:szCs w:val="24"/>
        </w:rPr>
        <w:t>§6</w:t>
      </w:r>
      <w:r w:rsidRPr="00B27DF0">
        <w:rPr>
          <w:rFonts w:eastAsiaTheme="minorEastAsia" w:hint="eastAsia"/>
          <w:color w:val="000000" w:themeColor="text1"/>
          <w:kern w:val="0"/>
          <w:sz w:val="24"/>
          <w:szCs w:val="24"/>
        </w:rPr>
        <w:t xml:space="preserve">  </w:t>
      </w:r>
      <w:r w:rsidRPr="00B27DF0">
        <w:rPr>
          <w:rFonts w:eastAsiaTheme="minorEastAsia" w:hint="eastAsia"/>
          <w:color w:val="000000" w:themeColor="text1"/>
          <w:kern w:val="0"/>
          <w:sz w:val="24"/>
          <w:szCs w:val="24"/>
        </w:rPr>
        <w:t>基金中基金</w:t>
      </w:r>
    </w:p>
    <w:p w:rsidR="00C51B4E" w:rsidRPr="00B27DF0" w:rsidRDefault="00C51B4E" w:rsidP="00C51B4E">
      <w:pPr>
        <w:adjustRightInd w:val="0"/>
        <w:snapToGrid w:val="0"/>
        <w:spacing w:line="360" w:lineRule="auto"/>
        <w:rPr>
          <w:rFonts w:eastAsiaTheme="minorEastAsia"/>
          <w:b/>
          <w:color w:val="000000" w:themeColor="text1"/>
          <w:kern w:val="0"/>
          <w:sz w:val="24"/>
        </w:rPr>
      </w:pPr>
      <w:r w:rsidRPr="00B27DF0">
        <w:rPr>
          <w:rFonts w:eastAsiaTheme="minorEastAsia"/>
          <w:b/>
          <w:color w:val="000000" w:themeColor="text1"/>
          <w:kern w:val="0"/>
          <w:sz w:val="24"/>
        </w:rPr>
        <w:t>6.1</w:t>
      </w:r>
      <w:r w:rsidRPr="00B27DF0">
        <w:rPr>
          <w:rFonts w:eastAsiaTheme="minorEastAsia" w:hint="eastAsia"/>
          <w:b/>
          <w:color w:val="000000" w:themeColor="text1"/>
          <w:kern w:val="0"/>
          <w:sz w:val="24"/>
        </w:rPr>
        <w:t xml:space="preserve"> </w:t>
      </w:r>
      <w:r w:rsidRPr="00B27DF0">
        <w:rPr>
          <w:rFonts w:eastAsiaTheme="minorEastAsia" w:hint="eastAsia"/>
          <w:b/>
          <w:color w:val="000000" w:themeColor="text1"/>
          <w:kern w:val="0"/>
          <w:sz w:val="24"/>
        </w:rPr>
        <w:t>报告期末按公允价值占基金资产净值比例大小排序的前十名基金投资明细</w:t>
      </w:r>
    </w:p>
    <w:p w:rsidR="00C51B4E" w:rsidRPr="00B27DF0"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B27DF0">
        <w:rPr>
          <w:rFonts w:eastAsiaTheme="minorEastAsia"/>
          <w:color w:val="000000" w:themeColor="text1"/>
          <w:sz w:val="24"/>
        </w:rPr>
        <w:t>本基金本报告期末未持有基金。</w:t>
      </w:r>
    </w:p>
    <w:p w:rsidR="00C51B4E" w:rsidRPr="00B27DF0" w:rsidRDefault="00C51B4E" w:rsidP="000A2988">
      <w:pPr>
        <w:adjustRightInd w:val="0"/>
        <w:snapToGrid w:val="0"/>
        <w:spacing w:beforeLines="50" w:before="156" w:line="360" w:lineRule="auto"/>
        <w:rPr>
          <w:rFonts w:eastAsiaTheme="minorEastAsia"/>
          <w:b/>
          <w:color w:val="000000" w:themeColor="text1"/>
          <w:kern w:val="0"/>
          <w:sz w:val="24"/>
        </w:rPr>
      </w:pPr>
      <w:r w:rsidRPr="00B27DF0">
        <w:rPr>
          <w:rFonts w:eastAsiaTheme="minorEastAsia"/>
          <w:b/>
          <w:color w:val="000000" w:themeColor="text1"/>
          <w:kern w:val="0"/>
          <w:sz w:val="24"/>
        </w:rPr>
        <w:t>6.2</w:t>
      </w:r>
      <w:r w:rsidRPr="00B27DF0">
        <w:rPr>
          <w:rFonts w:eastAsiaTheme="minorEastAsia" w:hint="eastAsia"/>
          <w:b/>
          <w:color w:val="000000" w:themeColor="text1"/>
          <w:kern w:val="0"/>
          <w:sz w:val="24"/>
        </w:rPr>
        <w:t xml:space="preserve"> </w:t>
      </w:r>
      <w:r w:rsidRPr="00B27DF0">
        <w:rPr>
          <w:rFonts w:eastAsiaTheme="minorEastAsia" w:hint="eastAsia"/>
          <w:b/>
          <w:color w:val="000000" w:themeColor="text1"/>
          <w:kern w:val="0"/>
          <w:sz w:val="24"/>
        </w:rPr>
        <w:t>当期交易及持有基金产生的费用</w:t>
      </w:r>
    </w:p>
    <w:p w:rsidR="00C51B4E" w:rsidRPr="00B27DF0"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B27DF0">
        <w:rPr>
          <w:rFonts w:eastAsiaTheme="minorEastAsia"/>
          <w:color w:val="000000" w:themeColor="text1"/>
          <w:sz w:val="24"/>
        </w:rPr>
        <w:t>本基金本报告期内未交易或持有基金。</w:t>
      </w:r>
    </w:p>
    <w:p w:rsidR="00C51B4E" w:rsidRPr="00B27DF0" w:rsidRDefault="00C51B4E" w:rsidP="000A2988">
      <w:pPr>
        <w:adjustRightInd w:val="0"/>
        <w:snapToGrid w:val="0"/>
        <w:spacing w:beforeLines="50" w:before="156" w:line="360" w:lineRule="auto"/>
        <w:rPr>
          <w:rFonts w:eastAsiaTheme="minorEastAsia"/>
          <w:b/>
          <w:color w:val="000000" w:themeColor="text1"/>
          <w:kern w:val="0"/>
          <w:sz w:val="24"/>
        </w:rPr>
      </w:pPr>
      <w:r w:rsidRPr="00B27DF0">
        <w:rPr>
          <w:rFonts w:eastAsiaTheme="minorEastAsia"/>
          <w:b/>
          <w:color w:val="000000" w:themeColor="text1"/>
          <w:kern w:val="0"/>
          <w:sz w:val="24"/>
        </w:rPr>
        <w:t>6.3</w:t>
      </w:r>
      <w:r w:rsidRPr="00B27DF0">
        <w:rPr>
          <w:rFonts w:eastAsiaTheme="minorEastAsia" w:hint="eastAsia"/>
          <w:b/>
          <w:color w:val="000000" w:themeColor="text1"/>
          <w:kern w:val="0"/>
          <w:sz w:val="24"/>
        </w:rPr>
        <w:t xml:space="preserve"> </w:t>
      </w:r>
      <w:r w:rsidRPr="00B27DF0">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B27DF0" w:rsidTr="00F103C8">
        <w:tc>
          <w:tcPr>
            <w:tcW w:w="9036" w:type="dxa"/>
          </w:tcPr>
          <w:p w:rsidR="00C51B4E" w:rsidRPr="00B27DF0"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B27DF0">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13,733,982.68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13,049,142.86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498,761,556.57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3,111,691.55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6,629,592.44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4,814,247.74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505,865,946.81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11,346,586.67</w:t>
            </w:r>
          </w:p>
        </w:tc>
      </w:tr>
    </w:tbl>
    <w:p w:rsidR="00BC2DD2" w:rsidRDefault="00131C9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B27DF0"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B27DF0">
        <w:rPr>
          <w:rFonts w:eastAsiaTheme="minorEastAsia"/>
          <w:color w:val="000000" w:themeColor="text1"/>
          <w:kern w:val="0"/>
          <w:sz w:val="24"/>
          <w:szCs w:val="24"/>
        </w:rPr>
        <w:t xml:space="preserve">§9 </w:t>
      </w:r>
      <w:r w:rsidR="00F139D5" w:rsidRPr="00B27DF0">
        <w:rPr>
          <w:rFonts w:eastAsiaTheme="minorEastAsia"/>
          <w:color w:val="000000" w:themeColor="text1"/>
          <w:kern w:val="0"/>
          <w:sz w:val="24"/>
          <w:szCs w:val="24"/>
        </w:rPr>
        <w:t xml:space="preserve"> </w:t>
      </w:r>
      <w:r w:rsidRPr="00B27DF0">
        <w:rPr>
          <w:rFonts w:eastAsiaTheme="minorEastAsia" w:hint="eastAsia"/>
          <w:color w:val="000000" w:themeColor="text1"/>
          <w:kern w:val="0"/>
          <w:sz w:val="24"/>
          <w:szCs w:val="24"/>
        </w:rPr>
        <w:t>影响投资者决策的其他重要信息</w:t>
      </w:r>
    </w:p>
    <w:p w:rsidR="00ED0E09" w:rsidRPr="00B27DF0" w:rsidRDefault="00ED0E09" w:rsidP="00ED0E09">
      <w:pPr>
        <w:autoSpaceDE w:val="0"/>
        <w:autoSpaceDN w:val="0"/>
        <w:adjustRightInd w:val="0"/>
        <w:spacing w:line="360" w:lineRule="auto"/>
        <w:jc w:val="left"/>
        <w:rPr>
          <w:rFonts w:ascii="宋体" w:hAnsi="宋体"/>
          <w:b/>
          <w:bCs/>
          <w:color w:val="000000"/>
          <w:kern w:val="0"/>
          <w:sz w:val="24"/>
        </w:rPr>
      </w:pPr>
      <w:r w:rsidRPr="00B27DF0">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C2DD2">
        <w:tc>
          <w:tcPr>
            <w:tcW w:w="992" w:type="dxa"/>
            <w:vMerge w:val="restart"/>
          </w:tcPr>
          <w:p w:rsidR="00BC2DD2" w:rsidRDefault="00BC2DD2"/>
          <w:p w:rsidR="00BC2DD2" w:rsidRDefault="00131C93">
            <w:r>
              <w:rPr>
                <w:rFonts w:ascii="宋体" w:hAnsi="宋体" w:hint="eastAsia"/>
                <w:bCs/>
                <w:color w:val="000000"/>
                <w:kern w:val="0"/>
                <w:szCs w:val="21"/>
              </w:rPr>
              <w:t>机构</w:t>
            </w:r>
          </w:p>
        </w:tc>
        <w:tc>
          <w:tcPr>
            <w:tcW w:w="991" w:type="dxa"/>
            <w:vAlign w:val="center"/>
          </w:tcPr>
          <w:p w:rsidR="00BC2DD2" w:rsidRDefault="00131C93">
            <w:pPr>
              <w:jc w:val="center"/>
            </w:pPr>
            <w:r>
              <w:rPr>
                <w:rFonts w:ascii="宋体" w:hAnsi="宋体" w:hint="eastAsia"/>
                <w:color w:val="000000"/>
                <w:kern w:val="0"/>
                <w:szCs w:val="21"/>
              </w:rPr>
              <w:t>1</w:t>
            </w:r>
          </w:p>
        </w:tc>
        <w:tc>
          <w:tcPr>
            <w:tcW w:w="1843" w:type="dxa"/>
            <w:vAlign w:val="center"/>
          </w:tcPr>
          <w:p w:rsidR="00BC2DD2" w:rsidRDefault="00131C93">
            <w:pPr>
              <w:jc w:val="center"/>
            </w:pPr>
            <w:r>
              <w:rPr>
                <w:rFonts w:ascii="宋体" w:hAnsi="宋体" w:hint="eastAsia"/>
                <w:color w:val="000000"/>
                <w:kern w:val="0"/>
                <w:szCs w:val="21"/>
              </w:rPr>
              <w:t>2019/1/1-2019/3/31</w:t>
            </w:r>
          </w:p>
        </w:tc>
        <w:tc>
          <w:tcPr>
            <w:tcW w:w="851" w:type="dxa"/>
            <w:vAlign w:val="center"/>
          </w:tcPr>
          <w:p w:rsidR="00BC2DD2" w:rsidRDefault="00131C93">
            <w:pPr>
              <w:jc w:val="center"/>
            </w:pPr>
            <w:r>
              <w:rPr>
                <w:rFonts w:ascii="宋体" w:hAnsi="宋体" w:hint="eastAsia"/>
                <w:color w:val="000000"/>
                <w:kern w:val="0"/>
                <w:szCs w:val="21"/>
              </w:rPr>
              <w:t>-</w:t>
            </w:r>
          </w:p>
        </w:tc>
        <w:tc>
          <w:tcPr>
            <w:tcW w:w="850" w:type="dxa"/>
            <w:vAlign w:val="center"/>
          </w:tcPr>
          <w:p w:rsidR="00BC2DD2" w:rsidRDefault="00131C93">
            <w:pPr>
              <w:jc w:val="center"/>
            </w:pPr>
            <w:r>
              <w:rPr>
                <w:rFonts w:ascii="宋体" w:hAnsi="宋体" w:hint="eastAsia"/>
                <w:color w:val="000000"/>
                <w:kern w:val="0"/>
                <w:szCs w:val="21"/>
              </w:rPr>
              <w:t>246,913,580.25</w:t>
            </w:r>
          </w:p>
        </w:tc>
        <w:tc>
          <w:tcPr>
            <w:tcW w:w="1134" w:type="dxa"/>
            <w:vAlign w:val="center"/>
          </w:tcPr>
          <w:p w:rsidR="00BC2DD2" w:rsidRDefault="00131C93">
            <w:pPr>
              <w:jc w:val="center"/>
            </w:pPr>
            <w:r>
              <w:rPr>
                <w:rFonts w:ascii="宋体" w:hAnsi="宋体" w:hint="eastAsia"/>
                <w:color w:val="000000"/>
                <w:kern w:val="0"/>
                <w:szCs w:val="21"/>
              </w:rPr>
              <w:t>-</w:t>
            </w:r>
          </w:p>
        </w:tc>
        <w:tc>
          <w:tcPr>
            <w:tcW w:w="1419" w:type="dxa"/>
            <w:vAlign w:val="center"/>
          </w:tcPr>
          <w:p w:rsidR="00BC2DD2" w:rsidRDefault="00131C93">
            <w:pPr>
              <w:jc w:val="center"/>
            </w:pPr>
            <w:r>
              <w:rPr>
                <w:rFonts w:ascii="宋体" w:hAnsi="宋体" w:hint="eastAsia"/>
                <w:color w:val="000000"/>
                <w:kern w:val="0"/>
                <w:szCs w:val="21"/>
              </w:rPr>
              <w:t>246,913,580.25</w:t>
            </w:r>
          </w:p>
        </w:tc>
        <w:tc>
          <w:tcPr>
            <w:tcW w:w="1130" w:type="dxa"/>
            <w:vAlign w:val="center"/>
          </w:tcPr>
          <w:p w:rsidR="00BC2DD2" w:rsidRDefault="00131C93">
            <w:pPr>
              <w:jc w:val="center"/>
            </w:pPr>
            <w:r>
              <w:rPr>
                <w:rFonts w:ascii="宋体" w:hAnsi="宋体" w:hint="eastAsia"/>
                <w:color w:val="000000"/>
                <w:kern w:val="0"/>
                <w:szCs w:val="21"/>
              </w:rPr>
              <w:t>47.74%</w:t>
            </w:r>
          </w:p>
        </w:tc>
      </w:tr>
      <w:tr w:rsidR="00BC2DD2">
        <w:tc>
          <w:tcPr>
            <w:tcW w:w="992" w:type="dxa"/>
            <w:vMerge/>
          </w:tcPr>
          <w:p w:rsidR="00BC2DD2" w:rsidRDefault="00BC2DD2"/>
        </w:tc>
        <w:tc>
          <w:tcPr>
            <w:tcW w:w="991" w:type="dxa"/>
            <w:vAlign w:val="center"/>
          </w:tcPr>
          <w:p w:rsidR="00BC2DD2" w:rsidRDefault="00131C93">
            <w:pPr>
              <w:jc w:val="center"/>
            </w:pPr>
            <w:r>
              <w:rPr>
                <w:rFonts w:ascii="宋体" w:hAnsi="宋体" w:hint="eastAsia"/>
                <w:color w:val="000000"/>
                <w:kern w:val="0"/>
                <w:szCs w:val="21"/>
              </w:rPr>
              <w:t>2</w:t>
            </w:r>
          </w:p>
        </w:tc>
        <w:tc>
          <w:tcPr>
            <w:tcW w:w="1843" w:type="dxa"/>
            <w:vAlign w:val="center"/>
          </w:tcPr>
          <w:p w:rsidR="00BC2DD2" w:rsidRDefault="00131C93">
            <w:pPr>
              <w:jc w:val="center"/>
            </w:pPr>
            <w:r>
              <w:rPr>
                <w:rFonts w:ascii="宋体" w:hAnsi="宋体" w:hint="eastAsia"/>
                <w:color w:val="000000"/>
                <w:kern w:val="0"/>
                <w:szCs w:val="21"/>
              </w:rPr>
              <w:t>2019/1/1-2019/3/31</w:t>
            </w:r>
          </w:p>
        </w:tc>
        <w:tc>
          <w:tcPr>
            <w:tcW w:w="851" w:type="dxa"/>
            <w:vAlign w:val="center"/>
          </w:tcPr>
          <w:p w:rsidR="00BC2DD2" w:rsidRDefault="00131C93">
            <w:pPr>
              <w:jc w:val="center"/>
            </w:pPr>
            <w:r>
              <w:rPr>
                <w:rFonts w:ascii="宋体" w:hAnsi="宋体" w:hint="eastAsia"/>
                <w:color w:val="000000"/>
                <w:kern w:val="0"/>
                <w:szCs w:val="21"/>
              </w:rPr>
              <w:t>-</w:t>
            </w:r>
          </w:p>
        </w:tc>
        <w:tc>
          <w:tcPr>
            <w:tcW w:w="850" w:type="dxa"/>
            <w:vAlign w:val="center"/>
          </w:tcPr>
          <w:p w:rsidR="00BC2DD2" w:rsidRDefault="00131C93">
            <w:pPr>
              <w:jc w:val="center"/>
            </w:pPr>
            <w:r>
              <w:rPr>
                <w:rFonts w:ascii="宋体" w:hAnsi="宋体" w:hint="eastAsia"/>
                <w:color w:val="000000"/>
                <w:kern w:val="0"/>
                <w:szCs w:val="21"/>
              </w:rPr>
              <w:t>246,913,086.42</w:t>
            </w:r>
          </w:p>
        </w:tc>
        <w:tc>
          <w:tcPr>
            <w:tcW w:w="1134" w:type="dxa"/>
            <w:vAlign w:val="center"/>
          </w:tcPr>
          <w:p w:rsidR="00BC2DD2" w:rsidRDefault="00131C93">
            <w:pPr>
              <w:jc w:val="center"/>
            </w:pPr>
            <w:r>
              <w:rPr>
                <w:rFonts w:ascii="宋体" w:hAnsi="宋体" w:hint="eastAsia"/>
                <w:color w:val="000000"/>
                <w:kern w:val="0"/>
                <w:szCs w:val="21"/>
              </w:rPr>
              <w:t>-</w:t>
            </w:r>
          </w:p>
        </w:tc>
        <w:tc>
          <w:tcPr>
            <w:tcW w:w="1419" w:type="dxa"/>
            <w:vAlign w:val="center"/>
          </w:tcPr>
          <w:p w:rsidR="00BC2DD2" w:rsidRDefault="00131C93">
            <w:pPr>
              <w:jc w:val="center"/>
            </w:pPr>
            <w:r>
              <w:rPr>
                <w:rFonts w:ascii="宋体" w:hAnsi="宋体" w:hint="eastAsia"/>
                <w:color w:val="000000"/>
                <w:kern w:val="0"/>
                <w:szCs w:val="21"/>
              </w:rPr>
              <w:t>246,913,086.42</w:t>
            </w:r>
          </w:p>
        </w:tc>
        <w:tc>
          <w:tcPr>
            <w:tcW w:w="1130" w:type="dxa"/>
            <w:vAlign w:val="center"/>
          </w:tcPr>
          <w:p w:rsidR="00BC2DD2" w:rsidRDefault="00131C93">
            <w:pPr>
              <w:jc w:val="center"/>
            </w:pPr>
            <w:r>
              <w:rPr>
                <w:rFonts w:ascii="宋体" w:hAnsi="宋体" w:hint="eastAsia"/>
                <w:color w:val="000000"/>
                <w:kern w:val="0"/>
                <w:szCs w:val="21"/>
              </w:rPr>
              <w:t>47.74%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C2DD2" w:rsidRDefault="00131C9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268" w:rsidRDefault="00254268">
      <w:r>
        <w:separator/>
      </w:r>
    </w:p>
  </w:endnote>
  <w:endnote w:type="continuationSeparator" w:id="0">
    <w:p w:rsidR="00254268" w:rsidRDefault="0025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5691F">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5691F">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268" w:rsidRDefault="00254268">
      <w:r>
        <w:separator/>
      </w:r>
    </w:p>
  </w:footnote>
  <w:footnote w:type="continuationSeparator" w:id="0">
    <w:p w:rsidR="00254268" w:rsidRDefault="00254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91F"/>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C93"/>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268"/>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2BEF"/>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0B33"/>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27DF0"/>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2DD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6139"/>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D0E8CE1-4C06-45CB-9B68-BF6AB31D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6D28F-3C57-4072-B617-2D7E3587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227</TotalTime>
  <Pages>1</Pages>
  <Words>1182</Words>
  <Characters>6739</Characters>
  <Application>Microsoft Office Word</Application>
  <DocSecurity>0</DocSecurity>
  <Lines>56</Lines>
  <Paragraphs>15</Paragraphs>
  <ScaleCrop>false</ScaleCrop>
  <Company>TRT. Ltd. Co.</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382</cp:revision>
  <cp:lastPrinted>2007-07-19T00:46:00Z</cp:lastPrinted>
  <dcterms:created xsi:type="dcterms:W3CDTF">2014-01-17T06:19:00Z</dcterms:created>
  <dcterms:modified xsi:type="dcterms:W3CDTF">2019-04-17T09:01:00Z</dcterms:modified>
</cp:coreProperties>
</file>