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交银施罗德天益宝货币市场基金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2019年第1季度报告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2019年3月31日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r w:rsidRPr="001E1B20">
        <w:rPr>
          <w:b/>
          <w:color w:val="000000"/>
          <w:sz w:val="24"/>
        </w:rPr>
        <w:t/>
      </w:r>
      <w:proofErr w:type="spell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r w:rsidRPr="001E1B20">
        <w:rPr>
          <w:b/>
          <w:color w:val="000000"/>
          <w:sz w:val="24"/>
        </w:rPr>
        <w:t/>
      </w:r>
      <w:proofErr w:type="spellEnd"/>
      <w:r w:rsidRPr="001E1B20">
        <w:rPr>
          <w:b/>
          <w:color w:val="000000"/>
          <w:sz w:val="24"/>
        </w:rPr>
        <w:t>中国工商银行股份有限公司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r w:rsidR="00EF56FA" w:rsidRPr="001E1B20">
        <w:rPr>
          <w:b/>
          <w:color w:val="000000"/>
          <w:sz w:val="24"/>
        </w:rPr>
        <w:t/>
      </w:r>
      <w:r w:rsidR="00D87D00" w:rsidRPr="001E1B20">
        <w:rPr>
          <w:b/>
          <w:color w:val="000000"/>
          <w:sz w:val="24"/>
        </w:rPr>
        <w:t/>
      </w:r>
      <w:proofErr w:type="spellEnd"/>
      <w:r w:rsidR="00EF56FA" w:rsidRPr="001E1B20">
        <w:rPr>
          <w:b/>
          <w:color w:val="000000"/>
          <w:sz w:val="24"/>
        </w:rPr>
        <w:t>二〇一九年四月二十日</w:t>
      </w:r>
    </w:p>
    <w:p w:rsidP="00841EB4" w:rsidR="00902E3F" w:rsidRDefault="00902E3F" w:rsidRPr="000E4C40">
      <w:pPr>
        <w:pStyle w:val="1"/>
        <w:spacing w:afterLines="100"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基金托管人中国工商银行股份有限公司根据本基金合同规定，于2019年4月19日复核了本报告中的财务指标、净值表现和投资组合报告等内容，保证复核内容不存在虚假记载、误导性陈述或者重大遗漏。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本报告期自2019年1月1日起至3月31日止。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交银天益宝货币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003968</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2016年12月20日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5,983,528,616.98</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中国工商银行股份有限公司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交银天益宝货币A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交银天益宝货币E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003968</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003969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004702DF"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27,529,875.68</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5,955,998,741.30</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2019年1月1日-</w:t>
            </w:r>
            <w:proofErr w:type="spellStart"/>
            <w:r w:rsidRPr="000E4C40">
              <w:rPr>
                <w:color w:val="000000"/>
                <w:sz w:val="24"/>
              </w:rPr>
              <w:t/>
            </w:r>
            <w:proofErr w:type="spellEnd"/>
            <w:r w:rsidRPr="000E4C40">
              <w:rPr>
                <w:color w:val="000000"/>
                <w:sz w:val="24"/>
              </w:rPr>
              <w:t>2019年3月31日)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color w:val="000000"/>
                <w:kern w:val="0"/>
                <w:sz w:val="24"/>
              </w:rPr>
              <w:t/>
            </w:r>
            <w:r w:rsidRPr="000E4C40">
              <w:rPr>
                <w:sz w:val="24"/>
              </w:rPr>
              <w:t/>
            </w:r>
            <w:proofErr w:type="spellEnd"/>
            <w:r w:rsidRPr="000E4C40">
              <w:rPr>
                <w:sz w:val="24"/>
              </w:rPr>
              <w:t>交银天益宝货币A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交银天益宝货币E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321,447.13</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41,585,236.21</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321,447.13</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41,585,236.21</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27,529,875.68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5,955,998,741.30</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r w:rsidRPr="000E4C40">
        <w:rPr>
          <w:color w:val="000000"/>
          <w:sz w:val="24"/>
        </w:rPr>
        <w:t/>
      </w:r>
      <w:proofErr w:type="spellEnd"/>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
      </w:r>
      <w:proofErr w:type="spellEnd"/>
      <w:r w:rsidR="00834F7F" w:rsidRPr="000E4C40">
        <w:rPr>
          <w:rFonts w:ascii="Times New Roman" w:hAnsi="Times New Roman"/>
          <w:b/>
          <w:color w:val="auto"/>
        </w:rPr>
        <w:t>交银天益宝货币A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0.6685%</w:t>
            </w:r>
          </w:p>
        </w:tc>
        <w:tc>
          <w:tcPr>
            <w:vAlign w:val="center"/>
          </w:tcPr>
          <w:p>
            <w:pPr>
              <w:jc w:val="center"/>
            </w:pPr>
            <w:r>
              <w:rPr>
                <w:rFonts w:ascii="Times New Roman" w:hAnsi="Times New Roman"/>
                <w:color w:val="000000"/>
              </w:rPr>
              <w:t>0.0017%</w:t>
            </w:r>
          </w:p>
        </w:tc>
        <w:tc>
          <w:tcPr>
            <w:vAlign w:val="center"/>
          </w:tcPr>
          <w:p>
            <w:pPr>
              <w:jc w:val="center"/>
            </w:pPr>
            <w:r>
              <w:rPr>
                <w:rFonts w:ascii="Times New Roman" w:hAnsi="Times New Roman"/>
                <w:color w:val="000000"/>
              </w:rPr>
              <w:t>0.0863%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0.5822%</w:t>
            </w:r>
          </w:p>
        </w:tc>
        <w:tc>
          <w:tcPr>
            <w:vAlign w:val="center"/>
          </w:tcPr>
          <w:p>
            <w:pPr>
              <w:jc w:val="center"/>
            </w:pPr>
            <w:r>
              <w:rPr>
                <w:rFonts w:ascii="Times New Roman" w:hAnsi="Times New Roman"/>
                <w:color w:val="000000"/>
              </w:rPr>
              <w:t>0.0017%</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交银天益宝货币E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0.7288%</w:t>
            </w:r>
          </w:p>
        </w:tc>
        <w:tc>
          <w:tcPr>
            <w:vAlign w:val="center"/>
          </w:tcPr>
          <w:p>
            <w:pPr>
              <w:jc w:val="center"/>
            </w:pPr>
            <w:r>
              <w:rPr>
                <w:rFonts w:ascii="Times New Roman" w:hAnsi="Times New Roman"/>
                <w:color w:val="000000"/>
              </w:rPr>
              <w:t>0.0017%</w:t>
            </w:r>
          </w:p>
        </w:tc>
        <w:tc>
          <w:tcPr>
            <w:vAlign w:val="center"/>
          </w:tcPr>
          <w:p>
            <w:pPr>
              <w:jc w:val="center"/>
            </w:pPr>
            <w:r>
              <w:rPr>
                <w:rFonts w:ascii="Times New Roman" w:hAnsi="Times New Roman"/>
                <w:color w:val="000000"/>
              </w:rPr>
              <w:t>0.0863%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0.6425%</w:t>
            </w:r>
          </w:p>
        </w:tc>
        <w:tc>
          <w:tcPr>
            <w:vAlign w:val="center"/>
          </w:tcPr>
          <w:p>
            <w:pPr>
              <w:jc w:val="center"/>
            </w:pPr>
            <w:r>
              <w:rPr>
                <w:rFonts w:ascii="Times New Roman" w:hAnsi="Times New Roman"/>
                <w:color w:val="000000"/>
              </w:rPr>
              <w:t>0.0017%</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r w:rsidRPr="000E4C40">
        <w:rPr>
          <w:sz w:val="24"/>
        </w:rPr>
        <w:t/>
      </w:r>
      <w:proofErr w:type="spellEnd"/>
      <w:r w:rsidRPr="000E4C40">
        <w:rPr>
          <w:sz w:val="24"/>
        </w:rPr>
        <w:t>交银施罗德天益宝货币市场基金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2016年12月20日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2019年3月31日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交银天益宝货币A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交银天益宝货币E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裕通纯债债券、交银活期通货币、交银天利宝货币、交银裕隆纯债债券、交银天鑫宝货币、交银天益宝货币、交银境尚收益债券、交银稳鑫短债债券的基金经理</w:t>
            </w:r>
          </w:p>
        </w:tc>
        <w:tc>
          <w:tcPr>
            <w:vAlign w:val="center"/>
          </w:tcPr>
          <w:p>
            <w:pPr>
              <w:jc w:val="center"/>
            </w:pPr>
            <w:r>
              <w:rPr>
                <w:color w:val="000000"/>
                <w:sz w:val="24"/>
              </w:rPr>
              <w:t>2016-12-20</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货币、交银理财60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vAlign w:val="center"/>
          </w:tcPr>
          <w:p>
            <w:pPr>
              <w:jc w:val="center"/>
            </w:pPr>
            <w:r>
              <w:rPr>
                <w:color w:val="000000"/>
                <w:sz w:val="24"/>
              </w:rPr>
              <w:t>2016-12-20</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国内经济的表现逐步向好，部分金融信贷数据企稳，通胀走高的担忧加剧。权益类资产的表现优于债券类资产，货币基金的收益率在短端利率的下行中进一步走低。货币政策方面，美联储在三月的会议纪要偏鸽派,市场进一步预期美联储将开始降息操作。同时中国央行在一月调降存款准备金率100bp，以对冲一季度的MLF到期，继续保持稳健偏宽松的态度。在降准的帮助下，货币市场资金在一季度保持了宽裕的状态，银行间隔夜利率基本在2.0-2.7%之间，七天和隔夜的利差进一步压缩至10-20bps。银行存单市场在三月上行并不明显，AAA评级的三个月存单在2.80-2.95%之间窄幅震荡。报告期内，三个月上海银行间拆借利率下行55bp到2.80%。</w:t>
      </w:r>
    </w:p>
    <w:p>
      <w:pPr>
        <w:spacing w:before="29" w:line="288" w:lineRule="auto"/>
        <w:ind w:firstLine="480" w:firstLineChars="200"/>
        <w:rPr>
          <w:color w:val="000000"/>
          <w:sz w:val="24"/>
        </w:rPr>
      </w:pPr>
      <w:r>
        <w:rPr>
          <w:color w:val="000000"/>
          <w:sz w:val="24"/>
        </w:rPr>
        <w:t>基金操作方面，我们仍旧维持低杠杆、短久期的操作思路，多投资于估值波动较小的银行存款与回购等，组合整体流动性良好。三月末我们视组合流动性和市场情况，增配了高评级的同业存单、同业存款等，维持组合收益水平。</w:t>
      </w:r>
    </w:p>
    <w:p>
      <w:pPr>
        <w:spacing w:before="29" w:line="288" w:lineRule="auto"/>
        <w:ind w:firstLine="480" w:firstLineChars="200"/>
        <w:rPr>
          <w:color w:val="000000"/>
          <w:sz w:val="24"/>
        </w:rPr>
      </w:pPr>
      <w:r>
        <w:rPr>
          <w:color w:val="000000"/>
          <w:sz w:val="24"/>
        </w:rPr>
        <w:t>展望2019年二季度，我们将关注风险资产特别是股市在二季度的表现和其溢出效应，警惕中美贸易谈判可能出现的超预期影响，继续观察银行理财子公司的发展以及类货币型理财产品对行业生态的影响。我们认为，海外货币政策的逐步宽松，将打开国内政策的操作空间，货币政策应该会延续稳健宽松的状态，财政政策将会更加积极。</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r w:rsidRPr="000E4C40">
        <w:rPr>
          <w:color w:val="000000"/>
          <w:sz w:val="24"/>
        </w:rPr>
        <w:t/>
      </w:r>
      <w:proofErr w:type="spellEnd"/>
      <w:r w:rsidRPr="000E4C40">
        <w:rPr>
          <w:color w:val="000000"/>
          <w:sz w:val="24"/>
        </w:rPr>
        <w:t>本基金（各类）份额净值及业绩表现请见“3.1 主要财务指标” 及“3.2.1本报告期基金份额净值增长率及其与同期业绩比较基准收益率的比较”部分披露。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1,862,787,996.24</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28.25</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1,862,787,996.24</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28.25</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1,502,614,373.93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22.79</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3,216,439,096.36</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48.78</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lastRenderedPageBreak/>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12,313,908.00</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0.19</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6,594,155,374.53</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8.85</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608,217,175.89</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10.16</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55</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57</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13</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val="0000"/>
      </w:tblPr>
      <w:tblGrid>
        <w:gridCol w:w="829"/>
        <w:gridCol w:w="3240"/>
        <w:gridCol w:w="2447"/>
        <w:gridCol w:w="2352"/>
      </w:tblGrid>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28.46</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10.16</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33.92</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45.94</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r w:rsidRPr="000E4C40">
              <w:rPr>
                <w:color w:val="000000"/>
                <w:sz w:val="24"/>
              </w:rPr>
              <w:lastRenderedPageBreak/>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0.00</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1.67</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4202"/>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109.99</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10.16</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3D21F4" w:rsidRPr="000E4C40">
            <w:pPr>
              <w:spacing w:before="29" w:line="288" w:lineRule="auto"/>
              <w:ind w:left="17"/>
              <w:jc w:val="center"/>
              <w:rPr>
                <w:color w:val="000000"/>
                <w:sz w:val="24"/>
              </w:rPr>
            </w:pPr>
            <w:r w:rsidRPr="000E4C40">
              <w:rPr>
                <w:rFonts w:hAnsi="宋体"/>
                <w:sz w:val="24"/>
              </w:rPr>
              <w:t>摊余成本（元）</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49,815,456.08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0.83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260,240,502.48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4.35</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260,240,502.48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4.35</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390,003,410.04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6.52</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06711A">
        <w:trPr>
          <w:jc w:val="center"/>
        </w:trPr>
        <w:tc>
          <w:tcPr>
            <w:tcW w:type="dxa" w:w="786"/>
            <w:vAlign w:val="center"/>
          </w:tcPr>
          <w:p w:rsidP="0006711A"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06711A"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1,162,728,627.64</w:t>
            </w:r>
          </w:p>
        </w:tc>
        <w:tc>
          <w:tcPr>
            <w:tcW w:type="dxa" w:w="1889"/>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19.43</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1,862,787,996.24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31.13</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type="dxa" w:w="8868"/>
        <w:jc w:val="center"/>
        <w:tblInd w:type="dxa" w:w="15"/>
        <w:tblCellMar>
          <w:top w:type="dxa" w:w="57"/>
          <w:bottom w:type="dxa" w:w="57"/>
        </w:tblCellMar>
        <w:tblLook w:val="04A0"/>
      </w:tblPr>
      <w:tblGrid>
        <w:gridCol w:w="1203"/>
        <w:gridCol w:w="1258"/>
        <w:gridCol w:w="1437"/>
        <w:gridCol w:w="1334"/>
        <w:gridCol w:w="2244"/>
        <w:gridCol w:w="1811"/>
      </w:tblGrid>
      <w:tr w:rsidR="0044671E" w:rsidRPr="000E4C40" w:rsidTr="00B13F60">
        <w:trPr>
          <w:jc w:val="center"/>
        </w:trPr>
        <w:tc>
          <w:tcPr>
            <w:tcW w:type="dxa" w:w="1187"/>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274"/>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55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23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type="dxa" w:w="2360"/>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type="dxa" w:w="167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111994170</w:t>
            </w:r>
          </w:p>
        </w:tc>
        <w:tc>
          <w:tcPr>
            <w:vAlign w:val="center"/>
          </w:tcPr>
          <w:p>
            <w:pPr>
              <w:jc w:val="center"/>
            </w:pPr>
            <w:r>
              <w:rPr>
                <w:color w:val="000000"/>
                <w:sz w:val="24"/>
              </w:rPr>
              <w:t>19兰州银行CD012</w:t>
            </w:r>
          </w:p>
        </w:tc>
        <w:tc>
          <w:tcPr>
            <w:vAlign w:val="center"/>
          </w:tcPr>
          <w:p>
            <w:pPr>
              <w:jc w:val="right"/>
            </w:pPr>
            <w:r>
              <w:rPr>
                <w:color w:val="000000"/>
                <w:sz w:val="24"/>
              </w:rPr>
              <w:t>2,600,000</w:t>
            </w:r>
          </w:p>
        </w:tc>
        <w:tc>
          <w:tcPr>
            <w:vAlign w:val="center"/>
          </w:tcPr>
          <w:p>
            <w:pPr>
              <w:jc w:val="right"/>
            </w:pPr>
            <w:r>
              <w:rPr>
                <w:color w:val="000000"/>
                <w:sz w:val="24"/>
              </w:rPr>
              <w:t>258,298,832.35</w:t>
            </w:r>
          </w:p>
        </w:tc>
        <w:tc>
          <w:tcPr>
            <w:vAlign w:val="center"/>
          </w:tcPr>
          <w:p>
            <w:pPr>
              <w:jc w:val="right"/>
            </w:pPr>
            <w:r>
              <w:rPr>
                <w:color w:val="000000"/>
                <w:sz w:val="24"/>
              </w:rPr>
              <w:t>4.32</w:t>
            </w:r>
          </w:p>
        </w:tc>
      </w:tr>
      <w:tr>
        <w:tc>
          <w:tcPr>
            <w:vAlign w:val="center"/>
          </w:tcPr>
          <w:p>
            <w:pPr>
              <w:jc w:val="center"/>
            </w:pPr>
            <w:r>
              <w:rPr>
                <w:color w:val="000000"/>
                <w:sz w:val="24"/>
              </w:rPr>
              <w:t>2</w:t>
            </w:r>
          </w:p>
        </w:tc>
        <w:tc>
          <w:tcPr>
            <w:vAlign w:val="center"/>
          </w:tcPr>
          <w:p>
            <w:pPr>
              <w:jc w:val="center"/>
            </w:pPr>
            <w:r>
              <w:rPr>
                <w:color w:val="000000"/>
                <w:sz w:val="24"/>
              </w:rPr>
              <w:t>180207</w:t>
            </w:r>
          </w:p>
        </w:tc>
        <w:tc>
          <w:tcPr>
            <w:vAlign w:val="center"/>
          </w:tcPr>
          <w:p>
            <w:pPr>
              <w:jc w:val="center"/>
            </w:pPr>
            <w:r>
              <w:rPr>
                <w:color w:val="000000"/>
                <w:sz w:val="24"/>
              </w:rPr>
              <w:t>18国开07</w:t>
            </w:r>
          </w:p>
        </w:tc>
        <w:tc>
          <w:tcPr>
            <w:vAlign w:val="center"/>
          </w:tcPr>
          <w:p>
            <w:pPr>
              <w:jc w:val="right"/>
            </w:pPr>
            <w:r>
              <w:rPr>
                <w:color w:val="000000"/>
                <w:sz w:val="24"/>
              </w:rPr>
              <w:t>1,700,000</w:t>
            </w:r>
          </w:p>
        </w:tc>
        <w:tc>
          <w:tcPr>
            <w:vAlign w:val="center"/>
          </w:tcPr>
          <w:p>
            <w:pPr>
              <w:jc w:val="right"/>
            </w:pPr>
            <w:r>
              <w:rPr>
                <w:color w:val="000000"/>
                <w:sz w:val="24"/>
              </w:rPr>
              <w:t>170,092,574.69</w:t>
            </w:r>
          </w:p>
        </w:tc>
        <w:tc>
          <w:tcPr>
            <w:vAlign w:val="center"/>
          </w:tcPr>
          <w:p>
            <w:pPr>
              <w:jc w:val="right"/>
            </w:pPr>
            <w:r>
              <w:rPr>
                <w:color w:val="000000"/>
                <w:sz w:val="24"/>
              </w:rPr>
              <w:t>2.84</w:t>
            </w:r>
          </w:p>
        </w:tc>
      </w:tr>
      <w:tr>
        <w:tc>
          <w:tcPr>
            <w:vAlign w:val="center"/>
          </w:tcPr>
          <w:p>
            <w:pPr>
              <w:jc w:val="center"/>
            </w:pPr>
            <w:r>
              <w:rPr>
                <w:color w:val="000000"/>
                <w:sz w:val="24"/>
              </w:rPr>
              <w:t>3</w:t>
            </w:r>
          </w:p>
        </w:tc>
        <w:tc>
          <w:tcPr>
            <w:vAlign w:val="center"/>
          </w:tcPr>
          <w:p>
            <w:pPr>
              <w:jc w:val="center"/>
            </w:pPr>
            <w:r>
              <w:rPr>
                <w:color w:val="000000"/>
                <w:sz w:val="24"/>
              </w:rPr>
              <w:t>111993639</w:t>
            </w:r>
          </w:p>
        </w:tc>
        <w:tc>
          <w:tcPr>
            <w:vAlign w:val="center"/>
          </w:tcPr>
          <w:p>
            <w:pPr>
              <w:jc w:val="center"/>
            </w:pPr>
            <w:r>
              <w:rPr>
                <w:color w:val="000000"/>
                <w:sz w:val="24"/>
              </w:rPr>
              <w:t>19深圳农商银行CD001</w:t>
            </w:r>
          </w:p>
        </w:tc>
        <w:tc>
          <w:tcPr>
            <w:vAlign w:val="center"/>
          </w:tcPr>
          <w:p>
            <w:pPr>
              <w:jc w:val="right"/>
            </w:pPr>
            <w:r>
              <w:rPr>
                <w:color w:val="000000"/>
                <w:sz w:val="24"/>
              </w:rPr>
              <w:t>1,600,000</w:t>
            </w:r>
          </w:p>
        </w:tc>
        <w:tc>
          <w:tcPr>
            <w:vAlign w:val="center"/>
          </w:tcPr>
          <w:p>
            <w:pPr>
              <w:jc w:val="right"/>
            </w:pPr>
            <w:r>
              <w:rPr>
                <w:color w:val="000000"/>
                <w:sz w:val="24"/>
              </w:rPr>
              <w:t>159,017,743.13</w:t>
            </w:r>
          </w:p>
        </w:tc>
        <w:tc>
          <w:tcPr>
            <w:vAlign w:val="center"/>
          </w:tcPr>
          <w:p>
            <w:pPr>
              <w:jc w:val="right"/>
            </w:pPr>
            <w:r>
              <w:rPr>
                <w:color w:val="000000"/>
                <w:sz w:val="24"/>
              </w:rPr>
              <w:t>2.66</w:t>
            </w:r>
          </w:p>
        </w:tc>
      </w:tr>
      <w:tr>
        <w:tc>
          <w:tcPr>
            <w:vAlign w:val="center"/>
          </w:tcPr>
          <w:p>
            <w:pPr>
              <w:jc w:val="center"/>
            </w:pPr>
            <w:r>
              <w:rPr>
                <w:color w:val="000000"/>
                <w:sz w:val="24"/>
              </w:rPr>
              <w:t>4</w:t>
            </w:r>
          </w:p>
        </w:tc>
        <w:tc>
          <w:tcPr>
            <w:vAlign w:val="center"/>
          </w:tcPr>
          <w:p>
            <w:pPr>
              <w:jc w:val="center"/>
            </w:pPr>
            <w:r>
              <w:rPr>
                <w:color w:val="000000"/>
                <w:sz w:val="24"/>
              </w:rPr>
              <w:t>111994129</w:t>
            </w:r>
          </w:p>
        </w:tc>
        <w:tc>
          <w:tcPr>
            <w:vAlign w:val="center"/>
          </w:tcPr>
          <w:p>
            <w:pPr>
              <w:jc w:val="center"/>
            </w:pPr>
            <w:r>
              <w:rPr>
                <w:color w:val="000000"/>
                <w:sz w:val="24"/>
              </w:rPr>
              <w:t>19北京农商银行CD057</w:t>
            </w:r>
          </w:p>
        </w:tc>
        <w:tc>
          <w:tcPr>
            <w:vAlign w:val="center"/>
          </w:tcPr>
          <w:p>
            <w:pPr>
              <w:jc w:val="right"/>
            </w:pPr>
            <w:r>
              <w:rPr>
                <w:color w:val="000000"/>
                <w:sz w:val="24"/>
              </w:rPr>
              <w:t>1,600,000</w:t>
            </w:r>
          </w:p>
        </w:tc>
        <w:tc>
          <w:tcPr>
            <w:vAlign w:val="center"/>
          </w:tcPr>
          <w:p>
            <w:pPr>
              <w:jc w:val="right"/>
            </w:pPr>
            <w:r>
              <w:rPr>
                <w:color w:val="000000"/>
                <w:sz w:val="24"/>
              </w:rPr>
              <w:t>158,956,116.10</w:t>
            </w:r>
          </w:p>
        </w:tc>
        <w:tc>
          <w:tcPr>
            <w:vAlign w:val="center"/>
          </w:tcPr>
          <w:p>
            <w:pPr>
              <w:jc w:val="right"/>
            </w:pPr>
            <w:r>
              <w:rPr>
                <w:color w:val="000000"/>
                <w:sz w:val="24"/>
              </w:rPr>
              <w:t>2.66</w:t>
            </w:r>
          </w:p>
        </w:tc>
      </w:tr>
      <w:tr>
        <w:tc>
          <w:tcPr>
            <w:vAlign w:val="center"/>
          </w:tcPr>
          <w:p>
            <w:pPr>
              <w:jc w:val="center"/>
            </w:pPr>
            <w:r>
              <w:rPr>
                <w:color w:val="000000"/>
                <w:sz w:val="24"/>
              </w:rPr>
              <w:t>5</w:t>
            </w:r>
          </w:p>
        </w:tc>
        <w:tc>
          <w:tcPr>
            <w:vAlign w:val="center"/>
          </w:tcPr>
          <w:p>
            <w:pPr>
              <w:jc w:val="center"/>
            </w:pPr>
            <w:r>
              <w:rPr>
                <w:color w:val="000000"/>
                <w:sz w:val="24"/>
              </w:rPr>
              <w:t>111921089</w:t>
            </w:r>
          </w:p>
        </w:tc>
        <w:tc>
          <w:tcPr>
            <w:vAlign w:val="center"/>
          </w:tcPr>
          <w:p>
            <w:pPr>
              <w:jc w:val="center"/>
            </w:pPr>
            <w:r>
              <w:rPr>
                <w:color w:val="000000"/>
                <w:sz w:val="24"/>
              </w:rPr>
              <w:t>19渤海银行CD089</w:t>
            </w:r>
          </w:p>
        </w:tc>
        <w:tc>
          <w:tcPr>
            <w:vAlign w:val="center"/>
          </w:tcPr>
          <w:p>
            <w:pPr>
              <w:jc w:val="right"/>
            </w:pPr>
            <w:r>
              <w:rPr>
                <w:color w:val="000000"/>
                <w:sz w:val="24"/>
              </w:rPr>
              <w:t>1,500,000</w:t>
            </w:r>
          </w:p>
        </w:tc>
        <w:tc>
          <w:tcPr>
            <w:vAlign w:val="center"/>
          </w:tcPr>
          <w:p>
            <w:pPr>
              <w:jc w:val="right"/>
            </w:pPr>
            <w:r>
              <w:rPr>
                <w:color w:val="000000"/>
                <w:sz w:val="24"/>
              </w:rPr>
              <w:t>149,067,365.00</w:t>
            </w:r>
          </w:p>
        </w:tc>
        <w:tc>
          <w:tcPr>
            <w:vAlign w:val="center"/>
          </w:tcPr>
          <w:p>
            <w:pPr>
              <w:jc w:val="right"/>
            </w:pPr>
            <w:r>
              <w:rPr>
                <w:color w:val="000000"/>
                <w:sz w:val="24"/>
              </w:rPr>
              <w:t>2.49</w:t>
            </w:r>
          </w:p>
        </w:tc>
      </w:tr>
      <w:tr>
        <w:tc>
          <w:tcPr>
            <w:vAlign w:val="center"/>
          </w:tcPr>
          <w:p>
            <w:pPr>
              <w:jc w:val="center"/>
            </w:pPr>
            <w:r>
              <w:rPr>
                <w:color w:val="000000"/>
                <w:sz w:val="24"/>
              </w:rPr>
              <w:t>6</w:t>
            </w:r>
          </w:p>
        </w:tc>
        <w:tc>
          <w:tcPr>
            <w:vAlign w:val="center"/>
          </w:tcPr>
          <w:p>
            <w:pPr>
              <w:jc w:val="center"/>
            </w:pPr>
            <w:r>
              <w:rPr>
                <w:color w:val="000000"/>
                <w:sz w:val="24"/>
              </w:rPr>
              <w:t>011900395</w:t>
            </w:r>
          </w:p>
        </w:tc>
        <w:tc>
          <w:tcPr>
            <w:vAlign w:val="center"/>
          </w:tcPr>
          <w:p>
            <w:pPr>
              <w:jc w:val="center"/>
            </w:pPr>
            <w:r>
              <w:rPr>
                <w:color w:val="000000"/>
                <w:sz w:val="24"/>
              </w:rPr>
              <w:t>19融和融资SCP002</w:t>
            </w:r>
          </w:p>
        </w:tc>
        <w:tc>
          <w:tcPr>
            <w:vAlign w:val="center"/>
          </w:tcPr>
          <w:p>
            <w:pPr>
              <w:jc w:val="right"/>
            </w:pPr>
            <w:r>
              <w:rPr>
                <w:color w:val="000000"/>
                <w:sz w:val="24"/>
              </w:rPr>
              <w:t>800,000</w:t>
            </w:r>
          </w:p>
        </w:tc>
        <w:tc>
          <w:tcPr>
            <w:vAlign w:val="center"/>
          </w:tcPr>
          <w:p>
            <w:pPr>
              <w:jc w:val="right"/>
            </w:pPr>
            <w:r>
              <w:rPr>
                <w:color w:val="000000"/>
                <w:sz w:val="24"/>
              </w:rPr>
              <w:t>79,983,300.52</w:t>
            </w:r>
          </w:p>
        </w:tc>
        <w:tc>
          <w:tcPr>
            <w:vAlign w:val="center"/>
          </w:tcPr>
          <w:p>
            <w:pPr>
              <w:jc w:val="right"/>
            </w:pPr>
            <w:r>
              <w:rPr>
                <w:color w:val="000000"/>
                <w:sz w:val="24"/>
              </w:rPr>
              <w:t>1.34</w:t>
            </w:r>
          </w:p>
        </w:tc>
      </w:tr>
      <w:tr>
        <w:tc>
          <w:tcPr>
            <w:vAlign w:val="center"/>
          </w:tcPr>
          <w:p>
            <w:pPr>
              <w:jc w:val="center"/>
            </w:pPr>
            <w:r>
              <w:rPr>
                <w:color w:val="000000"/>
                <w:sz w:val="24"/>
              </w:rPr>
              <w:t>7</w:t>
            </w:r>
          </w:p>
        </w:tc>
        <w:tc>
          <w:tcPr>
            <w:vAlign w:val="center"/>
          </w:tcPr>
          <w:p>
            <w:pPr>
              <w:jc w:val="center"/>
            </w:pPr>
            <w:r>
              <w:rPr>
                <w:color w:val="000000"/>
                <w:sz w:val="24"/>
              </w:rPr>
              <w:t>111994274</w:t>
            </w:r>
          </w:p>
        </w:tc>
        <w:tc>
          <w:tcPr>
            <w:vAlign w:val="center"/>
          </w:tcPr>
          <w:p>
            <w:pPr>
              <w:jc w:val="center"/>
            </w:pPr>
            <w:r>
              <w:rPr>
                <w:color w:val="000000"/>
                <w:sz w:val="24"/>
              </w:rPr>
              <w:t>19萧山农商银行CD047</w:t>
            </w:r>
          </w:p>
        </w:tc>
        <w:tc>
          <w:tcPr>
            <w:vAlign w:val="center"/>
          </w:tcPr>
          <w:p>
            <w:pPr>
              <w:jc w:val="right"/>
            </w:pPr>
            <w:r>
              <w:rPr>
                <w:color w:val="000000"/>
                <w:sz w:val="24"/>
              </w:rPr>
              <w:t>800,000</w:t>
            </w:r>
          </w:p>
        </w:tc>
        <w:tc>
          <w:tcPr>
            <w:vAlign w:val="center"/>
          </w:tcPr>
          <w:p>
            <w:pPr>
              <w:jc w:val="right"/>
            </w:pPr>
            <w:r>
              <w:rPr>
                <w:color w:val="000000"/>
                <w:sz w:val="24"/>
              </w:rPr>
              <w:t>79,464,943.64</w:t>
            </w:r>
          </w:p>
        </w:tc>
        <w:tc>
          <w:tcPr>
            <w:vAlign w:val="center"/>
          </w:tcPr>
          <w:p>
            <w:pPr>
              <w:jc w:val="right"/>
            </w:pPr>
            <w:r>
              <w:rPr>
                <w:color w:val="000000"/>
                <w:sz w:val="24"/>
              </w:rPr>
              <w:t>1.33</w:t>
            </w:r>
          </w:p>
        </w:tc>
      </w:tr>
      <w:tr>
        <w:tc>
          <w:tcPr>
            <w:vAlign w:val="center"/>
          </w:tcPr>
          <w:p>
            <w:pPr>
              <w:jc w:val="center"/>
            </w:pPr>
            <w:r>
              <w:rPr>
                <w:color w:val="000000"/>
                <w:sz w:val="24"/>
              </w:rPr>
              <w:t>8</w:t>
            </w:r>
          </w:p>
        </w:tc>
        <w:tc>
          <w:tcPr>
            <w:vAlign w:val="center"/>
          </w:tcPr>
          <w:p>
            <w:pPr>
              <w:jc w:val="center"/>
            </w:pPr>
            <w:r>
              <w:rPr>
                <w:color w:val="000000"/>
                <w:sz w:val="24"/>
              </w:rPr>
              <w:t>071900018</w:t>
            </w:r>
          </w:p>
        </w:tc>
        <w:tc>
          <w:tcPr>
            <w:vAlign w:val="center"/>
          </w:tcPr>
          <w:p>
            <w:pPr>
              <w:jc w:val="center"/>
            </w:pPr>
            <w:r>
              <w:rPr>
                <w:color w:val="000000"/>
                <w:sz w:val="24"/>
              </w:rPr>
              <w:t>19国元证券CP001</w:t>
            </w:r>
          </w:p>
        </w:tc>
        <w:tc>
          <w:tcPr>
            <w:vAlign w:val="center"/>
          </w:tcPr>
          <w:p>
            <w:pPr>
              <w:jc w:val="right"/>
            </w:pPr>
            <w:r>
              <w:rPr>
                <w:color w:val="000000"/>
                <w:sz w:val="24"/>
              </w:rPr>
              <w:t>600,000</w:t>
            </w:r>
          </w:p>
        </w:tc>
        <w:tc>
          <w:tcPr>
            <w:vAlign w:val="center"/>
          </w:tcPr>
          <w:p>
            <w:pPr>
              <w:jc w:val="right"/>
            </w:pPr>
            <w:r>
              <w:rPr>
                <w:color w:val="000000"/>
                <w:sz w:val="24"/>
              </w:rPr>
              <w:t>60,001,082.58</w:t>
            </w:r>
          </w:p>
        </w:tc>
        <w:tc>
          <w:tcPr>
            <w:vAlign w:val="center"/>
          </w:tcPr>
          <w:p>
            <w:pPr>
              <w:jc w:val="right"/>
            </w:pPr>
            <w:r>
              <w:rPr>
                <w:color w:val="000000"/>
                <w:sz w:val="24"/>
              </w:rPr>
              <w:t>1.00</w:t>
            </w:r>
          </w:p>
        </w:tc>
      </w:tr>
      <w:tr>
        <w:tc>
          <w:tcPr>
            <w:vAlign w:val="center"/>
          </w:tcPr>
          <w:p>
            <w:pPr>
              <w:jc w:val="center"/>
            </w:pPr>
            <w:r>
              <w:rPr>
                <w:color w:val="000000"/>
                <w:sz w:val="24"/>
              </w:rPr>
              <w:t>9</w:t>
            </w:r>
          </w:p>
        </w:tc>
        <w:tc>
          <w:tcPr>
            <w:vAlign w:val="center"/>
          </w:tcPr>
          <w:p>
            <w:pPr>
              <w:jc w:val="center"/>
            </w:pPr>
            <w:r>
              <w:rPr>
                <w:color w:val="000000"/>
                <w:sz w:val="24"/>
              </w:rPr>
              <w:t>111898557</w:t>
            </w:r>
          </w:p>
        </w:tc>
        <w:tc>
          <w:tcPr>
            <w:vAlign w:val="center"/>
          </w:tcPr>
          <w:p>
            <w:pPr>
              <w:jc w:val="center"/>
            </w:pPr>
            <w:r>
              <w:rPr>
                <w:color w:val="000000"/>
                <w:sz w:val="24"/>
              </w:rPr>
              <w:t>18西安银行CD038</w:t>
            </w:r>
          </w:p>
        </w:tc>
        <w:tc>
          <w:tcPr>
            <w:vAlign w:val="center"/>
          </w:tcPr>
          <w:p>
            <w:pPr>
              <w:jc w:val="right"/>
            </w:pPr>
            <w:r>
              <w:rPr>
                <w:color w:val="000000"/>
                <w:sz w:val="24"/>
              </w:rPr>
              <w:t>600,000</w:t>
            </w:r>
          </w:p>
        </w:tc>
        <w:tc>
          <w:tcPr>
            <w:vAlign w:val="center"/>
          </w:tcPr>
          <w:p>
            <w:pPr>
              <w:jc w:val="right"/>
            </w:pPr>
            <w:r>
              <w:rPr>
                <w:color w:val="000000"/>
                <w:sz w:val="24"/>
              </w:rPr>
              <w:t>59,706,642.14</w:t>
            </w:r>
          </w:p>
        </w:tc>
        <w:tc>
          <w:tcPr>
            <w:vAlign w:val="center"/>
          </w:tcPr>
          <w:p>
            <w:pPr>
              <w:jc w:val="right"/>
            </w:pPr>
            <w:r>
              <w:rPr>
                <w:color w:val="000000"/>
                <w:sz w:val="24"/>
              </w:rPr>
              <w:t>1.00</w:t>
            </w:r>
          </w:p>
        </w:tc>
      </w:tr>
      <w:tr>
        <w:tc>
          <w:tcPr>
            <w:vAlign w:val="center"/>
          </w:tcPr>
          <w:p>
            <w:pPr>
              <w:jc w:val="center"/>
            </w:pPr>
            <w:r>
              <w:rPr>
                <w:color w:val="000000"/>
                <w:sz w:val="24"/>
              </w:rPr>
              <w:t>10</w:t>
            </w:r>
          </w:p>
        </w:tc>
        <w:tc>
          <w:tcPr>
            <w:vAlign w:val="center"/>
          </w:tcPr>
          <w:p>
            <w:pPr>
              <w:jc w:val="center"/>
            </w:pPr>
            <w:r>
              <w:rPr>
                <w:color w:val="000000"/>
                <w:sz w:val="24"/>
              </w:rPr>
              <w:t>111899542</w:t>
            </w:r>
          </w:p>
        </w:tc>
        <w:tc>
          <w:tcPr>
            <w:vAlign w:val="center"/>
          </w:tcPr>
          <w:p>
            <w:pPr>
              <w:jc w:val="center"/>
            </w:pPr>
            <w:r>
              <w:rPr>
                <w:color w:val="000000"/>
                <w:sz w:val="24"/>
              </w:rPr>
              <w:t>18哈尔滨银行CD107</w:t>
            </w:r>
          </w:p>
        </w:tc>
        <w:tc>
          <w:tcPr>
            <w:vAlign w:val="center"/>
          </w:tcPr>
          <w:p>
            <w:pPr>
              <w:jc w:val="right"/>
            </w:pPr>
            <w:r>
              <w:rPr>
                <w:color w:val="000000"/>
                <w:sz w:val="24"/>
              </w:rPr>
              <w:t>600,000</w:t>
            </w:r>
          </w:p>
        </w:tc>
        <w:tc>
          <w:tcPr>
            <w:vAlign w:val="center"/>
          </w:tcPr>
          <w:p>
            <w:pPr>
              <w:jc w:val="right"/>
            </w:pPr>
            <w:r>
              <w:rPr>
                <w:color w:val="000000"/>
                <w:sz w:val="24"/>
              </w:rPr>
              <w:t>59,647,916.98</w:t>
            </w:r>
          </w:p>
        </w:tc>
        <w:tc>
          <w:tcPr>
            <w:vAlign w:val="center"/>
          </w:tcPr>
          <w:p>
            <w:pPr>
              <w:jc w:val="right"/>
            </w:pPr>
            <w:r>
              <w:rPr>
                <w:color w:val="000000"/>
                <w:sz w:val="24"/>
              </w:rPr>
              <w:t>1.00</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0.0682%</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0.0013%</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0.0369%</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281564" w:rsidR="00902E3F" w:rsidRDefault="00835BDD"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本基金本报告期末未持有资产支持证券。</w:t>
      </w:r>
    </w:p>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0E4C40">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P="00930856" w:rsidR="00D40363" w:rsidRDefault="00D40363" w:rsidRPr="000E4C40">
      <w:pPr>
        <w:spacing w:before="29" w:line="288" w:lineRule="auto"/>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0E4C40">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type="dxa" w:w="8868"/>
        <w:jc w:val="center"/>
        <w:tblInd w:type="dxa" w:w="17"/>
        <w:tblLayout w:type="fixed"/>
        <w:tblLook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12,313,908.00</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12,313,908.00</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0E4C40">
      <w:pPr>
        <w:spacing w:before="29" w:line="288" w:lineRule="auto"/>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2304D5">
        <w:rPr>
          <w:color w:val="000000"/>
          <w:kern w:val="0"/>
          <w:sz w:val="24"/>
        </w:rPr>
        <w:t>5.9.4</w:t>
      </w:r>
      <w:r w:rsidR="00DE7C60" w:rsidRPr="000E4C40">
        <w:rPr>
          <w:rFonts w:hAnsi="宋体"/>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r w:rsidR="000C469F" w:rsidRPr="000E4C40">
        <w:rPr>
          <w:color w:val="000000"/>
          <w:sz w:val="24"/>
        </w:rPr>
        <w:t/>
      </w:r>
      <w:proofErr w:type="spell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color w:val="000000"/>
                <w:kern w:val="0"/>
                <w:sz w:val="24"/>
              </w:rPr>
              <w:t/>
            </w:r>
            <w:r w:rsidRPr="000E4C40">
              <w:rPr>
                <w:sz w:val="24"/>
              </w:rPr>
              <w:t/>
            </w:r>
            <w:r w:rsidR="00327FB0" w:rsidRPr="000E4C40">
              <w:rPr>
                <w:sz w:val="24"/>
              </w:rPr>
              <w:t/>
            </w:r>
            <w:r w:rsidRPr="000E4C40">
              <w:rPr>
                <w:sz w:val="24"/>
              </w:rPr>
              <w:t/>
            </w:r>
            <w:proofErr w:type="spellEnd"/>
            <w:r w:rsidRPr="000E4C40">
              <w:rPr>
                <w:sz w:val="24"/>
              </w:rPr>
              <w:t>交银天益宝货币A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00327FB0" w:rsidRPr="000E4C40">
              <w:rPr>
                <w:sz w:val="24"/>
              </w:rPr>
              <w:t/>
            </w:r>
            <w:r w:rsidR="000F78F3">
              <w:rPr>
                <w:sz w:val="24"/>
              </w:rPr>
              <w:t/>
            </w:r>
            <w:r w:rsidR="000F78F3">
              <w:rPr>
                <w:rFonts w:hint="eastAsia"/>
                <w:sz w:val="24"/>
              </w:rPr>
              <w:t/>
            </w:r>
            <w:r w:rsidRPr="000E4C40">
              <w:rPr>
                <w:sz w:val="24"/>
              </w:rPr>
              <w:t>交银天益宝货币E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54,341,188.25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4,780,268,343.28</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Pr="000E4C40">
              <w:rPr>
                <w:color w:val="000000"/>
                <w:kern w:val="0"/>
                <w:sz w:val="24"/>
              </w:rPr>
              <w:lastRenderedPageBreak/>
              <w:t/>
            </w:r>
            <w:r w:rsidR="00327FB0" w:rsidRPr="000E4C40">
              <w:rPr>
                <w:color w:val="000000"/>
                <w:kern w:val="0"/>
                <w:sz w:val="24"/>
              </w:rPr>
              <w:t/>
            </w:r>
            <w:r w:rsidRPr="000E4C40">
              <w:rPr>
                <w:color w:val="000000"/>
                <w:kern w:val="0"/>
                <w:sz w:val="24"/>
              </w:rPr>
              <w:t/>
            </w:r>
            <w:proofErr w:type="spellEnd"/>
            <w:r w:rsidRPr="000E4C40">
              <w:rPr>
                <w:color w:val="000000"/>
                <w:kern w:val="0"/>
                <w:sz w:val="24"/>
              </w:rPr>
              <w:t>3,743,523.59</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lastRenderedPageBreak/>
              <w:t/>
            </w:r>
            <w:r w:rsidRPr="000E4C40">
              <w:rPr>
                <w:color w:val="000000"/>
                <w:kern w:val="0"/>
                <w:sz w:val="24"/>
              </w:rPr>
              <w:lastRenderedPageBreak/>
              <w:t/>
            </w:r>
            <w:r w:rsidR="00327FB0" w:rsidRPr="000E4C40">
              <w:rPr>
                <w:color w:val="000000"/>
                <w:kern w:val="0"/>
                <w:sz w:val="24"/>
              </w:rPr>
              <w:t/>
            </w:r>
            <w:r w:rsidR="000F78F3">
              <w:rPr>
                <w:rFonts w:hint="eastAsia"/>
                <w:color w:val="000000"/>
                <w:kern w:val="0"/>
                <w:sz w:val="24"/>
              </w:rPr>
              <w:t/>
            </w:r>
            <w:r w:rsidRPr="000E4C40">
              <w:rPr>
                <w:color w:val="000000"/>
                <w:kern w:val="0"/>
                <w:sz w:val="24"/>
              </w:rPr>
              <w:t>4,532,319,356.29</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30,554,836.16</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3,356,588,958.27</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27,529,875.68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5,955,998,741.30</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r w:rsidR="00AA5B03" w:rsidRPr="000E4C40">
        <w:rPr>
          <w:color w:val="000000"/>
          <w:sz w:val="24"/>
        </w:rPr>
        <w:t/>
      </w:r>
      <w:proofErr w:type="spellEnd"/>
      <w:r w:rsidR="00AA5B03" w:rsidRPr="000E4C40">
        <w:rPr>
          <w:color w:val="000000"/>
          <w:sz w:val="24"/>
        </w:rPr>
        <w:t>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Lines="100"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本基金管理人本报告期内未进行本基金的申购、赎回、红利再投等；本基金管理人本报告期末持有本基金份额0.00份，占本基金期末总份额的0.00%。</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Lines="100"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
      </w:r>
      <w:proofErr w:type="spellStart"/>
      <w:r>
        <w:rPr>
          <w:rFonts w:asciiTheme="minorEastAsia" w:cs="Arial" w:eastAsiaTheme="minorEastAsia" w:hAnsiTheme="minorEastAsia" w:hint="eastAsia"/>
          <w:color w:themeColor="text1" w:val="000000"/>
          <w:kern w:val="0"/>
          <w:sz w:val="24"/>
          <w:szCs w:val="24"/>
        </w:rPr>
        <w:t/>
      </w:r>
      <w:proofErr w:type="spellEnd"/>
      <w:r>
        <w:rPr>
          <w:rFonts w:asciiTheme="minorEastAsia" w:cs="Arial" w:eastAsiaTheme="minorEastAsia" w:hAnsiTheme="minorEastAsia" w:hint="eastAsia"/>
          <w:color w:themeColor="text1" w:val="000000"/>
          <w:kern w:val="0"/>
          <w:sz w:val="24"/>
          <w:szCs w:val="24"/>
        </w:rPr>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hint="eastAsia"/>
                <w:color w:val="000000"/>
                <w:kern w:val="0"/>
                <w:szCs w:val="21"/>
              </w:rPr>
              <w:lastRenderedPageBreak/>
              <w:t/>
            </w:r>
            <w:proofErr w:type="spellStart"/>
            <w:r>
              <w:rPr>
                <w:rFonts w:ascii="宋体" w:hAnsi="宋体" w:hint="eastAsia"/>
                <w:color w:val="000000"/>
                <w:kern w:val="0"/>
                <w:szCs w:val="21"/>
              </w:rPr>
              <w:t/>
            </w:r>
            <w:proofErr w:type="spellEnd"/>
            <w:r>
              <w:rPr>
                <w:rFonts w:ascii="宋体" w:hAnsi="宋体" w:hint="eastAsia"/>
                <w:color w:val="000000"/>
                <w:kern w:val="0"/>
                <w:szCs w:val="21"/>
              </w:rPr>
              <w:t/>
            </w:r>
            <w:proofErr w:type="spellStart"/>
            <w:r>
              <w:rPr>
                <w:rFonts w:ascii="宋体" w:hAnsi="宋体" w:hint="eastAsia"/>
                <w:color w:val="000000"/>
                <w:kern w:val="0"/>
                <w:szCs w:val="21"/>
              </w:rPr>
              <w:t/>
            </w:r>
            <w:proofErr w:type="spellEnd"/>
            <w:r>
              <w:rPr>
                <w:rFonts w:ascii="宋体" w:hAnsi="宋体" w:hint="eastAsia"/>
                <w:color w:val="000000"/>
                <w:kern w:val="0"/>
                <w:szCs w:val="21"/>
              </w:rPr>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w:t>
            </w:r>
            <w:r>
              <w:rPr>
                <w:rFonts w:ascii="宋体" w:hAnsi="宋体" w:hint="eastAsia"/>
                <w:color w:val="000000"/>
                <w:kern w:val="0"/>
                <w:szCs w:val="21"/>
              </w:rPr>
              <w:lastRenderedPageBreak/>
              <w:t>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期初份</w:t>
            </w:r>
            <w:r>
              <w:rPr>
                <w:rFonts w:ascii="宋体" w:hAnsi="宋体" w:hint="eastAsia"/>
                <w:color w:val="000000"/>
                <w:kern w:val="0"/>
                <w:szCs w:val="21"/>
              </w:rPr>
              <w:lastRenderedPageBreak/>
              <w:t>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申购份</w:t>
            </w:r>
            <w:r>
              <w:rPr>
                <w:rFonts w:ascii="宋体" w:hAnsi="宋体" w:hint="eastAsia"/>
                <w:color w:val="000000"/>
                <w:kern w:val="0"/>
                <w:szCs w:val="21"/>
              </w:rPr>
              <w:lastRenderedPageBreak/>
              <w:t>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2019/1/1-2019/3/31</w:t>
            </w:r>
          </w:p>
        </w:tc>
        <w:tc>
          <w:tcPr>
            <w:vAlign w:val="center"/>
          </w:tcPr>
          <w:p>
            <w:pPr>
              <w:jc w:val="center"/>
            </w:pPr>
            <w:r>
              <w:rPr>
                <w:rFonts w:ascii="宋体" w:hAnsi="宋体" w:hint="eastAsia"/>
                <w:color w:val="000000"/>
                <w:kern w:val="0"/>
                <w:szCs w:val="21"/>
              </w:rPr>
              <w:t>1,373,362,626.27</w:t>
            </w:r>
          </w:p>
        </w:tc>
        <w:tc>
          <w:tcPr>
            <w:vAlign w:val="center"/>
          </w:tcPr>
          <w:p>
            <w:pPr>
              <w:jc w:val="center"/>
            </w:pPr>
            <w:r>
              <w:rPr>
                <w:rFonts w:ascii="宋体" w:hAnsi="宋体" w:hint="eastAsia"/>
                <w:color w:val="000000"/>
                <w:kern w:val="0"/>
                <w:szCs w:val="21"/>
              </w:rPr>
              <w:t>10,259,883.71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1,383,622,509.98</w:t>
            </w:r>
          </w:p>
        </w:tc>
        <w:tc>
          <w:tcPr>
            <w:vAlign w:val="center"/>
          </w:tcPr>
          <w:p>
            <w:pPr>
              <w:jc w:val="center"/>
            </w:pPr>
            <w:r>
              <w:rPr>
                <w:rFonts w:ascii="宋体" w:hAnsi="宋体" w:hint="eastAsia"/>
                <w:color w:val="000000"/>
                <w:kern w:val="0"/>
                <w:szCs w:val="21"/>
              </w:rPr>
              <w:t>23.12%</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2019/1/1-2019/3/31</w:t>
            </w:r>
          </w:p>
        </w:tc>
        <w:tc>
          <w:tcPr>
            <w:vAlign w:val="center"/>
          </w:tcPr>
          <w:p>
            <w:pPr>
              <w:jc w:val="center"/>
            </w:pPr>
            <w:r>
              <w:rPr>
                <w:rFonts w:ascii="宋体" w:hAnsi="宋体" w:hint="eastAsia"/>
                <w:color w:val="000000"/>
                <w:kern w:val="0"/>
                <w:szCs w:val="21"/>
              </w:rPr>
              <w:t>1,111,040,730.34</w:t>
            </w:r>
          </w:p>
        </w:tc>
        <w:tc>
          <w:tcPr>
            <w:vAlign w:val="center"/>
          </w:tcPr>
          <w:p>
            <w:pPr>
              <w:jc w:val="center"/>
            </w:pPr>
            <w:r>
              <w:rPr>
                <w:rFonts w:ascii="宋体" w:hAnsi="宋体" w:hint="eastAsia"/>
                <w:color w:val="000000"/>
                <w:kern w:val="0"/>
                <w:szCs w:val="21"/>
              </w:rPr>
              <w:t>7,716,419.75</w:t>
            </w:r>
          </w:p>
        </w:tc>
        <w:tc>
          <w:tcPr>
            <w:vAlign w:val="center"/>
          </w:tcPr>
          <w:p>
            <w:pPr>
              <w:jc w:val="center"/>
            </w:pPr>
            <w:r>
              <w:rPr>
                <w:rFonts w:ascii="宋体" w:hAnsi="宋体" w:hint="eastAsia"/>
                <w:color w:val="000000"/>
                <w:kern w:val="0"/>
                <w:szCs w:val="21"/>
              </w:rPr>
              <w:t>800,000,000.00</w:t>
            </w:r>
          </w:p>
        </w:tc>
        <w:tc>
          <w:tcPr>
            <w:vAlign w:val="center"/>
          </w:tcPr>
          <w:p>
            <w:pPr>
              <w:jc w:val="center"/>
            </w:pPr>
            <w:r>
              <w:rPr>
                <w:rFonts w:ascii="宋体" w:hAnsi="宋体" w:hint="eastAsia"/>
                <w:color w:val="000000"/>
                <w:kern w:val="0"/>
                <w:szCs w:val="21"/>
              </w:rPr>
              <w:t>318,757,150.09</w:t>
            </w:r>
          </w:p>
        </w:tc>
        <w:tc>
          <w:tcPr>
            <w:vAlign w:val="center"/>
          </w:tcPr>
          <w:p>
            <w:pPr>
              <w:jc w:val="center"/>
            </w:pPr>
            <w:r>
              <w:rPr>
                <w:rFonts w:ascii="宋体" w:hAnsi="宋体" w:hint="eastAsia"/>
                <w:color w:val="000000"/>
                <w:kern w:val="0"/>
                <w:szCs w:val="21"/>
              </w:rPr>
              <w:t>5.33%</w:t>
            </w:r>
          </w:p>
        </w:tc>
      </w:tr>
      <w:tr>
        <w:tc>
          <w:tcPr>
            <w:vMerge/>
          </w:tcPr>
          <w:p/>
        </w:tc>
        <w:tc>
          <w:tcPr>
            <w:vAlign w:val="center"/>
          </w:tcPr>
          <w:p>
            <w:pPr>
              <w:jc w:val="center"/>
            </w:pPr>
            <w:r>
              <w:rPr>
                <w:rFonts w:ascii="宋体" w:hAnsi="宋体" w:hint="eastAsia"/>
                <w:color w:val="000000"/>
                <w:kern w:val="0"/>
                <w:szCs w:val="21"/>
              </w:rPr>
              <w:t>3</w:t>
            </w:r>
          </w:p>
        </w:tc>
        <w:tc>
          <w:tcPr>
            <w:vAlign w:val="center"/>
          </w:tcPr>
          <w:p>
            <w:pPr>
              <w:jc w:val="center"/>
            </w:pPr>
            <w:r>
              <w:rPr>
                <w:rFonts w:ascii="宋体" w:hAnsi="宋体" w:hint="eastAsia"/>
                <w:color w:val="000000"/>
                <w:kern w:val="0"/>
                <w:szCs w:val="21"/>
              </w:rPr>
              <w:t>2019/1/1-2019/3/31</w:t>
            </w:r>
          </w:p>
        </w:tc>
        <w:tc>
          <w:tcPr>
            <w:vAlign w:val="center"/>
          </w:tcPr>
          <w:p>
            <w:pPr>
              <w:jc w:val="center"/>
            </w:pPr>
            <w:r>
              <w:rPr>
                <w:rFonts w:ascii="宋体" w:hAnsi="宋体" w:hint="eastAsia"/>
                <w:color w:val="000000"/>
                <w:kern w:val="0"/>
                <w:szCs w:val="21"/>
              </w:rPr>
              <w:t>1,002,530,858.57</w:t>
            </w:r>
          </w:p>
        </w:tc>
        <w:tc>
          <w:tcPr>
            <w:vAlign w:val="center"/>
          </w:tcPr>
          <w:p>
            <w:pPr>
              <w:jc w:val="center"/>
            </w:pPr>
            <w:r>
              <w:rPr>
                <w:rFonts w:ascii="宋体" w:hAnsi="宋体" w:hint="eastAsia"/>
                <w:color w:val="000000"/>
                <w:kern w:val="0"/>
                <w:szCs w:val="21"/>
              </w:rPr>
              <w:t>7,488,021.05</w:t>
            </w:r>
          </w:p>
        </w:tc>
        <w:tc>
          <w:tcPr>
            <w:vAlign w:val="center"/>
          </w:tcPr>
          <w:p>
            <w:pPr>
              <w:jc w:val="center"/>
            </w:pPr>
            <w:r>
              <w:rPr>
                <w:rFonts w:ascii="宋体" w:hAnsi="宋体" w:hint="eastAsia"/>
                <w:color w:val="000000"/>
                <w:kern w:val="0"/>
                <w:szCs w:val="21"/>
              </w:rPr>
              <w:t>9,800,000.00</w:t>
            </w:r>
          </w:p>
        </w:tc>
        <w:tc>
          <w:tcPr>
            <w:vAlign w:val="center"/>
          </w:tcPr>
          <w:p>
            <w:pPr>
              <w:jc w:val="center"/>
            </w:pPr>
            <w:r>
              <w:rPr>
                <w:rFonts w:ascii="宋体" w:hAnsi="宋体" w:hint="eastAsia"/>
                <w:color w:val="000000"/>
                <w:kern w:val="0"/>
                <w:szCs w:val="21"/>
              </w:rPr>
              <w:t>1,000,218,879.62</w:t>
            </w:r>
          </w:p>
        </w:tc>
        <w:tc>
          <w:tcPr>
            <w:vAlign w:val="center"/>
          </w:tcPr>
          <w:p>
            <w:pPr>
              <w:jc w:val="center"/>
            </w:pPr>
            <w:r>
              <w:rPr>
                <w:rFonts w:ascii="宋体" w:hAnsi="宋体" w:hint="eastAsia"/>
                <w:color w:val="000000"/>
                <w:kern w:val="0"/>
                <w:szCs w:val="21"/>
              </w:rPr>
              <w:t>16.72%</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roofErr w:type="spellStart"/>
            <w:r>
              <w:rPr>
                <w:rFonts w:ascii="宋体" w:hAnsi="宋体" w:hint="eastAsia"/>
                <w:kern w:val="0"/>
                <w:szCs w:val="21"/>
              </w:rPr>
              <w:t/>
            </w:r>
            <w:proofErr w:type="spellEnd"/>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Lines="100"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1、中国证监会准予交银施罗德天益宝货币市场基金募集注册的文件； </w:t>
      </w:r>
    </w:p>
    <w:p>
      <w:pPr>
        <w:spacing w:before="29" w:line="288" w:lineRule="auto"/>
        <w:ind w:firstLine="480" w:firstLineChars="200"/>
        <w:rPr>
          <w:color w:val="000000"/>
          <w:sz w:val="24"/>
        </w:rPr>
      </w:pPr>
      <w:r>
        <w:rPr>
          <w:color w:val="000000"/>
          <w:sz w:val="24"/>
        </w:rPr>
        <w:t xml:space="preserve">2、《交银施罗德天益宝货币市场基金基金合同》； </w:t>
      </w:r>
    </w:p>
    <w:p>
      <w:pPr>
        <w:spacing w:before="29" w:line="288" w:lineRule="auto"/>
        <w:ind w:firstLine="480" w:firstLineChars="200"/>
        <w:rPr>
          <w:color w:val="000000"/>
          <w:sz w:val="24"/>
        </w:rPr>
      </w:pPr>
      <w:r>
        <w:rPr>
          <w:color w:val="000000"/>
          <w:sz w:val="24"/>
        </w:rPr>
        <w:t xml:space="preserve">3、《交银施罗德天益宝货币市场基金招募说明书》； </w:t>
      </w:r>
    </w:p>
    <w:p>
      <w:pPr>
        <w:spacing w:before="29" w:line="288" w:lineRule="auto"/>
        <w:ind w:firstLine="480" w:firstLineChars="200"/>
        <w:rPr>
          <w:color w:val="000000"/>
          <w:sz w:val="24"/>
        </w:rPr>
      </w:pPr>
      <w:r>
        <w:rPr>
          <w:color w:val="000000"/>
          <w:sz w:val="24"/>
        </w:rPr>
        <w:t xml:space="preserve">4、《交银施罗德天益宝货币市场基金托管协议》； </w:t>
      </w:r>
    </w:p>
    <w:p>
      <w:pPr>
        <w:spacing w:before="29" w:line="288" w:lineRule="auto"/>
        <w:ind w:firstLine="480" w:firstLineChars="200"/>
        <w:rPr>
          <w:color w:val="000000"/>
          <w:sz w:val="24"/>
        </w:rPr>
      </w:pPr>
      <w:r>
        <w:rPr>
          <w:color w:val="000000"/>
          <w:sz w:val="24"/>
        </w:rPr>
        <w:t xml:space="preserve">5、关于申请募集注册交银施罗德天益宝货币市场基金的法律意见书；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8、报告期内交银施罗德天益宝货币市场基金在指定报刊上各项公告的原稿。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1D0DB0" w:rsidR="00D1705E" w:rsidRDefault="00D1705E" w:rsidRPr="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841EB4">
      <w:rPr>
        <w:noProof/>
        <w:kern w:val="0"/>
        <w:szCs w:val="21"/>
      </w:rPr>
      <w:t>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841EB4">
      <w:rPr>
        <w:noProof/>
        <w:kern w:val="0"/>
        <w:szCs w:val="21"/>
      </w:rPr>
      <w:t>23</w:t>
    </w:r>
    <w:r w:rsidR="00457CD3">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6245FF" w:rsidRDefault="006245FF">
      <w:r>
        <w:separator/>
      </w:r>
    </w:p>
  </w:footnote>
  <w:footnote w:id="0" w:type="continuationSeparator">
    <w:p w:rsidR="006245FF" w:rsidRDefault="006245FF">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8379E2" w:rsidR="00D1705E" w:rsidRDefault="00841EB4" w:rsidRPr="00841EB4">
    <w:pPr>
      <w:pStyle w:val="a4"/>
      <w:pBdr>
        <w:bottom w:color="auto" w:space="0" w:sz="6" w:val="single"/>
      </w:pBdr>
      <w:jc w:val="right"/>
      <w:rPr>
        <w:sz w:val="24"/>
        <w:szCs w:val="24"/>
      </w:rPr>
    </w:pPr>
    <w:r w:rsidRPr="003E676C">
      <w:rPr>
        <w:sz w:val="24"/>
        <w:szCs w:val="24"/>
      </w:rPr>
      <w:t/>
    </w:r>
    <w:proofErr w:type="spellStart"/>
    <w:r w:rsidRPr="003E676C">
      <w:rPr>
        <w:sz w:val="24"/>
        <w:szCs w:val="24"/>
      </w:rPr>
      <w:t/>
    </w:r>
    <w:proofErr w:type="spellEnd"/>
    <w:r w:rsidRPr="003E676C">
      <w:rPr>
        <w:sz w:val="24"/>
        <w:szCs w:val="24"/>
      </w:rPr>
      <w:t>交银施罗德天益宝货币市场基金</w:t>
    </w:r>
    <w:proofErr w:type="spellStart"/>
    <w:r w:rsidRPr="003E676C">
      <w:rPr>
        <w:sz w:val="24"/>
        <w:szCs w:val="24"/>
      </w:rPr>
      <w:t/>
    </w:r>
    <w:proofErr w:type="spellEnd"/>
    <w:r w:rsidRPr="003E676C">
      <w:rPr>
        <w:sz w:val="24"/>
        <w:szCs w:val="24"/>
      </w:rPr>
      <w:t>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bordersDoNotSurroundHeader/>
  <w:bordersDoNotSurroundFooter/>
  <w:proofState w:spelling="clean"/>
  <w:stylePaneFormatFilter w:val="3F01"/>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8194" v:ext="edit"/>
    <o:shapelayout v:ext="edit">
      <o:idmap data="1" v:ext="edit"/>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header" w:uiPriority="99"/>
    <w:lsdException w:name="caption" w:qFormat="1" w:semiHidden="1" w:unhideWhenUsed="1"/>
    <w:lsdException w:name="Title" w:qFormat="1"/>
    <w:lsdException w:name="Subtitle" w:qFormat="1"/>
    <w:lsdException w:name="Strong" w:qFormat="1" w:uiPriority="22"/>
    <w:lsdException w:name="Emphasis" w:qFormat="1"/>
    <w:lsdException w:name="Plain Text" w:uiPriority="99"/>
    <w:lsdException w:name="Table Grid"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Ind w:type="dxa" w:w="0"/>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18"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2A1109-F435-45F1-BF4E-42ABB0D9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23</Pages>
  <Words>3593</Words>
  <Characters>20485</Characters>
  <Application>Microsoft Office Word</Application>
  <DocSecurity>0</DocSecurity>
  <Lines>170</Lines>
  <Paragraphs>48</Paragraphs>
  <ScaleCrop>false</ScaleCrop>
  <Company>jysld</Company>
  <LinksUpToDate>false</LinksUpToDate>
  <CharactersWithSpaces>24030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Administrator</cp:lastModifiedBy>
  <cp:lastPrinted>2009-01-22T10:11:00Z</cp:lastPrinted>
  <dcterms:modified xsi:type="dcterms:W3CDTF">2018-03-30T07:36:00Z</dcterms:modified>
  <cp:revision>314</cp:revision>
</cp:coreProperties>
</file>