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二〇一九年四月二十日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76E61" w:rsidRDefault="006F3F52">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76E61" w:rsidRDefault="006F3F52">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76E61" w:rsidRDefault="006F3F52">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76E61" w:rsidRDefault="006F3F52">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76E61" w:rsidRDefault="006F3F52">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9,261,720,705.41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8,478,916.31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9,253,241,789.10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70,294.40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88,472,022.07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70,294.40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88,472,022.07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8,478,916.31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9,253,241,789.10</w:t>
            </w:r>
          </w:p>
        </w:tc>
      </w:tr>
    </w:tbl>
    <w:p w:rsidR="00F76E61" w:rsidRDefault="006F3F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76E61">
        <w:trPr>
          <w:jc w:val="center"/>
        </w:trPr>
        <w:tc>
          <w:tcPr>
            <w:tcW w:w="1266" w:type="dxa"/>
            <w:vAlign w:val="center"/>
          </w:tcPr>
          <w:p w:rsidR="00F76E61" w:rsidRDefault="006F3F52">
            <w:pPr>
              <w:jc w:val="left"/>
            </w:pPr>
            <w:r>
              <w:rPr>
                <w:color w:val="000000"/>
              </w:rPr>
              <w:t>过去三个月</w:t>
            </w:r>
          </w:p>
        </w:tc>
        <w:tc>
          <w:tcPr>
            <w:tcW w:w="1267" w:type="dxa"/>
            <w:vAlign w:val="center"/>
          </w:tcPr>
          <w:p w:rsidR="00F76E61" w:rsidRDefault="006F3F52">
            <w:pPr>
              <w:jc w:val="center"/>
            </w:pPr>
            <w:r>
              <w:rPr>
                <w:color w:val="000000"/>
              </w:rPr>
              <w:t>0.8035%</w:t>
            </w:r>
          </w:p>
        </w:tc>
        <w:tc>
          <w:tcPr>
            <w:tcW w:w="1267" w:type="dxa"/>
            <w:vAlign w:val="center"/>
          </w:tcPr>
          <w:p w:rsidR="00F76E61" w:rsidRDefault="006F3F52">
            <w:pPr>
              <w:jc w:val="center"/>
            </w:pPr>
            <w:r>
              <w:rPr>
                <w:color w:val="000000"/>
              </w:rPr>
              <w:t>0.0011%</w:t>
            </w:r>
          </w:p>
        </w:tc>
        <w:tc>
          <w:tcPr>
            <w:tcW w:w="1267" w:type="dxa"/>
            <w:vAlign w:val="center"/>
          </w:tcPr>
          <w:p w:rsidR="00F76E61" w:rsidRDefault="006F3F52">
            <w:pPr>
              <w:jc w:val="center"/>
            </w:pPr>
            <w:r>
              <w:rPr>
                <w:color w:val="000000"/>
              </w:rPr>
              <w:t>0.3329%</w:t>
            </w:r>
          </w:p>
        </w:tc>
        <w:tc>
          <w:tcPr>
            <w:tcW w:w="1267" w:type="dxa"/>
            <w:vAlign w:val="center"/>
          </w:tcPr>
          <w:p w:rsidR="00F76E61" w:rsidRDefault="006F3F52">
            <w:pPr>
              <w:jc w:val="center"/>
            </w:pPr>
            <w:r>
              <w:rPr>
                <w:color w:val="000000"/>
              </w:rPr>
              <w:t>0.0000%</w:t>
            </w:r>
          </w:p>
        </w:tc>
        <w:tc>
          <w:tcPr>
            <w:tcW w:w="1267" w:type="dxa"/>
            <w:vAlign w:val="center"/>
          </w:tcPr>
          <w:p w:rsidR="00F76E61" w:rsidRDefault="006F3F52">
            <w:pPr>
              <w:jc w:val="center"/>
            </w:pPr>
            <w:r>
              <w:rPr>
                <w:color w:val="000000"/>
              </w:rPr>
              <w:t>0.4706%</w:t>
            </w:r>
          </w:p>
        </w:tc>
        <w:tc>
          <w:tcPr>
            <w:tcW w:w="1267" w:type="dxa"/>
            <w:vAlign w:val="center"/>
          </w:tcPr>
          <w:p w:rsidR="00F76E61" w:rsidRDefault="006F3F52">
            <w:pPr>
              <w:jc w:val="center"/>
            </w:pPr>
            <w:r>
              <w:rPr>
                <w:color w:val="000000"/>
              </w:rPr>
              <w:t>0.0011%</w:t>
            </w:r>
          </w:p>
        </w:tc>
      </w:tr>
    </w:tbl>
    <w:p w:rsidR="00F76E61" w:rsidRDefault="006F3F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76E61">
        <w:trPr>
          <w:jc w:val="center"/>
        </w:trPr>
        <w:tc>
          <w:tcPr>
            <w:tcW w:w="1266" w:type="dxa"/>
            <w:vAlign w:val="center"/>
          </w:tcPr>
          <w:p w:rsidR="00F76E61" w:rsidRDefault="006F3F52">
            <w:pPr>
              <w:jc w:val="left"/>
            </w:pPr>
            <w:r>
              <w:rPr>
                <w:color w:val="000000"/>
              </w:rPr>
              <w:t>过去三个月</w:t>
            </w:r>
          </w:p>
        </w:tc>
        <w:tc>
          <w:tcPr>
            <w:tcW w:w="1267" w:type="dxa"/>
            <w:vAlign w:val="center"/>
          </w:tcPr>
          <w:p w:rsidR="00F76E61" w:rsidRDefault="006F3F52">
            <w:pPr>
              <w:jc w:val="center"/>
            </w:pPr>
            <w:r>
              <w:rPr>
                <w:color w:val="000000"/>
              </w:rPr>
              <w:t>0.8752%</w:t>
            </w:r>
          </w:p>
        </w:tc>
        <w:tc>
          <w:tcPr>
            <w:tcW w:w="1267" w:type="dxa"/>
            <w:vAlign w:val="center"/>
          </w:tcPr>
          <w:p w:rsidR="00F76E61" w:rsidRDefault="006F3F52">
            <w:pPr>
              <w:jc w:val="center"/>
            </w:pPr>
            <w:r>
              <w:rPr>
                <w:color w:val="000000"/>
              </w:rPr>
              <w:t>0.0011%</w:t>
            </w:r>
          </w:p>
        </w:tc>
        <w:tc>
          <w:tcPr>
            <w:tcW w:w="1267" w:type="dxa"/>
            <w:vAlign w:val="center"/>
          </w:tcPr>
          <w:p w:rsidR="00F76E61" w:rsidRDefault="006F3F52">
            <w:pPr>
              <w:jc w:val="center"/>
            </w:pPr>
            <w:r>
              <w:rPr>
                <w:color w:val="000000"/>
              </w:rPr>
              <w:t>0.3329%</w:t>
            </w:r>
          </w:p>
        </w:tc>
        <w:tc>
          <w:tcPr>
            <w:tcW w:w="1267" w:type="dxa"/>
            <w:vAlign w:val="center"/>
          </w:tcPr>
          <w:p w:rsidR="00F76E61" w:rsidRDefault="006F3F52">
            <w:pPr>
              <w:jc w:val="center"/>
            </w:pPr>
            <w:r>
              <w:rPr>
                <w:color w:val="000000"/>
              </w:rPr>
              <w:t>0.0000%</w:t>
            </w:r>
          </w:p>
        </w:tc>
        <w:tc>
          <w:tcPr>
            <w:tcW w:w="1267" w:type="dxa"/>
            <w:vAlign w:val="center"/>
          </w:tcPr>
          <w:p w:rsidR="00F76E61" w:rsidRDefault="006F3F52">
            <w:pPr>
              <w:jc w:val="center"/>
            </w:pPr>
            <w:r>
              <w:rPr>
                <w:color w:val="000000"/>
              </w:rPr>
              <w:t>0.5423%</w:t>
            </w:r>
          </w:p>
        </w:tc>
        <w:tc>
          <w:tcPr>
            <w:tcW w:w="1267" w:type="dxa"/>
            <w:vAlign w:val="center"/>
          </w:tcPr>
          <w:p w:rsidR="00F76E61" w:rsidRDefault="006F3F52">
            <w:pPr>
              <w:jc w:val="center"/>
            </w:pPr>
            <w:r>
              <w:rPr>
                <w:color w:val="000000"/>
              </w:rPr>
              <w:t>0.0011%</w:t>
            </w:r>
          </w:p>
        </w:tc>
      </w:tr>
    </w:tbl>
    <w:p w:rsidR="00F76E61" w:rsidRDefault="006F3F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7"/>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76E61">
        <w:trPr>
          <w:jc w:val="center"/>
        </w:trPr>
        <w:tc>
          <w:tcPr>
            <w:tcW w:w="945" w:type="dxa"/>
            <w:vAlign w:val="center"/>
          </w:tcPr>
          <w:p w:rsidR="00F76E61" w:rsidRDefault="006F3F52">
            <w:pPr>
              <w:jc w:val="center"/>
            </w:pPr>
            <w:r>
              <w:rPr>
                <w:color w:val="000000"/>
                <w:sz w:val="24"/>
              </w:rPr>
              <w:t>连端清</w:t>
            </w:r>
          </w:p>
        </w:tc>
        <w:tc>
          <w:tcPr>
            <w:tcW w:w="1589" w:type="dxa"/>
            <w:vAlign w:val="center"/>
          </w:tcPr>
          <w:p w:rsidR="00F76E61" w:rsidRDefault="006F3F5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F76E61" w:rsidRDefault="006F3F52">
            <w:pPr>
              <w:jc w:val="center"/>
            </w:pPr>
            <w:r>
              <w:rPr>
                <w:color w:val="000000"/>
                <w:sz w:val="24"/>
              </w:rPr>
              <w:t>2015-10-16</w:t>
            </w:r>
          </w:p>
        </w:tc>
        <w:tc>
          <w:tcPr>
            <w:tcW w:w="1478" w:type="dxa"/>
            <w:vAlign w:val="center"/>
          </w:tcPr>
          <w:p w:rsidR="00F76E61" w:rsidRDefault="006F3F52">
            <w:pPr>
              <w:jc w:val="center"/>
            </w:pPr>
            <w:r>
              <w:rPr>
                <w:color w:val="000000"/>
                <w:sz w:val="24"/>
              </w:rPr>
              <w:t>-</w:t>
            </w:r>
          </w:p>
        </w:tc>
        <w:tc>
          <w:tcPr>
            <w:tcW w:w="986" w:type="dxa"/>
            <w:vAlign w:val="center"/>
          </w:tcPr>
          <w:p w:rsidR="00F76E61" w:rsidRDefault="006F3F52">
            <w:pPr>
              <w:jc w:val="center"/>
            </w:pPr>
            <w:r>
              <w:rPr>
                <w:color w:val="000000"/>
                <w:sz w:val="24"/>
              </w:rPr>
              <w:t>6</w:t>
            </w:r>
            <w:r>
              <w:rPr>
                <w:color w:val="000000"/>
                <w:sz w:val="24"/>
              </w:rPr>
              <w:t>年</w:t>
            </w:r>
          </w:p>
        </w:tc>
        <w:tc>
          <w:tcPr>
            <w:tcW w:w="2392" w:type="dxa"/>
            <w:vAlign w:val="center"/>
          </w:tcPr>
          <w:p w:rsidR="00F76E61" w:rsidRDefault="006F3F5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F76E61" w:rsidRDefault="006F3F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76E61" w:rsidRDefault="006F3F52">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76E61" w:rsidRDefault="006F3F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76E61" w:rsidRDefault="006F3F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76E61" w:rsidRDefault="006F3F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76E61" w:rsidRDefault="006F3F52">
      <w:pPr>
        <w:spacing w:before="29" w:line="288" w:lineRule="auto"/>
        <w:ind w:firstLineChars="200" w:firstLine="480"/>
        <w:rPr>
          <w:color w:val="000000"/>
          <w:sz w:val="24"/>
        </w:rPr>
      </w:pPr>
      <w:r>
        <w:rPr>
          <w:color w:val="000000"/>
          <w:sz w:val="24"/>
        </w:rPr>
        <w:t>2019</w:t>
      </w:r>
      <w:r>
        <w:rPr>
          <w:color w:val="000000"/>
          <w:sz w:val="24"/>
        </w:rPr>
        <w:t>年一季度，中美贸易谈判进展向好，且部分金融经济数据有回暖迹象。经济下行风险尚未消除但较</w:t>
      </w:r>
      <w:r>
        <w:rPr>
          <w:color w:val="000000"/>
          <w:sz w:val="24"/>
        </w:rPr>
        <w:t>2018</w:t>
      </w:r>
      <w:r>
        <w:rPr>
          <w:color w:val="000000"/>
          <w:sz w:val="24"/>
        </w:rPr>
        <w:t>年有所降低，悲观预期有所减弱，但国内经济整体上处于阶段性寻底过程中。国内制造业景气度经历半年多时间的下行调整后，一季度呈现触底企稳势头。受春节等因素影响，一、二月信贷与外贸数据波动较大，一月新增人民币贷款与出口超预期大幅增长，二月大幅回落。但是，金融对实体经济的支持在改善。信贷结构上，居民中长期贷款占比在下降，企业中长期贷款占比上升。社融结构上，委贷与非标融资有触底企稳迹象，债券融资大幅回升。贷款利率与债券利率均在下行，企业融资条件有所好转。一、二月固定资产投资增速有所回升，对经济增速形成支撑。但制造业</w:t>
      </w:r>
      <w:r>
        <w:rPr>
          <w:color w:val="000000"/>
          <w:sz w:val="24"/>
        </w:rPr>
        <w:t>FAI</w:t>
      </w:r>
      <w:r>
        <w:rPr>
          <w:color w:val="000000"/>
          <w:sz w:val="24"/>
        </w:rPr>
        <w:t>开始回落，基建</w:t>
      </w:r>
      <w:r>
        <w:rPr>
          <w:color w:val="000000"/>
          <w:sz w:val="24"/>
        </w:rPr>
        <w:t>FAI</w:t>
      </w:r>
      <w:r>
        <w:rPr>
          <w:color w:val="000000"/>
          <w:sz w:val="24"/>
        </w:rPr>
        <w:t>在逆周期政策大力支持下低位回升，房地产</w:t>
      </w:r>
      <w:r>
        <w:rPr>
          <w:color w:val="000000"/>
          <w:sz w:val="24"/>
        </w:rPr>
        <w:t>FAI</w:t>
      </w:r>
      <w:r>
        <w:rPr>
          <w:color w:val="000000"/>
          <w:sz w:val="24"/>
        </w:rPr>
        <w:t>继续冲高。货币政策上，一月初央行降准</w:t>
      </w:r>
      <w:r>
        <w:rPr>
          <w:color w:val="000000"/>
          <w:sz w:val="24"/>
        </w:rPr>
        <w:t>1</w:t>
      </w:r>
      <w:r>
        <w:rPr>
          <w:color w:val="000000"/>
          <w:sz w:val="24"/>
        </w:rPr>
        <w:t>个百分点，再次释放银行体系流动性以支持实体经济发展，但同时也加大了公开市场回笼力度，一季度央行在公开市场净回笼</w:t>
      </w:r>
      <w:r>
        <w:rPr>
          <w:color w:val="000000"/>
          <w:sz w:val="24"/>
        </w:rPr>
        <w:t>1.8</w:t>
      </w:r>
      <w:r>
        <w:rPr>
          <w:color w:val="000000"/>
          <w:sz w:val="24"/>
        </w:rPr>
        <w:t>万亿，尽量避免短期流动性泛滥。</w:t>
      </w:r>
    </w:p>
    <w:p w:rsidR="00F76E61" w:rsidRDefault="006F3F52">
      <w:pPr>
        <w:spacing w:before="29" w:line="288" w:lineRule="auto"/>
        <w:ind w:firstLineChars="200" w:firstLine="480"/>
        <w:rPr>
          <w:color w:val="000000"/>
          <w:sz w:val="24"/>
        </w:rPr>
      </w:pPr>
      <w:r>
        <w:rPr>
          <w:color w:val="000000"/>
          <w:sz w:val="24"/>
        </w:rPr>
        <w:t>资金面上，受央行再次大幅降准影响，一季度货币市场资金面整体上较为宽松。一季度</w:t>
      </w:r>
      <w:r>
        <w:rPr>
          <w:color w:val="000000"/>
          <w:sz w:val="24"/>
        </w:rPr>
        <w:t>R001</w:t>
      </w:r>
      <w:r>
        <w:rPr>
          <w:color w:val="000000"/>
          <w:sz w:val="24"/>
        </w:rPr>
        <w:t>均值较</w:t>
      </w:r>
      <w:r>
        <w:rPr>
          <w:color w:val="000000"/>
          <w:sz w:val="24"/>
        </w:rPr>
        <w:t>2018</w:t>
      </w:r>
      <w:r>
        <w:rPr>
          <w:color w:val="000000"/>
          <w:sz w:val="24"/>
        </w:rPr>
        <w:t>年四季度下降</w:t>
      </w:r>
      <w:r>
        <w:rPr>
          <w:color w:val="000000"/>
          <w:sz w:val="24"/>
        </w:rPr>
        <w:t>16</w:t>
      </w:r>
      <w:r>
        <w:rPr>
          <w:color w:val="000000"/>
          <w:sz w:val="24"/>
        </w:rPr>
        <w:t>个</w:t>
      </w:r>
      <w:r>
        <w:rPr>
          <w:color w:val="000000"/>
          <w:sz w:val="24"/>
        </w:rPr>
        <w:t>BP</w:t>
      </w:r>
      <w:r>
        <w:rPr>
          <w:color w:val="000000"/>
          <w:sz w:val="24"/>
        </w:rPr>
        <w:t>以上。受资金面持续宽松等影响，一季度同业存款及存单利率继续大幅下行。三月底股份制银行存单利率较</w:t>
      </w:r>
      <w:r>
        <w:rPr>
          <w:color w:val="000000"/>
          <w:sz w:val="24"/>
        </w:rPr>
        <w:t>2018</w:t>
      </w:r>
      <w:r>
        <w:rPr>
          <w:color w:val="000000"/>
          <w:sz w:val="24"/>
        </w:rPr>
        <w:t>年底下降</w:t>
      </w:r>
      <w:r>
        <w:rPr>
          <w:color w:val="000000"/>
          <w:sz w:val="24"/>
        </w:rPr>
        <w:t>47</w:t>
      </w:r>
      <w:r>
        <w:rPr>
          <w:color w:val="000000"/>
          <w:sz w:val="24"/>
        </w:rPr>
        <w:t>个</w:t>
      </w:r>
      <w:r>
        <w:rPr>
          <w:color w:val="000000"/>
          <w:sz w:val="24"/>
        </w:rPr>
        <w:t>BP</w:t>
      </w:r>
      <w:r>
        <w:rPr>
          <w:color w:val="000000"/>
          <w:sz w:val="24"/>
        </w:rPr>
        <w:t>以上。受一月初宽松加码、中美贸易谈判进展向好、股市大涨及部分宏观数据扰动等影响，一季度债市整体上呈震荡整理格局。</w:t>
      </w:r>
    </w:p>
    <w:p w:rsidR="00F76E61" w:rsidRDefault="006F3F52">
      <w:pPr>
        <w:spacing w:before="29" w:line="288" w:lineRule="auto"/>
        <w:ind w:firstLineChars="200" w:firstLine="480"/>
        <w:rPr>
          <w:color w:val="000000"/>
          <w:sz w:val="24"/>
        </w:rPr>
      </w:pPr>
      <w:r>
        <w:rPr>
          <w:color w:val="000000"/>
          <w:sz w:val="24"/>
        </w:rPr>
        <w:t>基金操作方面，报告期内本基金保持适度流动性以期满足基金份额持有人潜在赎回需求，同时管控信用风险并择机调整组合杠杆与久期。在资产配置上，择机加大存单、短融与存款等投资品种的配置力度。根据市场情况灵活调整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二季度，若从国内因素看，在货币政策、财税与基建等多个角度的逆周期调节政策发力下，国内经济在筑底可能性上升。但美国等海外发达经济体增速放缓，且存在去年中美贸易战的滞后效应，估计出口短期内仍为拖累因素，预计国内经济下行风险可能继续降低。受后续猪肉价格上涨压力影响，预计</w:t>
      </w:r>
      <w:r w:rsidRPr="000E4C40">
        <w:rPr>
          <w:color w:val="000000"/>
          <w:sz w:val="24"/>
        </w:rPr>
        <w:t>CPI</w:t>
      </w:r>
      <w:r w:rsidRPr="000E4C40">
        <w:rPr>
          <w:color w:val="000000"/>
          <w:sz w:val="24"/>
        </w:rPr>
        <w:t>低位回升的概率较大。美联储暂停加息，我国央行的货币政策宽松有了更大空间，但预计短期内央行货币政策处于观望期，仍将维持流动性宽松且保持逆周期调节作用。我们将密切关注海外发达经济体放缓程度、中美贸易谈判的进展以及政府经济政策动态。组合管理方面，本基金将跟踪研判宏观经济走势与央行货币政策操作，保持较好的流动性，力求把握市场机会，尽力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7,969,070,976.06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80.48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7,935,158,976.06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80.14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33,912,000.00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0.34</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1,901,487,818.34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19.20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31,386,584.12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9,901,945,378.52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14.19</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612,122,133.94</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6.61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136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D96F47">
            <w:pPr>
              <w:autoSpaceDE w:val="0"/>
              <w:autoSpaceDN w:val="0"/>
              <w:adjustRightInd w:val="0"/>
              <w:spacing w:before="29" w:line="288" w:lineRule="auto"/>
              <w:ind w:left="15"/>
              <w:jc w:val="right"/>
              <w:rPr>
                <w:color w:val="000000"/>
                <w:kern w:val="0"/>
                <w:sz w:val="24"/>
              </w:rPr>
            </w:pPr>
            <w:r w:rsidRPr="000E4C40">
              <w:rPr>
                <w:color w:val="000000"/>
                <w:sz w:val="24"/>
              </w:rPr>
              <w:t>6.3</w:t>
            </w:r>
            <w:r w:rsidR="00D96F47">
              <w:rPr>
                <w:rFonts w:hint="eastAsia"/>
                <w:color w:val="000000"/>
                <w:sz w:val="24"/>
              </w:rPr>
              <w:t>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6.61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6.45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41.97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51.72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D96F47">
            <w:pPr>
              <w:autoSpaceDE w:val="0"/>
              <w:autoSpaceDN w:val="0"/>
              <w:adjustRightInd w:val="0"/>
              <w:spacing w:before="29" w:line="288" w:lineRule="auto"/>
              <w:ind w:left="15"/>
              <w:jc w:val="right"/>
              <w:rPr>
                <w:color w:val="000000"/>
                <w:kern w:val="0"/>
                <w:sz w:val="24"/>
              </w:rPr>
            </w:pPr>
            <w:r w:rsidRPr="000E4C40">
              <w:rPr>
                <w:color w:val="000000"/>
                <w:sz w:val="24"/>
              </w:rPr>
              <w:t>106.5</w:t>
            </w:r>
            <w:r w:rsidR="00D96F47">
              <w:rPr>
                <w:rFonts w:hint="eastAsia"/>
                <w:color w:val="000000"/>
                <w:sz w:val="24"/>
              </w:rPr>
              <w:t>7</w:t>
            </w:r>
            <w:bookmarkStart w:id="2" w:name="_GoBack"/>
            <w:bookmarkEnd w:id="2"/>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6.61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501,003,041.32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501,003,041.32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1,009,987,564.36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10.90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6,424,168,370.38</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69.36</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7,935,158,976.06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85.68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d"/>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76E61">
        <w:trPr>
          <w:jc w:val="center"/>
        </w:trPr>
        <w:tc>
          <w:tcPr>
            <w:tcW w:w="0" w:type="auto"/>
            <w:vAlign w:val="center"/>
          </w:tcPr>
          <w:p w:rsidR="00F76E61" w:rsidRDefault="006F3F52">
            <w:pPr>
              <w:jc w:val="center"/>
            </w:pPr>
            <w:r>
              <w:rPr>
                <w:color w:val="000000"/>
                <w:sz w:val="24"/>
              </w:rPr>
              <w:t>1</w:t>
            </w:r>
          </w:p>
        </w:tc>
        <w:tc>
          <w:tcPr>
            <w:tcW w:w="0" w:type="auto"/>
            <w:vAlign w:val="center"/>
          </w:tcPr>
          <w:p w:rsidR="00F76E61" w:rsidRDefault="006F3F52">
            <w:pPr>
              <w:jc w:val="center"/>
            </w:pPr>
            <w:r>
              <w:rPr>
                <w:color w:val="000000"/>
                <w:sz w:val="24"/>
              </w:rPr>
              <w:t>111814176</w:t>
            </w:r>
          </w:p>
        </w:tc>
        <w:tc>
          <w:tcPr>
            <w:tcW w:w="0" w:type="auto"/>
            <w:vAlign w:val="center"/>
          </w:tcPr>
          <w:p w:rsidR="00F76E61" w:rsidRDefault="006F3F52">
            <w:pPr>
              <w:jc w:val="center"/>
            </w:pPr>
            <w:r>
              <w:rPr>
                <w:color w:val="000000"/>
                <w:sz w:val="24"/>
              </w:rPr>
              <w:t>18</w:t>
            </w:r>
            <w:r>
              <w:rPr>
                <w:color w:val="000000"/>
                <w:sz w:val="24"/>
              </w:rPr>
              <w:t>江苏银行</w:t>
            </w:r>
            <w:r>
              <w:rPr>
                <w:color w:val="000000"/>
                <w:sz w:val="24"/>
              </w:rPr>
              <w:t>CD176</w:t>
            </w:r>
          </w:p>
        </w:tc>
        <w:tc>
          <w:tcPr>
            <w:tcW w:w="0" w:type="auto"/>
            <w:vAlign w:val="center"/>
          </w:tcPr>
          <w:p w:rsidR="00F76E61" w:rsidRDefault="006F3F52">
            <w:pPr>
              <w:jc w:val="right"/>
            </w:pPr>
            <w:r>
              <w:rPr>
                <w:color w:val="000000"/>
                <w:sz w:val="24"/>
              </w:rPr>
              <w:t>5,000,000</w:t>
            </w:r>
          </w:p>
        </w:tc>
        <w:tc>
          <w:tcPr>
            <w:tcW w:w="0" w:type="auto"/>
            <w:vAlign w:val="center"/>
          </w:tcPr>
          <w:p w:rsidR="00F76E61" w:rsidRDefault="006F3F52">
            <w:pPr>
              <w:jc w:val="right"/>
            </w:pPr>
            <w:r>
              <w:rPr>
                <w:color w:val="000000"/>
                <w:sz w:val="24"/>
              </w:rPr>
              <w:t>496,651,597.85</w:t>
            </w:r>
          </w:p>
        </w:tc>
        <w:tc>
          <w:tcPr>
            <w:tcW w:w="0" w:type="auto"/>
            <w:vAlign w:val="center"/>
          </w:tcPr>
          <w:p w:rsidR="00F76E61" w:rsidRDefault="006F3F52">
            <w:pPr>
              <w:jc w:val="right"/>
            </w:pPr>
            <w:r>
              <w:rPr>
                <w:color w:val="000000"/>
                <w:sz w:val="24"/>
              </w:rPr>
              <w:t>5.36</w:t>
            </w:r>
          </w:p>
        </w:tc>
      </w:tr>
      <w:tr w:rsidR="00F76E61">
        <w:trPr>
          <w:jc w:val="center"/>
        </w:trPr>
        <w:tc>
          <w:tcPr>
            <w:tcW w:w="0" w:type="auto"/>
            <w:vAlign w:val="center"/>
          </w:tcPr>
          <w:p w:rsidR="00F76E61" w:rsidRDefault="006F3F52">
            <w:pPr>
              <w:jc w:val="center"/>
            </w:pPr>
            <w:r>
              <w:rPr>
                <w:color w:val="000000"/>
                <w:sz w:val="24"/>
              </w:rPr>
              <w:t>2</w:t>
            </w:r>
          </w:p>
        </w:tc>
        <w:tc>
          <w:tcPr>
            <w:tcW w:w="0" w:type="auto"/>
            <w:vAlign w:val="center"/>
          </w:tcPr>
          <w:p w:rsidR="00F76E61" w:rsidRDefault="006F3F52">
            <w:pPr>
              <w:jc w:val="center"/>
            </w:pPr>
            <w:r>
              <w:rPr>
                <w:color w:val="000000"/>
                <w:sz w:val="24"/>
              </w:rPr>
              <w:t>111812182</w:t>
            </w:r>
          </w:p>
        </w:tc>
        <w:tc>
          <w:tcPr>
            <w:tcW w:w="0" w:type="auto"/>
            <w:vAlign w:val="center"/>
          </w:tcPr>
          <w:p w:rsidR="00F76E61" w:rsidRDefault="006F3F52">
            <w:pPr>
              <w:jc w:val="center"/>
            </w:pPr>
            <w:r>
              <w:rPr>
                <w:color w:val="000000"/>
                <w:sz w:val="24"/>
              </w:rPr>
              <w:t>18</w:t>
            </w:r>
            <w:r>
              <w:rPr>
                <w:color w:val="000000"/>
                <w:sz w:val="24"/>
              </w:rPr>
              <w:t>北京银行</w:t>
            </w:r>
            <w:r>
              <w:rPr>
                <w:color w:val="000000"/>
                <w:sz w:val="24"/>
              </w:rPr>
              <w:t>CD182</w:t>
            </w:r>
          </w:p>
        </w:tc>
        <w:tc>
          <w:tcPr>
            <w:tcW w:w="0" w:type="auto"/>
            <w:vAlign w:val="center"/>
          </w:tcPr>
          <w:p w:rsidR="00F76E61" w:rsidRDefault="006F3F52">
            <w:pPr>
              <w:jc w:val="right"/>
            </w:pPr>
            <w:r>
              <w:rPr>
                <w:color w:val="000000"/>
                <w:sz w:val="24"/>
              </w:rPr>
              <w:t>3,500,000</w:t>
            </w:r>
          </w:p>
        </w:tc>
        <w:tc>
          <w:tcPr>
            <w:tcW w:w="0" w:type="auto"/>
            <w:vAlign w:val="center"/>
          </w:tcPr>
          <w:p w:rsidR="00F76E61" w:rsidRDefault="006F3F52">
            <w:pPr>
              <w:jc w:val="right"/>
            </w:pPr>
            <w:r>
              <w:rPr>
                <w:color w:val="000000"/>
                <w:sz w:val="24"/>
              </w:rPr>
              <w:t>347,656,118.49</w:t>
            </w:r>
          </w:p>
        </w:tc>
        <w:tc>
          <w:tcPr>
            <w:tcW w:w="0" w:type="auto"/>
            <w:vAlign w:val="center"/>
          </w:tcPr>
          <w:p w:rsidR="00F76E61" w:rsidRDefault="006F3F52">
            <w:pPr>
              <w:jc w:val="right"/>
            </w:pPr>
            <w:r>
              <w:rPr>
                <w:color w:val="000000"/>
                <w:sz w:val="24"/>
              </w:rPr>
              <w:t>3.75</w:t>
            </w:r>
          </w:p>
        </w:tc>
      </w:tr>
      <w:tr w:rsidR="00F76E61">
        <w:trPr>
          <w:jc w:val="center"/>
        </w:trPr>
        <w:tc>
          <w:tcPr>
            <w:tcW w:w="0" w:type="auto"/>
            <w:vAlign w:val="center"/>
          </w:tcPr>
          <w:p w:rsidR="00F76E61" w:rsidRDefault="006F3F52">
            <w:pPr>
              <w:jc w:val="center"/>
            </w:pPr>
            <w:r>
              <w:rPr>
                <w:color w:val="000000"/>
                <w:sz w:val="24"/>
              </w:rPr>
              <w:t>3</w:t>
            </w:r>
          </w:p>
        </w:tc>
        <w:tc>
          <w:tcPr>
            <w:tcW w:w="0" w:type="auto"/>
            <w:vAlign w:val="center"/>
          </w:tcPr>
          <w:p w:rsidR="00F76E61" w:rsidRDefault="006F3F52">
            <w:pPr>
              <w:jc w:val="center"/>
            </w:pPr>
            <w:r>
              <w:rPr>
                <w:color w:val="000000"/>
                <w:sz w:val="24"/>
              </w:rPr>
              <w:t>111812185</w:t>
            </w:r>
          </w:p>
        </w:tc>
        <w:tc>
          <w:tcPr>
            <w:tcW w:w="0" w:type="auto"/>
            <w:vAlign w:val="center"/>
          </w:tcPr>
          <w:p w:rsidR="00F76E61" w:rsidRDefault="006F3F52">
            <w:pPr>
              <w:jc w:val="center"/>
            </w:pPr>
            <w:r>
              <w:rPr>
                <w:color w:val="000000"/>
                <w:sz w:val="24"/>
              </w:rPr>
              <w:t>18</w:t>
            </w:r>
            <w:r>
              <w:rPr>
                <w:color w:val="000000"/>
                <w:sz w:val="24"/>
              </w:rPr>
              <w:t>北京银行</w:t>
            </w:r>
            <w:r>
              <w:rPr>
                <w:color w:val="000000"/>
                <w:sz w:val="24"/>
              </w:rPr>
              <w:t>CD185</w:t>
            </w:r>
          </w:p>
        </w:tc>
        <w:tc>
          <w:tcPr>
            <w:tcW w:w="0" w:type="auto"/>
            <w:vAlign w:val="center"/>
          </w:tcPr>
          <w:p w:rsidR="00F76E61" w:rsidRDefault="006F3F52">
            <w:pPr>
              <w:jc w:val="right"/>
            </w:pPr>
            <w:r>
              <w:rPr>
                <w:color w:val="000000"/>
                <w:sz w:val="24"/>
              </w:rPr>
              <w:t>3,000,000</w:t>
            </w:r>
          </w:p>
        </w:tc>
        <w:tc>
          <w:tcPr>
            <w:tcW w:w="0" w:type="auto"/>
            <w:vAlign w:val="center"/>
          </w:tcPr>
          <w:p w:rsidR="00F76E61" w:rsidRDefault="006F3F52">
            <w:pPr>
              <w:jc w:val="right"/>
            </w:pPr>
            <w:r>
              <w:rPr>
                <w:color w:val="000000"/>
                <w:sz w:val="24"/>
              </w:rPr>
              <w:t>297,905,116.70</w:t>
            </w:r>
          </w:p>
        </w:tc>
        <w:tc>
          <w:tcPr>
            <w:tcW w:w="0" w:type="auto"/>
            <w:vAlign w:val="center"/>
          </w:tcPr>
          <w:p w:rsidR="00F76E61" w:rsidRDefault="006F3F52">
            <w:pPr>
              <w:jc w:val="right"/>
            </w:pPr>
            <w:r>
              <w:rPr>
                <w:color w:val="000000"/>
                <w:sz w:val="24"/>
              </w:rPr>
              <w:t>3.22</w:t>
            </w:r>
          </w:p>
        </w:tc>
      </w:tr>
      <w:tr w:rsidR="00F76E61">
        <w:trPr>
          <w:jc w:val="center"/>
        </w:trPr>
        <w:tc>
          <w:tcPr>
            <w:tcW w:w="0" w:type="auto"/>
            <w:vAlign w:val="center"/>
          </w:tcPr>
          <w:p w:rsidR="00F76E61" w:rsidRDefault="006F3F52">
            <w:pPr>
              <w:jc w:val="center"/>
            </w:pPr>
            <w:r>
              <w:rPr>
                <w:color w:val="000000"/>
                <w:sz w:val="24"/>
              </w:rPr>
              <w:t>4</w:t>
            </w:r>
          </w:p>
        </w:tc>
        <w:tc>
          <w:tcPr>
            <w:tcW w:w="0" w:type="auto"/>
            <w:vAlign w:val="center"/>
          </w:tcPr>
          <w:p w:rsidR="00F76E61" w:rsidRDefault="006F3F52">
            <w:pPr>
              <w:jc w:val="center"/>
            </w:pPr>
            <w:r>
              <w:rPr>
                <w:color w:val="000000"/>
                <w:sz w:val="24"/>
              </w:rPr>
              <w:t>111885322</w:t>
            </w:r>
          </w:p>
        </w:tc>
        <w:tc>
          <w:tcPr>
            <w:tcW w:w="0" w:type="auto"/>
            <w:vAlign w:val="center"/>
          </w:tcPr>
          <w:p w:rsidR="00F76E61" w:rsidRDefault="006F3F52">
            <w:pPr>
              <w:jc w:val="center"/>
            </w:pPr>
            <w:r>
              <w:rPr>
                <w:color w:val="000000"/>
                <w:sz w:val="24"/>
              </w:rPr>
              <w:t>18</w:t>
            </w:r>
            <w:r>
              <w:rPr>
                <w:color w:val="000000"/>
                <w:sz w:val="24"/>
              </w:rPr>
              <w:t>贵州银行</w:t>
            </w:r>
            <w:r>
              <w:rPr>
                <w:color w:val="000000"/>
                <w:sz w:val="24"/>
              </w:rPr>
              <w:t>CD033</w:t>
            </w:r>
          </w:p>
        </w:tc>
        <w:tc>
          <w:tcPr>
            <w:tcW w:w="0" w:type="auto"/>
            <w:vAlign w:val="center"/>
          </w:tcPr>
          <w:p w:rsidR="00F76E61" w:rsidRDefault="006F3F52">
            <w:pPr>
              <w:jc w:val="right"/>
            </w:pPr>
            <w:r>
              <w:rPr>
                <w:color w:val="000000"/>
                <w:sz w:val="24"/>
              </w:rPr>
              <w:t>3,000,000</w:t>
            </w:r>
          </w:p>
        </w:tc>
        <w:tc>
          <w:tcPr>
            <w:tcW w:w="0" w:type="auto"/>
            <w:vAlign w:val="center"/>
          </w:tcPr>
          <w:p w:rsidR="00F76E61" w:rsidRDefault="006F3F52">
            <w:pPr>
              <w:jc w:val="right"/>
            </w:pPr>
            <w:r>
              <w:rPr>
                <w:color w:val="000000"/>
                <w:sz w:val="24"/>
              </w:rPr>
              <w:t>297,576,483.27</w:t>
            </w:r>
          </w:p>
        </w:tc>
        <w:tc>
          <w:tcPr>
            <w:tcW w:w="0" w:type="auto"/>
            <w:vAlign w:val="center"/>
          </w:tcPr>
          <w:p w:rsidR="00F76E61" w:rsidRDefault="006F3F52">
            <w:pPr>
              <w:jc w:val="right"/>
            </w:pPr>
            <w:r>
              <w:rPr>
                <w:color w:val="000000"/>
                <w:sz w:val="24"/>
              </w:rPr>
              <w:t>3.21</w:t>
            </w:r>
          </w:p>
        </w:tc>
      </w:tr>
      <w:tr w:rsidR="00F76E61">
        <w:trPr>
          <w:jc w:val="center"/>
        </w:trPr>
        <w:tc>
          <w:tcPr>
            <w:tcW w:w="0" w:type="auto"/>
            <w:vAlign w:val="center"/>
          </w:tcPr>
          <w:p w:rsidR="00F76E61" w:rsidRDefault="006F3F52">
            <w:pPr>
              <w:jc w:val="center"/>
            </w:pPr>
            <w:r>
              <w:rPr>
                <w:color w:val="000000"/>
                <w:sz w:val="24"/>
              </w:rPr>
              <w:t>5</w:t>
            </w:r>
          </w:p>
        </w:tc>
        <w:tc>
          <w:tcPr>
            <w:tcW w:w="0" w:type="auto"/>
            <w:vAlign w:val="center"/>
          </w:tcPr>
          <w:p w:rsidR="00F76E61" w:rsidRDefault="006F3F52">
            <w:pPr>
              <w:jc w:val="center"/>
            </w:pPr>
            <w:r>
              <w:rPr>
                <w:color w:val="000000"/>
                <w:sz w:val="24"/>
              </w:rPr>
              <w:t>111994393</w:t>
            </w:r>
          </w:p>
        </w:tc>
        <w:tc>
          <w:tcPr>
            <w:tcW w:w="0" w:type="auto"/>
            <w:vAlign w:val="center"/>
          </w:tcPr>
          <w:p w:rsidR="00F76E61" w:rsidRDefault="006F3F52">
            <w:pPr>
              <w:jc w:val="center"/>
            </w:pPr>
            <w:r>
              <w:rPr>
                <w:color w:val="000000"/>
                <w:sz w:val="24"/>
              </w:rPr>
              <w:t>19</w:t>
            </w:r>
            <w:r>
              <w:rPr>
                <w:color w:val="000000"/>
                <w:sz w:val="24"/>
              </w:rPr>
              <w:t>乌鲁木齐银行</w:t>
            </w:r>
            <w:r>
              <w:rPr>
                <w:color w:val="000000"/>
                <w:sz w:val="24"/>
              </w:rPr>
              <w:t>CD027</w:t>
            </w:r>
          </w:p>
        </w:tc>
        <w:tc>
          <w:tcPr>
            <w:tcW w:w="0" w:type="auto"/>
            <w:vAlign w:val="center"/>
          </w:tcPr>
          <w:p w:rsidR="00F76E61" w:rsidRDefault="006F3F52">
            <w:pPr>
              <w:jc w:val="right"/>
            </w:pPr>
            <w:r>
              <w:rPr>
                <w:color w:val="000000"/>
                <w:sz w:val="24"/>
              </w:rPr>
              <w:t>3,000,000</w:t>
            </w:r>
          </w:p>
        </w:tc>
        <w:tc>
          <w:tcPr>
            <w:tcW w:w="0" w:type="auto"/>
            <w:vAlign w:val="center"/>
          </w:tcPr>
          <w:p w:rsidR="00F76E61" w:rsidRDefault="006F3F52">
            <w:pPr>
              <w:jc w:val="right"/>
            </w:pPr>
            <w:r>
              <w:rPr>
                <w:color w:val="000000"/>
                <w:sz w:val="24"/>
              </w:rPr>
              <w:t>295,705,472.16</w:t>
            </w:r>
          </w:p>
        </w:tc>
        <w:tc>
          <w:tcPr>
            <w:tcW w:w="0" w:type="auto"/>
            <w:vAlign w:val="center"/>
          </w:tcPr>
          <w:p w:rsidR="00F76E61" w:rsidRDefault="006F3F52">
            <w:pPr>
              <w:jc w:val="right"/>
            </w:pPr>
            <w:r>
              <w:rPr>
                <w:color w:val="000000"/>
                <w:sz w:val="24"/>
              </w:rPr>
              <w:t>3.19</w:t>
            </w:r>
          </w:p>
        </w:tc>
      </w:tr>
      <w:tr w:rsidR="00F76E61">
        <w:trPr>
          <w:jc w:val="center"/>
        </w:trPr>
        <w:tc>
          <w:tcPr>
            <w:tcW w:w="0" w:type="auto"/>
            <w:vAlign w:val="center"/>
          </w:tcPr>
          <w:p w:rsidR="00F76E61" w:rsidRDefault="006F3F52">
            <w:pPr>
              <w:jc w:val="center"/>
            </w:pPr>
            <w:r>
              <w:rPr>
                <w:color w:val="000000"/>
                <w:sz w:val="24"/>
              </w:rPr>
              <w:t>6</w:t>
            </w:r>
          </w:p>
        </w:tc>
        <w:tc>
          <w:tcPr>
            <w:tcW w:w="0" w:type="auto"/>
            <w:vAlign w:val="center"/>
          </w:tcPr>
          <w:p w:rsidR="00F76E61" w:rsidRDefault="006F3F52">
            <w:pPr>
              <w:jc w:val="center"/>
            </w:pPr>
            <w:r>
              <w:rPr>
                <w:color w:val="000000"/>
                <w:sz w:val="24"/>
              </w:rPr>
              <w:t>111994435</w:t>
            </w:r>
          </w:p>
        </w:tc>
        <w:tc>
          <w:tcPr>
            <w:tcW w:w="0" w:type="auto"/>
            <w:vAlign w:val="center"/>
          </w:tcPr>
          <w:p w:rsidR="00F76E61" w:rsidRDefault="006F3F52">
            <w:pPr>
              <w:jc w:val="center"/>
            </w:pPr>
            <w:r>
              <w:rPr>
                <w:color w:val="000000"/>
                <w:sz w:val="24"/>
              </w:rPr>
              <w:t>19</w:t>
            </w:r>
            <w:r>
              <w:rPr>
                <w:color w:val="000000"/>
                <w:sz w:val="24"/>
              </w:rPr>
              <w:t>厦门国际银行</w:t>
            </w:r>
            <w:r>
              <w:rPr>
                <w:color w:val="000000"/>
                <w:sz w:val="24"/>
              </w:rPr>
              <w:t>CD039</w:t>
            </w:r>
          </w:p>
        </w:tc>
        <w:tc>
          <w:tcPr>
            <w:tcW w:w="0" w:type="auto"/>
            <w:vAlign w:val="center"/>
          </w:tcPr>
          <w:p w:rsidR="00F76E61" w:rsidRDefault="006F3F52">
            <w:pPr>
              <w:jc w:val="right"/>
            </w:pPr>
            <w:r>
              <w:rPr>
                <w:color w:val="000000"/>
                <w:sz w:val="24"/>
              </w:rPr>
              <w:t>3,000,000</w:t>
            </w:r>
          </w:p>
        </w:tc>
        <w:tc>
          <w:tcPr>
            <w:tcW w:w="0" w:type="auto"/>
            <w:vAlign w:val="center"/>
          </w:tcPr>
          <w:p w:rsidR="00F76E61" w:rsidRDefault="006F3F52">
            <w:pPr>
              <w:jc w:val="right"/>
            </w:pPr>
            <w:r>
              <w:rPr>
                <w:color w:val="000000"/>
                <w:sz w:val="24"/>
              </w:rPr>
              <w:t>293,505,728.96</w:t>
            </w:r>
          </w:p>
        </w:tc>
        <w:tc>
          <w:tcPr>
            <w:tcW w:w="0" w:type="auto"/>
            <w:vAlign w:val="center"/>
          </w:tcPr>
          <w:p w:rsidR="00F76E61" w:rsidRDefault="006F3F52">
            <w:pPr>
              <w:jc w:val="right"/>
            </w:pPr>
            <w:r>
              <w:rPr>
                <w:color w:val="000000"/>
                <w:sz w:val="24"/>
              </w:rPr>
              <w:t>3.17</w:t>
            </w:r>
          </w:p>
        </w:tc>
      </w:tr>
      <w:tr w:rsidR="00F76E61">
        <w:trPr>
          <w:jc w:val="center"/>
        </w:trPr>
        <w:tc>
          <w:tcPr>
            <w:tcW w:w="0" w:type="auto"/>
            <w:vAlign w:val="center"/>
          </w:tcPr>
          <w:p w:rsidR="00F76E61" w:rsidRDefault="006F3F52">
            <w:pPr>
              <w:jc w:val="center"/>
            </w:pPr>
            <w:r>
              <w:rPr>
                <w:color w:val="000000"/>
                <w:sz w:val="24"/>
              </w:rPr>
              <w:t>7</w:t>
            </w:r>
          </w:p>
        </w:tc>
        <w:tc>
          <w:tcPr>
            <w:tcW w:w="0" w:type="auto"/>
            <w:vAlign w:val="center"/>
          </w:tcPr>
          <w:p w:rsidR="00F76E61" w:rsidRDefault="006F3F52">
            <w:pPr>
              <w:jc w:val="center"/>
            </w:pPr>
            <w:r>
              <w:rPr>
                <w:color w:val="000000"/>
                <w:sz w:val="24"/>
              </w:rPr>
              <w:t>180410</w:t>
            </w:r>
          </w:p>
        </w:tc>
        <w:tc>
          <w:tcPr>
            <w:tcW w:w="0" w:type="auto"/>
            <w:vAlign w:val="center"/>
          </w:tcPr>
          <w:p w:rsidR="00F76E61" w:rsidRDefault="006F3F52">
            <w:pPr>
              <w:jc w:val="center"/>
            </w:pPr>
            <w:r>
              <w:rPr>
                <w:color w:val="000000"/>
                <w:sz w:val="24"/>
              </w:rPr>
              <w:t>18</w:t>
            </w:r>
            <w:r>
              <w:rPr>
                <w:color w:val="000000"/>
                <w:sz w:val="24"/>
              </w:rPr>
              <w:t>农发</w:t>
            </w:r>
            <w:r>
              <w:rPr>
                <w:color w:val="000000"/>
                <w:sz w:val="24"/>
              </w:rPr>
              <w:t>10</w:t>
            </w:r>
          </w:p>
        </w:tc>
        <w:tc>
          <w:tcPr>
            <w:tcW w:w="0" w:type="auto"/>
            <w:vAlign w:val="center"/>
          </w:tcPr>
          <w:p w:rsidR="00F76E61" w:rsidRDefault="006F3F52">
            <w:pPr>
              <w:jc w:val="right"/>
            </w:pPr>
            <w:r>
              <w:rPr>
                <w:color w:val="000000"/>
                <w:sz w:val="24"/>
              </w:rPr>
              <w:t>2,400,000</w:t>
            </w:r>
          </w:p>
        </w:tc>
        <w:tc>
          <w:tcPr>
            <w:tcW w:w="0" w:type="auto"/>
            <w:vAlign w:val="center"/>
          </w:tcPr>
          <w:p w:rsidR="00F76E61" w:rsidRDefault="006F3F52">
            <w:pPr>
              <w:jc w:val="right"/>
            </w:pPr>
            <w:r>
              <w:rPr>
                <w:color w:val="000000"/>
                <w:sz w:val="24"/>
              </w:rPr>
              <w:t>240,254,853.21</w:t>
            </w:r>
          </w:p>
        </w:tc>
        <w:tc>
          <w:tcPr>
            <w:tcW w:w="0" w:type="auto"/>
            <w:vAlign w:val="center"/>
          </w:tcPr>
          <w:p w:rsidR="00F76E61" w:rsidRDefault="006F3F52">
            <w:pPr>
              <w:jc w:val="right"/>
            </w:pPr>
            <w:r>
              <w:rPr>
                <w:color w:val="000000"/>
                <w:sz w:val="24"/>
              </w:rPr>
              <w:t>2.59</w:t>
            </w:r>
          </w:p>
        </w:tc>
      </w:tr>
      <w:tr w:rsidR="00F76E61">
        <w:trPr>
          <w:jc w:val="center"/>
        </w:trPr>
        <w:tc>
          <w:tcPr>
            <w:tcW w:w="0" w:type="auto"/>
            <w:vAlign w:val="center"/>
          </w:tcPr>
          <w:p w:rsidR="00F76E61" w:rsidRDefault="006F3F52">
            <w:pPr>
              <w:jc w:val="center"/>
            </w:pPr>
            <w:r>
              <w:rPr>
                <w:color w:val="000000"/>
                <w:sz w:val="24"/>
              </w:rPr>
              <w:t>8</w:t>
            </w:r>
          </w:p>
        </w:tc>
        <w:tc>
          <w:tcPr>
            <w:tcW w:w="0" w:type="auto"/>
            <w:vAlign w:val="center"/>
          </w:tcPr>
          <w:p w:rsidR="00F76E61" w:rsidRDefault="006F3F52">
            <w:pPr>
              <w:jc w:val="center"/>
            </w:pPr>
            <w:r>
              <w:rPr>
                <w:color w:val="000000"/>
                <w:sz w:val="24"/>
              </w:rPr>
              <w:t>111897527</w:t>
            </w:r>
          </w:p>
        </w:tc>
        <w:tc>
          <w:tcPr>
            <w:tcW w:w="0" w:type="auto"/>
            <w:vAlign w:val="center"/>
          </w:tcPr>
          <w:p w:rsidR="00F76E61" w:rsidRDefault="006F3F52">
            <w:pPr>
              <w:jc w:val="center"/>
            </w:pPr>
            <w:r>
              <w:rPr>
                <w:color w:val="000000"/>
                <w:sz w:val="24"/>
              </w:rPr>
              <w:t>18</w:t>
            </w:r>
            <w:r>
              <w:rPr>
                <w:color w:val="000000"/>
                <w:sz w:val="24"/>
              </w:rPr>
              <w:t>宁夏银行</w:t>
            </w:r>
            <w:r>
              <w:rPr>
                <w:color w:val="000000"/>
                <w:sz w:val="24"/>
              </w:rPr>
              <w:t>CD055</w:t>
            </w:r>
          </w:p>
        </w:tc>
        <w:tc>
          <w:tcPr>
            <w:tcW w:w="0" w:type="auto"/>
            <w:vAlign w:val="center"/>
          </w:tcPr>
          <w:p w:rsidR="00F76E61" w:rsidRDefault="006F3F52">
            <w:pPr>
              <w:jc w:val="right"/>
            </w:pPr>
            <w:r>
              <w:rPr>
                <w:color w:val="000000"/>
                <w:sz w:val="24"/>
              </w:rPr>
              <w:t>2,000,000</w:t>
            </w:r>
          </w:p>
        </w:tc>
        <w:tc>
          <w:tcPr>
            <w:tcW w:w="0" w:type="auto"/>
            <w:vAlign w:val="center"/>
          </w:tcPr>
          <w:p w:rsidR="00F76E61" w:rsidRDefault="006F3F52">
            <w:pPr>
              <w:jc w:val="right"/>
            </w:pPr>
            <w:r>
              <w:rPr>
                <w:color w:val="000000"/>
                <w:sz w:val="24"/>
              </w:rPr>
              <w:t>199,011,352.05</w:t>
            </w:r>
          </w:p>
        </w:tc>
        <w:tc>
          <w:tcPr>
            <w:tcW w:w="0" w:type="auto"/>
            <w:vAlign w:val="center"/>
          </w:tcPr>
          <w:p w:rsidR="00F76E61" w:rsidRDefault="006F3F52">
            <w:pPr>
              <w:jc w:val="right"/>
            </w:pPr>
            <w:r>
              <w:rPr>
                <w:color w:val="000000"/>
                <w:sz w:val="24"/>
              </w:rPr>
              <w:t>2.15</w:t>
            </w:r>
          </w:p>
        </w:tc>
      </w:tr>
      <w:tr w:rsidR="00F76E61">
        <w:trPr>
          <w:jc w:val="center"/>
        </w:trPr>
        <w:tc>
          <w:tcPr>
            <w:tcW w:w="0" w:type="auto"/>
            <w:vAlign w:val="center"/>
          </w:tcPr>
          <w:p w:rsidR="00F76E61" w:rsidRDefault="006F3F52">
            <w:pPr>
              <w:jc w:val="center"/>
            </w:pPr>
            <w:r>
              <w:rPr>
                <w:color w:val="000000"/>
                <w:sz w:val="24"/>
              </w:rPr>
              <w:t>9</w:t>
            </w:r>
          </w:p>
        </w:tc>
        <w:tc>
          <w:tcPr>
            <w:tcW w:w="0" w:type="auto"/>
            <w:vAlign w:val="center"/>
          </w:tcPr>
          <w:p w:rsidR="00F76E61" w:rsidRDefault="006F3F52">
            <w:pPr>
              <w:jc w:val="center"/>
            </w:pPr>
            <w:r>
              <w:rPr>
                <w:color w:val="000000"/>
                <w:sz w:val="24"/>
              </w:rPr>
              <w:t>111870265</w:t>
            </w:r>
          </w:p>
        </w:tc>
        <w:tc>
          <w:tcPr>
            <w:tcW w:w="0" w:type="auto"/>
            <w:vAlign w:val="center"/>
          </w:tcPr>
          <w:p w:rsidR="00F76E61" w:rsidRDefault="006F3F52">
            <w:pPr>
              <w:jc w:val="center"/>
            </w:pPr>
            <w:r>
              <w:rPr>
                <w:color w:val="000000"/>
                <w:sz w:val="24"/>
              </w:rPr>
              <w:t>18</w:t>
            </w:r>
            <w:r>
              <w:rPr>
                <w:color w:val="000000"/>
                <w:sz w:val="24"/>
              </w:rPr>
              <w:t>长沙农商银行</w:t>
            </w:r>
            <w:r>
              <w:rPr>
                <w:color w:val="000000"/>
                <w:sz w:val="24"/>
              </w:rPr>
              <w:t>CD005</w:t>
            </w:r>
          </w:p>
        </w:tc>
        <w:tc>
          <w:tcPr>
            <w:tcW w:w="0" w:type="auto"/>
            <w:vAlign w:val="center"/>
          </w:tcPr>
          <w:p w:rsidR="00F76E61" w:rsidRDefault="006F3F52">
            <w:pPr>
              <w:jc w:val="right"/>
            </w:pPr>
            <w:r>
              <w:rPr>
                <w:color w:val="000000"/>
                <w:sz w:val="24"/>
              </w:rPr>
              <w:t>2,000,000</w:t>
            </w:r>
          </w:p>
        </w:tc>
        <w:tc>
          <w:tcPr>
            <w:tcW w:w="0" w:type="auto"/>
            <w:vAlign w:val="center"/>
          </w:tcPr>
          <w:p w:rsidR="00F76E61" w:rsidRDefault="006F3F52">
            <w:pPr>
              <w:jc w:val="right"/>
            </w:pPr>
            <w:r>
              <w:rPr>
                <w:color w:val="000000"/>
                <w:sz w:val="24"/>
              </w:rPr>
              <w:t>198,890,915.22</w:t>
            </w:r>
          </w:p>
        </w:tc>
        <w:tc>
          <w:tcPr>
            <w:tcW w:w="0" w:type="auto"/>
            <w:vAlign w:val="center"/>
          </w:tcPr>
          <w:p w:rsidR="00F76E61" w:rsidRDefault="006F3F52">
            <w:pPr>
              <w:jc w:val="right"/>
            </w:pPr>
            <w:r>
              <w:rPr>
                <w:color w:val="000000"/>
                <w:sz w:val="24"/>
              </w:rPr>
              <w:t>2.15</w:t>
            </w:r>
          </w:p>
        </w:tc>
      </w:tr>
      <w:tr w:rsidR="00F76E61">
        <w:trPr>
          <w:jc w:val="center"/>
        </w:trPr>
        <w:tc>
          <w:tcPr>
            <w:tcW w:w="0" w:type="auto"/>
            <w:vAlign w:val="center"/>
          </w:tcPr>
          <w:p w:rsidR="00F76E61" w:rsidRDefault="006F3F52">
            <w:pPr>
              <w:jc w:val="center"/>
            </w:pPr>
            <w:r>
              <w:rPr>
                <w:color w:val="000000"/>
                <w:sz w:val="24"/>
              </w:rPr>
              <w:t>10</w:t>
            </w:r>
          </w:p>
        </w:tc>
        <w:tc>
          <w:tcPr>
            <w:tcW w:w="0" w:type="auto"/>
            <w:vAlign w:val="center"/>
          </w:tcPr>
          <w:p w:rsidR="00F76E61" w:rsidRDefault="006F3F52">
            <w:pPr>
              <w:jc w:val="center"/>
            </w:pPr>
            <w:r>
              <w:rPr>
                <w:color w:val="000000"/>
                <w:sz w:val="24"/>
              </w:rPr>
              <w:t>111993884</w:t>
            </w:r>
          </w:p>
        </w:tc>
        <w:tc>
          <w:tcPr>
            <w:tcW w:w="0" w:type="auto"/>
            <w:vAlign w:val="center"/>
          </w:tcPr>
          <w:p w:rsidR="00F76E61" w:rsidRDefault="006F3F52">
            <w:pPr>
              <w:jc w:val="center"/>
            </w:pPr>
            <w:r>
              <w:rPr>
                <w:color w:val="000000"/>
                <w:sz w:val="24"/>
              </w:rPr>
              <w:t>19</w:t>
            </w:r>
            <w:r>
              <w:rPr>
                <w:color w:val="000000"/>
                <w:sz w:val="24"/>
              </w:rPr>
              <w:t>承德银行</w:t>
            </w:r>
            <w:r>
              <w:rPr>
                <w:color w:val="000000"/>
                <w:sz w:val="24"/>
              </w:rPr>
              <w:t>CD029</w:t>
            </w:r>
          </w:p>
        </w:tc>
        <w:tc>
          <w:tcPr>
            <w:tcW w:w="0" w:type="auto"/>
            <w:vAlign w:val="center"/>
          </w:tcPr>
          <w:p w:rsidR="00F76E61" w:rsidRDefault="006F3F52">
            <w:pPr>
              <w:jc w:val="right"/>
            </w:pPr>
            <w:r>
              <w:rPr>
                <w:color w:val="000000"/>
                <w:sz w:val="24"/>
              </w:rPr>
              <w:t>2,000,000</w:t>
            </w:r>
          </w:p>
        </w:tc>
        <w:tc>
          <w:tcPr>
            <w:tcW w:w="0" w:type="auto"/>
            <w:vAlign w:val="center"/>
          </w:tcPr>
          <w:p w:rsidR="00F76E61" w:rsidRDefault="006F3F52">
            <w:pPr>
              <w:jc w:val="right"/>
            </w:pPr>
            <w:r>
              <w:rPr>
                <w:color w:val="000000"/>
                <w:sz w:val="24"/>
              </w:rPr>
              <w:t>198,676,211.18</w:t>
            </w:r>
          </w:p>
        </w:tc>
        <w:tc>
          <w:tcPr>
            <w:tcW w:w="0" w:type="auto"/>
            <w:vAlign w:val="center"/>
          </w:tcPr>
          <w:p w:rsidR="00F76E61" w:rsidRDefault="006F3F52">
            <w:pPr>
              <w:jc w:val="right"/>
            </w:pPr>
            <w:r>
              <w:rPr>
                <w:color w:val="000000"/>
                <w:sz w:val="24"/>
              </w:rPr>
              <w:t>2.15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4</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0.2631%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0.1318%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0.1931%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d"/>
        <w:tblW w:w="8868" w:type="dxa"/>
        <w:jc w:val="center"/>
        <w:tblCellMar>
          <w:top w:w="57" w:type="dxa"/>
          <w:bottom w:w="57" w:type="dxa"/>
        </w:tblCellMar>
        <w:tblLook w:val="04A0" w:firstRow="1" w:lastRow="0" w:firstColumn="1" w:lastColumn="0" w:noHBand="0" w:noVBand="1"/>
      </w:tblPr>
      <w:tblGrid>
        <w:gridCol w:w="1410"/>
        <w:gridCol w:w="1469"/>
        <w:gridCol w:w="1445"/>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76E61">
        <w:trPr>
          <w:jc w:val="center"/>
        </w:trPr>
        <w:tc>
          <w:tcPr>
            <w:tcW w:w="0" w:type="auto"/>
            <w:vAlign w:val="center"/>
          </w:tcPr>
          <w:p w:rsidR="00F76E61" w:rsidRDefault="006F3F52">
            <w:pPr>
              <w:jc w:val="center"/>
            </w:pPr>
            <w:r>
              <w:rPr>
                <w:color w:val="000000"/>
                <w:sz w:val="24"/>
              </w:rPr>
              <w:t>1</w:t>
            </w:r>
          </w:p>
        </w:tc>
        <w:tc>
          <w:tcPr>
            <w:tcW w:w="0" w:type="auto"/>
            <w:vAlign w:val="center"/>
          </w:tcPr>
          <w:p w:rsidR="00F76E61" w:rsidRDefault="006F3F52">
            <w:pPr>
              <w:jc w:val="center"/>
            </w:pPr>
            <w:r>
              <w:rPr>
                <w:color w:val="000000"/>
                <w:sz w:val="24"/>
              </w:rPr>
              <w:t>149295</w:t>
            </w:r>
          </w:p>
        </w:tc>
        <w:tc>
          <w:tcPr>
            <w:tcW w:w="0" w:type="auto"/>
            <w:vAlign w:val="center"/>
          </w:tcPr>
          <w:p w:rsidR="00F76E61" w:rsidRDefault="006F3F52" w:rsidP="006F3F52">
            <w:pPr>
              <w:jc w:val="center"/>
            </w:pPr>
            <w:r>
              <w:rPr>
                <w:color w:val="000000"/>
                <w:sz w:val="24"/>
              </w:rPr>
              <w:t>宁远</w:t>
            </w:r>
            <w:r>
              <w:rPr>
                <w:color w:val="000000"/>
                <w:sz w:val="24"/>
              </w:rPr>
              <w:t>02A2</w:t>
            </w:r>
          </w:p>
        </w:tc>
        <w:tc>
          <w:tcPr>
            <w:tcW w:w="0" w:type="auto"/>
            <w:vAlign w:val="center"/>
          </w:tcPr>
          <w:p w:rsidR="00F76E61" w:rsidRDefault="006F3F52">
            <w:pPr>
              <w:jc w:val="right"/>
            </w:pPr>
            <w:r>
              <w:rPr>
                <w:color w:val="000000"/>
                <w:sz w:val="24"/>
              </w:rPr>
              <w:t>900,000</w:t>
            </w:r>
          </w:p>
        </w:tc>
        <w:tc>
          <w:tcPr>
            <w:tcW w:w="0" w:type="auto"/>
            <w:vAlign w:val="center"/>
          </w:tcPr>
          <w:p w:rsidR="00F76E61" w:rsidRDefault="006F3F52">
            <w:pPr>
              <w:jc w:val="right"/>
            </w:pPr>
            <w:r>
              <w:rPr>
                <w:color w:val="000000"/>
                <w:sz w:val="24"/>
              </w:rPr>
              <w:t>33,912,000.00</w:t>
            </w:r>
          </w:p>
        </w:tc>
        <w:tc>
          <w:tcPr>
            <w:tcW w:w="0" w:type="auto"/>
            <w:vAlign w:val="center"/>
          </w:tcPr>
          <w:p w:rsidR="00F76E61" w:rsidRDefault="006F3F52">
            <w:pPr>
              <w:jc w:val="right"/>
            </w:pPr>
            <w:r>
              <w:rPr>
                <w:color w:val="000000"/>
                <w:sz w:val="24"/>
              </w:rPr>
              <w:t>0.37</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d"/>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31,386,584.12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31,386,584.12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8,956,638.90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11,759,859,670.82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64,676.62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95,628,780.92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542,399.21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2,602,246,662.64</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8,478,916.31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9,253,241,789.10</w:t>
            </w:r>
          </w:p>
        </w:tc>
      </w:tr>
    </w:tbl>
    <w:p w:rsidR="00F76E61" w:rsidRDefault="006F3F5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F76E61" w:rsidRDefault="006F3F52">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F76E61">
        <w:tc>
          <w:tcPr>
            <w:tcW w:w="992" w:type="dxa"/>
            <w:vMerge w:val="restart"/>
          </w:tcPr>
          <w:p w:rsidR="00F76E61" w:rsidRDefault="00F76E61"/>
          <w:p w:rsidR="00F76E61" w:rsidRDefault="006F3F52">
            <w:r>
              <w:rPr>
                <w:rFonts w:ascii="宋体" w:hAnsi="宋体" w:hint="eastAsia"/>
                <w:bCs/>
                <w:color w:val="000000"/>
                <w:kern w:val="0"/>
                <w:szCs w:val="21"/>
              </w:rPr>
              <w:t>机构</w:t>
            </w:r>
          </w:p>
        </w:tc>
        <w:tc>
          <w:tcPr>
            <w:tcW w:w="991" w:type="dxa"/>
            <w:vAlign w:val="center"/>
          </w:tcPr>
          <w:p w:rsidR="00F76E61" w:rsidRDefault="006F3F52">
            <w:pPr>
              <w:jc w:val="center"/>
            </w:pPr>
            <w:r>
              <w:rPr>
                <w:rFonts w:ascii="宋体" w:hAnsi="宋体" w:hint="eastAsia"/>
                <w:color w:val="000000"/>
                <w:kern w:val="0"/>
                <w:szCs w:val="21"/>
              </w:rPr>
              <w:t>1</w:t>
            </w:r>
          </w:p>
        </w:tc>
        <w:tc>
          <w:tcPr>
            <w:tcW w:w="1843" w:type="dxa"/>
            <w:vAlign w:val="center"/>
          </w:tcPr>
          <w:p w:rsidR="00F76E61" w:rsidRDefault="006F3F52">
            <w:pPr>
              <w:jc w:val="center"/>
            </w:pPr>
            <w:r>
              <w:rPr>
                <w:rFonts w:ascii="宋体" w:hAnsi="宋体" w:hint="eastAsia"/>
                <w:color w:val="000000"/>
                <w:kern w:val="0"/>
                <w:szCs w:val="21"/>
              </w:rPr>
              <w:t>2019/1/1-2019/3/31</w:t>
            </w:r>
          </w:p>
        </w:tc>
        <w:tc>
          <w:tcPr>
            <w:tcW w:w="851" w:type="dxa"/>
            <w:vAlign w:val="center"/>
          </w:tcPr>
          <w:p w:rsidR="00F76E61" w:rsidRDefault="006F3F52">
            <w:pPr>
              <w:jc w:val="center"/>
            </w:pPr>
            <w:r>
              <w:rPr>
                <w:rFonts w:ascii="宋体" w:hAnsi="宋体" w:hint="eastAsia"/>
                <w:color w:val="000000"/>
                <w:kern w:val="0"/>
                <w:szCs w:val="21"/>
              </w:rPr>
              <w:t>2,058,909,336.83</w:t>
            </w:r>
          </w:p>
        </w:tc>
        <w:tc>
          <w:tcPr>
            <w:tcW w:w="850" w:type="dxa"/>
            <w:vAlign w:val="center"/>
          </w:tcPr>
          <w:p w:rsidR="00F76E61" w:rsidRDefault="006F3F52">
            <w:pPr>
              <w:jc w:val="center"/>
            </w:pPr>
            <w:r>
              <w:rPr>
                <w:rFonts w:ascii="宋体" w:hAnsi="宋体" w:hint="eastAsia"/>
                <w:color w:val="000000"/>
                <w:kern w:val="0"/>
                <w:szCs w:val="21"/>
              </w:rPr>
              <w:t>25,056,254.78</w:t>
            </w:r>
          </w:p>
        </w:tc>
        <w:tc>
          <w:tcPr>
            <w:tcW w:w="1134" w:type="dxa"/>
            <w:vAlign w:val="center"/>
          </w:tcPr>
          <w:p w:rsidR="00F76E61" w:rsidRDefault="006F3F52">
            <w:pPr>
              <w:jc w:val="center"/>
            </w:pPr>
            <w:r>
              <w:rPr>
                <w:rFonts w:ascii="宋体" w:hAnsi="宋体" w:hint="eastAsia"/>
                <w:color w:val="000000"/>
                <w:kern w:val="0"/>
                <w:szCs w:val="21"/>
              </w:rPr>
              <w:t>-</w:t>
            </w:r>
          </w:p>
        </w:tc>
        <w:tc>
          <w:tcPr>
            <w:tcW w:w="1419" w:type="dxa"/>
            <w:vAlign w:val="center"/>
          </w:tcPr>
          <w:p w:rsidR="00F76E61" w:rsidRDefault="006F3F52">
            <w:pPr>
              <w:jc w:val="center"/>
            </w:pPr>
            <w:r>
              <w:rPr>
                <w:rFonts w:ascii="宋体" w:hAnsi="宋体" w:hint="eastAsia"/>
                <w:color w:val="000000"/>
                <w:kern w:val="0"/>
                <w:szCs w:val="21"/>
              </w:rPr>
              <w:t>2,083,965,591.61</w:t>
            </w:r>
          </w:p>
        </w:tc>
        <w:tc>
          <w:tcPr>
            <w:tcW w:w="1130" w:type="dxa"/>
            <w:vAlign w:val="center"/>
          </w:tcPr>
          <w:p w:rsidR="00F76E61" w:rsidRDefault="006F3F52">
            <w:pPr>
              <w:jc w:val="center"/>
            </w:pPr>
            <w:r>
              <w:rPr>
                <w:rFonts w:ascii="宋体" w:hAnsi="宋体" w:hint="eastAsia"/>
                <w:color w:val="000000"/>
                <w:kern w:val="0"/>
                <w:szCs w:val="21"/>
              </w:rPr>
              <w:t>22.50%</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F76E61" w:rsidRDefault="006F3F52">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F76E61" w:rsidRDefault="006F3F52">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F76E61" w:rsidRDefault="006F3F52">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F76E61" w:rsidRDefault="006F3F52">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F76E61" w:rsidRDefault="006F3F52">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F76E61" w:rsidRDefault="006F3F52">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76E61" w:rsidRDefault="006F3F52">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F76E61" w:rsidRDefault="006F3F5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E" w:rsidRPr="001D0DB0" w:rsidRDefault="00D1705E" w:rsidP="001D0DB0">
    <w:pPr>
      <w:pStyle w:val="a6"/>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D96F47">
      <w:rPr>
        <w:noProof/>
        <w:kern w:val="0"/>
        <w:szCs w:val="21"/>
      </w:rPr>
      <w:t>10</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D96F47">
      <w:rPr>
        <w:noProof/>
        <w:kern w:val="0"/>
        <w:szCs w:val="21"/>
      </w:rPr>
      <w:t>15</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60</w:t>
    </w:r>
    <w:r w:rsidRPr="003E676C">
      <w:rPr>
        <w:sz w:val="24"/>
        <w:szCs w:val="24"/>
      </w:rPr>
      <w:t>天债券型证券投资基金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3F52"/>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96F47"/>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6E61"/>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B4D87C21-0755-4136-9E6E-32B24092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character" w:styleId="af1">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59F685F-526C-4375-89A2-E439CC32C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15</Pages>
  <Words>1301</Words>
  <Characters>7416</Characters>
  <Application>Microsoft Office Word</Application>
  <DocSecurity>0</DocSecurity>
  <Lines>61</Lines>
  <Paragraphs>17</Paragraphs>
  <ScaleCrop>false</ScaleCrop>
  <Company>jysld</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沈向文</cp:lastModifiedBy>
  <cp:revision>316</cp:revision>
  <cp:lastPrinted>2009-01-22T10:11:00Z</cp:lastPrinted>
  <dcterms:created xsi:type="dcterms:W3CDTF">2012-11-21T05:49:00Z</dcterms:created>
  <dcterms:modified xsi:type="dcterms:W3CDTF">2019-04-11T10:04:00Z</dcterms:modified>
</cp:coreProperties>
</file>