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2019</w:t>
      </w:r>
      <w:r w:rsidRPr="006C615F">
        <w:rPr>
          <w:b/>
          <w:sz w:val="36"/>
          <w:szCs w:val="36"/>
        </w:rPr>
        <w:t>年第</w:t>
      </w:r>
      <w:r w:rsidRPr="006C615F">
        <w:rPr>
          <w:b/>
          <w:sz w:val="36"/>
          <w:szCs w:val="36"/>
        </w:rPr>
        <w:t>1</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2019</w:t>
      </w:r>
      <w:r w:rsidRPr="006C615F">
        <w:rPr>
          <w:b/>
          <w:sz w:val="36"/>
          <w:szCs w:val="36"/>
        </w:rPr>
        <w:t>年</w:t>
      </w:r>
      <w:r w:rsidRPr="006C615F">
        <w:rPr>
          <w:b/>
          <w:sz w:val="36"/>
          <w:szCs w:val="36"/>
        </w:rPr>
        <w:t>3</w:t>
      </w:r>
      <w:r w:rsidRPr="006C615F">
        <w:rPr>
          <w:b/>
          <w:sz w:val="36"/>
          <w:szCs w:val="36"/>
        </w:rPr>
        <w:t>月</w:t>
      </w:r>
      <w:r w:rsidRPr="006C615F">
        <w:rPr>
          <w:b/>
          <w:sz w:val="36"/>
          <w:szCs w:val="36"/>
        </w:rPr>
        <w:t>31</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E74491">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6C615F">
        <w:rPr>
          <w:b/>
          <w:color w:val="000000"/>
          <w:sz w:val="24"/>
        </w:rPr>
        <w:t>报告送出日期：</w:t>
      </w:r>
      <w:r w:rsidR="00AB5C7D" w:rsidRPr="006C615F">
        <w:rPr>
          <w:b/>
          <w:color w:val="000000"/>
          <w:sz w:val="24"/>
        </w:rPr>
        <w:t>二〇一九年四月二十日</w:t>
      </w:r>
    </w:p>
    <w:p w:rsidR="00220542" w:rsidRPr="00324C76" w:rsidRDefault="00220542" w:rsidP="00820FB9">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7C19EB" w:rsidRDefault="00EE119A">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C19EB" w:rsidRDefault="00EE119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C19EB" w:rsidRDefault="00EE119A">
      <w:pPr>
        <w:spacing w:before="29" w:line="288" w:lineRule="auto"/>
        <w:ind w:firstLineChars="200" w:firstLine="480"/>
        <w:rPr>
          <w:color w:val="000000"/>
          <w:sz w:val="24"/>
        </w:rPr>
      </w:pPr>
      <w:r>
        <w:rPr>
          <w:color w:val="000000"/>
          <w:sz w:val="24"/>
        </w:rPr>
        <w:t>基金管理人承诺以诚实信用、勤勉尽责的原则管理和运用基金资产，但不保证</w:t>
      </w:r>
      <w:r>
        <w:rPr>
          <w:color w:val="000000"/>
          <w:sz w:val="24"/>
        </w:rPr>
        <w:t>基金一定盈利。</w:t>
      </w:r>
      <w:r>
        <w:rPr>
          <w:color w:val="000000"/>
          <w:sz w:val="24"/>
        </w:rPr>
        <w:t xml:space="preserve"> </w:t>
      </w:r>
    </w:p>
    <w:p w:rsidR="007C19EB" w:rsidRDefault="00EE119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C19EB" w:rsidRDefault="00EE119A">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2019</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3</w:t>
      </w:r>
      <w:r w:rsidRPr="00324C76">
        <w:rPr>
          <w:color w:val="000000"/>
          <w:sz w:val="24"/>
        </w:rPr>
        <w:t>月</w:t>
      </w:r>
      <w:r w:rsidRPr="00324C76">
        <w:rPr>
          <w:color w:val="000000"/>
          <w:sz w:val="24"/>
        </w:rPr>
        <w:t>31</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597E06">
        <w:rPr>
          <w:rFonts w:ascii="Times New Roman" w:hAnsi="Times New Roman" w:cs="Times New Roman"/>
          <w:szCs w:val="24"/>
        </w:rPr>
        <w:t xml:space="preserve"> </w:t>
      </w:r>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313,699,537.64</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00597E06">
        <w:rPr>
          <w:rFonts w:ascii="Times New Roman" w:hAnsi="Times New Roman" w:cs="Times New Roman"/>
          <w:szCs w:val="24"/>
        </w:rPr>
        <w:t xml:space="preserve"> </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r w:rsidR="00597E06">
          <w:rPr>
            <w:rFonts w:ascii="Times New Roman" w:hAnsi="Times New Roman" w:cs="Times New Roman"/>
            <w:szCs w:val="24"/>
          </w:rPr>
          <w:t xml:space="preserve"> </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EE119A" w:rsidRPr="00324C76" w:rsidTr="00EE119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2019</w:t>
            </w:r>
            <w:r w:rsidRPr="00324C76">
              <w:rPr>
                <w:color w:val="000000"/>
                <w:sz w:val="24"/>
              </w:rPr>
              <w:t>年</w:t>
            </w:r>
            <w:r w:rsidRPr="00324C76">
              <w:rPr>
                <w:color w:val="000000"/>
                <w:sz w:val="24"/>
              </w:rPr>
              <w:t>1</w:t>
            </w:r>
            <w:r w:rsidRPr="00324C76">
              <w:rPr>
                <w:color w:val="000000"/>
                <w:sz w:val="24"/>
              </w:rPr>
              <w:t>月</w:t>
            </w:r>
            <w:r w:rsidRPr="00324C76">
              <w:rPr>
                <w:color w:val="000000"/>
                <w:sz w:val="24"/>
              </w:rPr>
              <w:t>1</w:t>
            </w:r>
            <w:r w:rsidRPr="00324C76">
              <w:rPr>
                <w:color w:val="000000"/>
                <w:sz w:val="24"/>
              </w:rPr>
              <w:t>日</w:t>
            </w:r>
            <w:r w:rsidRPr="00324C76">
              <w:rPr>
                <w:color w:val="000000"/>
                <w:sz w:val="24"/>
              </w:rPr>
              <w:t>-2019</w:t>
            </w:r>
            <w:r w:rsidRPr="00324C76">
              <w:rPr>
                <w:color w:val="000000"/>
                <w:sz w:val="24"/>
              </w:rPr>
              <w:t>年</w:t>
            </w:r>
            <w:r w:rsidRPr="00324C76">
              <w:rPr>
                <w:color w:val="000000"/>
                <w:sz w:val="24"/>
              </w:rPr>
              <w:t>3</w:t>
            </w:r>
            <w:r w:rsidRPr="00324C76">
              <w:rPr>
                <w:color w:val="000000"/>
                <w:sz w:val="24"/>
              </w:rPr>
              <w:t>月</w:t>
            </w:r>
            <w:r w:rsidRPr="00324C76">
              <w:rPr>
                <w:color w:val="000000"/>
                <w:sz w:val="24"/>
              </w:rPr>
              <w:t>31</w:t>
            </w:r>
            <w:r w:rsidRPr="00324C76">
              <w:rPr>
                <w:color w:val="000000"/>
                <w:sz w:val="24"/>
              </w:rPr>
              <w:t>日</w:t>
            </w:r>
            <w:r w:rsidR="00F53C6A" w:rsidRPr="00324C76">
              <w:rPr>
                <w:color w:val="000000"/>
                <w:kern w:val="0"/>
                <w:sz w:val="24"/>
              </w:rPr>
              <w:t>)</w:t>
            </w:r>
          </w:p>
        </w:tc>
      </w:tr>
      <w:tr w:rsidR="00EE119A" w:rsidRPr="00324C76" w:rsidTr="00EE119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4,685,422.92</w:t>
            </w:r>
          </w:p>
        </w:tc>
      </w:tr>
      <w:tr w:rsidR="00EE119A" w:rsidRPr="00324C76" w:rsidTr="00EE119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72,002,569.29</w:t>
            </w:r>
          </w:p>
        </w:tc>
      </w:tr>
      <w:tr w:rsidR="00EE119A" w:rsidRPr="00324C76" w:rsidTr="00EE119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0.2229</w:t>
            </w:r>
          </w:p>
        </w:tc>
      </w:tr>
      <w:tr w:rsidR="00EE119A" w:rsidRPr="00324C76" w:rsidTr="00EE119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410,054,905.83</w:t>
            </w:r>
          </w:p>
        </w:tc>
      </w:tr>
      <w:tr w:rsidR="00EE119A" w:rsidRPr="00324C76" w:rsidTr="00EE119A">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1.307</w:t>
            </w:r>
          </w:p>
        </w:tc>
      </w:tr>
    </w:tbl>
    <w:p w:rsidR="007C19EB" w:rsidRDefault="00EE119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7C19EB">
        <w:trPr>
          <w:jc w:val="center"/>
        </w:trPr>
        <w:tc>
          <w:tcPr>
            <w:tcW w:w="1469" w:type="dxa"/>
            <w:vAlign w:val="center"/>
          </w:tcPr>
          <w:p w:rsidR="007C19EB" w:rsidRDefault="00EE119A">
            <w:pPr>
              <w:jc w:val="left"/>
            </w:pPr>
            <w:r>
              <w:rPr>
                <w:color w:val="000000"/>
                <w:sz w:val="24"/>
              </w:rPr>
              <w:t>过去三个月</w:t>
            </w:r>
          </w:p>
        </w:tc>
        <w:tc>
          <w:tcPr>
            <w:tcW w:w="1150" w:type="dxa"/>
            <w:vAlign w:val="center"/>
          </w:tcPr>
          <w:p w:rsidR="007C19EB" w:rsidRDefault="00EE119A">
            <w:pPr>
              <w:jc w:val="center"/>
            </w:pPr>
            <w:r>
              <w:rPr>
                <w:color w:val="000000"/>
                <w:sz w:val="24"/>
              </w:rPr>
              <w:t>20.46%</w:t>
            </w:r>
          </w:p>
        </w:tc>
        <w:tc>
          <w:tcPr>
            <w:tcW w:w="1223" w:type="dxa"/>
            <w:vAlign w:val="center"/>
          </w:tcPr>
          <w:p w:rsidR="007C19EB" w:rsidRDefault="00EE119A">
            <w:pPr>
              <w:jc w:val="center"/>
            </w:pPr>
            <w:r>
              <w:rPr>
                <w:color w:val="000000"/>
                <w:sz w:val="24"/>
              </w:rPr>
              <w:t>1.44%</w:t>
            </w:r>
          </w:p>
        </w:tc>
        <w:tc>
          <w:tcPr>
            <w:tcW w:w="1244" w:type="dxa"/>
            <w:vAlign w:val="center"/>
          </w:tcPr>
          <w:p w:rsidR="007C19EB" w:rsidRDefault="00EE119A">
            <w:pPr>
              <w:jc w:val="center"/>
            </w:pPr>
            <w:r>
              <w:rPr>
                <w:color w:val="000000"/>
                <w:sz w:val="24"/>
              </w:rPr>
              <w:t>20.50%</w:t>
            </w:r>
          </w:p>
        </w:tc>
        <w:tc>
          <w:tcPr>
            <w:tcW w:w="1251" w:type="dxa"/>
            <w:vAlign w:val="center"/>
          </w:tcPr>
          <w:p w:rsidR="007C19EB" w:rsidRDefault="00EE119A">
            <w:pPr>
              <w:jc w:val="center"/>
            </w:pPr>
            <w:r>
              <w:rPr>
                <w:color w:val="000000"/>
                <w:sz w:val="24"/>
              </w:rPr>
              <w:t>1.44%</w:t>
            </w:r>
          </w:p>
        </w:tc>
        <w:tc>
          <w:tcPr>
            <w:tcW w:w="1263" w:type="dxa"/>
            <w:vAlign w:val="center"/>
          </w:tcPr>
          <w:p w:rsidR="007C19EB" w:rsidRDefault="00EE119A">
            <w:pPr>
              <w:jc w:val="center"/>
            </w:pPr>
            <w:r>
              <w:rPr>
                <w:color w:val="000000"/>
                <w:sz w:val="24"/>
              </w:rPr>
              <w:t>-0.04%</w:t>
            </w:r>
          </w:p>
        </w:tc>
        <w:tc>
          <w:tcPr>
            <w:tcW w:w="1268" w:type="dxa"/>
            <w:vAlign w:val="center"/>
          </w:tcPr>
          <w:p w:rsidR="007C19EB" w:rsidRDefault="00EE119A">
            <w:pPr>
              <w:jc w:val="center"/>
            </w:pPr>
            <w:r>
              <w:rPr>
                <w:color w:val="000000"/>
                <w:sz w:val="24"/>
              </w:rPr>
              <w:t>0.00%</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2019</w:t>
      </w:r>
      <w:r w:rsidRPr="00324C76">
        <w:rPr>
          <w:color w:val="000000"/>
          <w:kern w:val="0"/>
          <w:sz w:val="24"/>
        </w:rPr>
        <w:t>年</w:t>
      </w:r>
      <w:r w:rsidRPr="00324C76">
        <w:rPr>
          <w:color w:val="000000"/>
          <w:kern w:val="0"/>
          <w:sz w:val="24"/>
        </w:rPr>
        <w:t>3</w:t>
      </w:r>
      <w:r w:rsidRPr="00324C76">
        <w:rPr>
          <w:color w:val="000000"/>
          <w:kern w:val="0"/>
          <w:sz w:val="24"/>
        </w:rPr>
        <w:t>月</w:t>
      </w:r>
      <w:r w:rsidRPr="00324C76">
        <w:rPr>
          <w:color w:val="000000"/>
          <w:kern w:val="0"/>
          <w:sz w:val="24"/>
        </w:rPr>
        <w:t>31</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7C19EB">
        <w:trPr>
          <w:jc w:val="center"/>
        </w:trPr>
        <w:tc>
          <w:tcPr>
            <w:tcW w:w="846" w:type="dxa"/>
            <w:vAlign w:val="center"/>
          </w:tcPr>
          <w:p w:rsidR="007C19EB" w:rsidRDefault="00EE119A">
            <w:pPr>
              <w:jc w:val="center"/>
            </w:pPr>
            <w:r>
              <w:rPr>
                <w:color w:val="000000"/>
                <w:sz w:val="24"/>
              </w:rPr>
              <w:t>蔡铮</w:t>
            </w:r>
          </w:p>
        </w:tc>
        <w:tc>
          <w:tcPr>
            <w:tcW w:w="845" w:type="dxa"/>
            <w:vAlign w:val="center"/>
          </w:tcPr>
          <w:p w:rsidR="007C19EB" w:rsidRDefault="00EE119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w:t>
            </w:r>
            <w:r>
              <w:rPr>
                <w:color w:val="000000"/>
                <w:sz w:val="24"/>
              </w:rPr>
              <w:lastRenderedPageBreak/>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549" w:type="dxa"/>
            <w:vAlign w:val="center"/>
          </w:tcPr>
          <w:p w:rsidR="007C19EB" w:rsidRDefault="00EE119A">
            <w:pPr>
              <w:jc w:val="center"/>
            </w:pPr>
            <w:r>
              <w:rPr>
                <w:color w:val="000000"/>
                <w:sz w:val="24"/>
              </w:rPr>
              <w:lastRenderedPageBreak/>
              <w:t>2012-12-27</w:t>
            </w:r>
          </w:p>
        </w:tc>
        <w:tc>
          <w:tcPr>
            <w:tcW w:w="1548" w:type="dxa"/>
            <w:vAlign w:val="center"/>
          </w:tcPr>
          <w:p w:rsidR="007C19EB" w:rsidRDefault="00EE119A">
            <w:pPr>
              <w:jc w:val="center"/>
            </w:pPr>
            <w:r>
              <w:rPr>
                <w:color w:val="000000"/>
                <w:sz w:val="24"/>
              </w:rPr>
              <w:t>-</w:t>
            </w:r>
          </w:p>
        </w:tc>
        <w:tc>
          <w:tcPr>
            <w:tcW w:w="1407" w:type="dxa"/>
            <w:vAlign w:val="center"/>
          </w:tcPr>
          <w:p w:rsidR="007C19EB" w:rsidRDefault="00EE119A">
            <w:pPr>
              <w:jc w:val="center"/>
            </w:pPr>
            <w:r>
              <w:rPr>
                <w:color w:val="000000"/>
                <w:sz w:val="24"/>
              </w:rPr>
              <w:t>10</w:t>
            </w:r>
            <w:r>
              <w:rPr>
                <w:color w:val="000000"/>
                <w:sz w:val="24"/>
              </w:rPr>
              <w:t>年</w:t>
            </w:r>
          </w:p>
        </w:tc>
        <w:tc>
          <w:tcPr>
            <w:tcW w:w="2673" w:type="dxa"/>
            <w:vAlign w:val="center"/>
          </w:tcPr>
          <w:p w:rsidR="007C19EB" w:rsidRDefault="00EE119A">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lastRenderedPageBreak/>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公平交易制度的执行情况</w:t>
      </w:r>
    </w:p>
    <w:p w:rsidR="007C19EB" w:rsidRDefault="00EE119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C19EB" w:rsidRDefault="00EE119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7C19EB" w:rsidRDefault="00EE119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7C19EB" w:rsidRDefault="00EE119A">
      <w:pPr>
        <w:spacing w:before="29" w:line="288" w:lineRule="auto"/>
        <w:ind w:firstLineChars="200" w:firstLine="480"/>
        <w:rPr>
          <w:color w:val="000000"/>
          <w:sz w:val="24"/>
        </w:rPr>
      </w:pPr>
      <w:r>
        <w:rPr>
          <w:color w:val="000000"/>
          <w:sz w:val="24"/>
        </w:rPr>
        <w:t>2019</w:t>
      </w:r>
      <w:r>
        <w:rPr>
          <w:color w:val="000000"/>
          <w:sz w:val="24"/>
        </w:rPr>
        <w:t>年一季度国内宏观环境基本稳定，央行货币政策维持稳健，财政政策加力提效，减税降费力度加大，政府积极扶持中小企业和新经济发展，多方面政策持续发力缓解经济下行压力。在此经济背景下，一季度</w:t>
      </w:r>
      <w:r>
        <w:rPr>
          <w:color w:val="000000"/>
          <w:sz w:val="24"/>
        </w:rPr>
        <w:t>A</w:t>
      </w:r>
      <w:r>
        <w:rPr>
          <w:color w:val="000000"/>
          <w:sz w:val="24"/>
        </w:rPr>
        <w:t>股市场风险偏好显著回升，市场点位大幅上行。作为跟踪基准指数的指数基金</w:t>
      </w:r>
      <w:r>
        <w:rPr>
          <w:color w:val="000000"/>
          <w:sz w:val="24"/>
        </w:rPr>
        <w:t>，一季度基金总体呈现稳步上行的趋势。</w:t>
      </w:r>
    </w:p>
    <w:p w:rsidR="004D6E34" w:rsidRPr="00324C76" w:rsidRDefault="00E27AF2" w:rsidP="00B04217">
      <w:pPr>
        <w:spacing w:before="29" w:line="288" w:lineRule="auto"/>
        <w:ind w:firstLineChars="200" w:firstLine="480"/>
        <w:rPr>
          <w:color w:val="000000"/>
          <w:sz w:val="24"/>
        </w:rPr>
      </w:pPr>
      <w:r w:rsidRPr="00324C76">
        <w:rPr>
          <w:color w:val="000000"/>
          <w:sz w:val="24"/>
        </w:rPr>
        <w:lastRenderedPageBreak/>
        <w:t>展望</w:t>
      </w:r>
      <w:r w:rsidRPr="00324C76">
        <w:rPr>
          <w:color w:val="000000"/>
          <w:sz w:val="24"/>
        </w:rPr>
        <w:t>2019</w:t>
      </w:r>
      <w:r w:rsidRPr="00324C76">
        <w:rPr>
          <w:color w:val="000000"/>
          <w:sz w:val="24"/>
        </w:rPr>
        <w:t>年二季度，我们认为宏观经济依然面临一定挑战，投资和消费增速下行压力犹存，政策力度或将持续加码，新兴产业加速发展，科创板稳步推进。市场经历了一季度的快速反弹，整体估值水平有所修复。总体而言，从中长期来看我们对</w:t>
      </w:r>
      <w:r w:rsidRPr="00324C76">
        <w:rPr>
          <w:color w:val="000000"/>
          <w:sz w:val="24"/>
        </w:rPr>
        <w:t>A</w:t>
      </w:r>
      <w:r w:rsidRPr="00324C76">
        <w:rPr>
          <w:color w:val="000000"/>
          <w:sz w:val="24"/>
        </w:rPr>
        <w:t>股市场仍维持谨慎乐观的看法。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本基金（各类）份额净值及业绩表现请见</w:t>
      </w:r>
      <w:r w:rsidRPr="00324C76">
        <w:rPr>
          <w:color w:val="000000"/>
          <w:sz w:val="24"/>
        </w:rPr>
        <w:t xml:space="preserve">“3.1 </w:t>
      </w:r>
      <w:r w:rsidRPr="00324C76">
        <w:rPr>
          <w:color w:val="000000"/>
          <w:sz w:val="24"/>
        </w:rPr>
        <w:t>主要财务指标</w:t>
      </w:r>
      <w:r w:rsidRPr="00324C76">
        <w:rPr>
          <w:color w:val="000000"/>
          <w:sz w:val="24"/>
        </w:rPr>
        <w:t xml:space="preserve">” </w:t>
      </w:r>
      <w:r w:rsidRPr="00324C76">
        <w:rPr>
          <w:color w:val="000000"/>
          <w:sz w:val="24"/>
        </w:rPr>
        <w:t>及</w:t>
      </w:r>
      <w:r w:rsidRPr="00324C76">
        <w:rPr>
          <w:color w:val="000000"/>
          <w:sz w:val="24"/>
        </w:rPr>
        <w:t>“3.2.1</w:t>
      </w:r>
      <w:r w:rsidRPr="00324C76">
        <w:rPr>
          <w:color w:val="000000"/>
          <w:sz w:val="24"/>
        </w:rPr>
        <w:t>本报告期基金份额净值增长率及其与同期业绩比较基准收益率的比较</w:t>
      </w:r>
      <w:r w:rsidRPr="00324C76">
        <w:rPr>
          <w:color w:val="000000"/>
          <w:sz w:val="24"/>
        </w:rPr>
        <w:t>”</w:t>
      </w:r>
      <w:r w:rsidRPr="00324C76">
        <w:rPr>
          <w:color w:val="000000"/>
          <w:sz w:val="24"/>
        </w:rPr>
        <w:t>部分披露。</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820FB9">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BA170A" w:rsidRPr="00AE0465" w:rsidRDefault="00BA170A" w:rsidP="00BA170A">
      <w:pPr>
        <w:autoSpaceDE w:val="0"/>
        <w:autoSpaceDN w:val="0"/>
        <w:adjustRightInd w:val="0"/>
        <w:spacing w:line="360" w:lineRule="auto"/>
        <w:jc w:val="left"/>
        <w:rPr>
          <w:rFonts w:eastAsiaTheme="minorEastAsia"/>
          <w:b/>
          <w:color w:val="000000" w:themeColor="text1"/>
          <w:kern w:val="0"/>
          <w:sz w:val="24"/>
        </w:rPr>
      </w:pPr>
      <w:r w:rsidRPr="00AE0465">
        <w:rPr>
          <w:rFonts w:eastAsiaTheme="minorEastAsia"/>
          <w:b/>
          <w:color w:val="000000" w:themeColor="text1"/>
          <w:kern w:val="0"/>
          <w:sz w:val="24"/>
        </w:rPr>
        <w:t xml:space="preserve">5.1 </w:t>
      </w:r>
      <w:r w:rsidRPr="00AE0465">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序号</w:t>
            </w:r>
          </w:p>
        </w:tc>
        <w:tc>
          <w:tcPr>
            <w:tcW w:w="2824"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项目</w:t>
            </w:r>
          </w:p>
        </w:tc>
        <w:tc>
          <w:tcPr>
            <w:tcW w:w="2552"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金额</w:t>
            </w:r>
            <w:r w:rsidRPr="00AE0465">
              <w:rPr>
                <w:rFonts w:eastAsiaTheme="minorEastAsia"/>
                <w:color w:val="000000" w:themeColor="text1"/>
                <w:sz w:val="24"/>
              </w:rPr>
              <w:t>(</w:t>
            </w:r>
            <w:r w:rsidRPr="00AE0465">
              <w:rPr>
                <w:rFonts w:eastAsiaTheme="minorEastAsia"/>
                <w:color w:val="000000" w:themeColor="text1"/>
                <w:sz w:val="24"/>
              </w:rPr>
              <w:t>元</w:t>
            </w: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占基金总资产的比例</w:t>
            </w: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1</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权益投资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5,268,551.52</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1.28</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其中：股票</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5,268,551.52</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1.28</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2</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ascii="宋体" w:hAnsi="宋体" w:hint="eastAsia"/>
                <w:sz w:val="24"/>
              </w:rPr>
              <w:t>基金投资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379,252,473.13</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92.27</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3</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固定收益投资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其中：债券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AE0465">
            <w:pPr>
              <w:autoSpaceDE w:val="0"/>
              <w:autoSpaceDN w:val="0"/>
              <w:adjustRightInd w:val="0"/>
              <w:spacing w:before="29" w:line="360" w:lineRule="auto"/>
              <w:ind w:left="17" w:firstLineChars="300" w:firstLine="720"/>
              <w:jc w:val="left"/>
              <w:rPr>
                <w:rFonts w:eastAsiaTheme="minorEastAsia"/>
                <w:color w:val="000000" w:themeColor="text1"/>
                <w:sz w:val="24"/>
              </w:rPr>
            </w:pPr>
            <w:r w:rsidRPr="00AE0465">
              <w:rPr>
                <w:rFonts w:eastAsiaTheme="minorEastAsia"/>
                <w:color w:val="000000" w:themeColor="text1"/>
                <w:sz w:val="24"/>
              </w:rPr>
              <w:t>资产支持证券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4</w:t>
            </w:r>
          </w:p>
        </w:tc>
        <w:tc>
          <w:tcPr>
            <w:tcW w:w="2824" w:type="dxa"/>
            <w:vAlign w:val="center"/>
          </w:tcPr>
          <w:p w:rsidR="00BA170A" w:rsidRPr="00AE0465" w:rsidRDefault="00BA170A" w:rsidP="002D2971">
            <w:pPr>
              <w:spacing w:before="29" w:line="360" w:lineRule="auto"/>
              <w:ind w:leftChars="50" w:left="105"/>
              <w:rPr>
                <w:rFonts w:eastAsiaTheme="minorEastAsia"/>
                <w:color w:val="000000" w:themeColor="text1"/>
                <w:sz w:val="24"/>
              </w:rPr>
            </w:pPr>
            <w:r w:rsidRPr="00AE0465">
              <w:rPr>
                <w:rFonts w:eastAsiaTheme="minorEastAsia"/>
                <w:color w:val="000000" w:themeColor="text1"/>
                <w:sz w:val="24"/>
              </w:rPr>
              <w:t>贵金属投资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5</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金融衍生品投资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6</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其中：买断式回购的买入返售金融资产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7</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银行存款和结算备付金合计</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26,482,904.37</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6.44</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8</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其他各项资产</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33,511.91</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0.01</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lastRenderedPageBreak/>
              <w:t>9</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合计</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411,037,440.93</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7C19EB">
        <w:trPr>
          <w:jc w:val="center"/>
        </w:trPr>
        <w:tc>
          <w:tcPr>
            <w:tcW w:w="1265" w:type="dxa"/>
            <w:vAlign w:val="center"/>
          </w:tcPr>
          <w:p w:rsidR="007C19EB" w:rsidRDefault="00EE119A">
            <w:pPr>
              <w:jc w:val="center"/>
            </w:pPr>
            <w:r>
              <w:rPr>
                <w:sz w:val="24"/>
              </w:rPr>
              <w:t>1</w:t>
            </w:r>
          </w:p>
        </w:tc>
        <w:tc>
          <w:tcPr>
            <w:tcW w:w="1266" w:type="dxa"/>
            <w:vAlign w:val="center"/>
          </w:tcPr>
          <w:p w:rsidR="007C19EB" w:rsidRDefault="00EE119A">
            <w:pPr>
              <w:jc w:val="center"/>
            </w:pPr>
            <w:r>
              <w:rPr>
                <w:sz w:val="24"/>
              </w:rPr>
              <w:t>上证</w:t>
            </w:r>
            <w:r>
              <w:rPr>
                <w:sz w:val="24"/>
              </w:rPr>
              <w:t>180</w:t>
            </w:r>
            <w:r>
              <w:rPr>
                <w:sz w:val="24"/>
              </w:rPr>
              <w:t>公司治理交易型开放式指数证券投资基金</w:t>
            </w:r>
          </w:p>
        </w:tc>
        <w:tc>
          <w:tcPr>
            <w:tcW w:w="1267" w:type="dxa"/>
            <w:vAlign w:val="center"/>
          </w:tcPr>
          <w:p w:rsidR="007C19EB" w:rsidRDefault="00EE119A">
            <w:pPr>
              <w:jc w:val="center"/>
            </w:pPr>
            <w:r>
              <w:rPr>
                <w:sz w:val="24"/>
              </w:rPr>
              <w:t>股票型</w:t>
            </w:r>
          </w:p>
        </w:tc>
        <w:tc>
          <w:tcPr>
            <w:tcW w:w="1267" w:type="dxa"/>
            <w:vAlign w:val="center"/>
          </w:tcPr>
          <w:p w:rsidR="007C19EB" w:rsidRDefault="00EE119A">
            <w:pPr>
              <w:jc w:val="center"/>
            </w:pPr>
            <w:r>
              <w:rPr>
                <w:sz w:val="24"/>
              </w:rPr>
              <w:t>交易型开放式</w:t>
            </w:r>
          </w:p>
        </w:tc>
        <w:tc>
          <w:tcPr>
            <w:tcW w:w="1267" w:type="dxa"/>
            <w:vAlign w:val="center"/>
          </w:tcPr>
          <w:p w:rsidR="007C19EB" w:rsidRDefault="00EE119A">
            <w:pPr>
              <w:jc w:val="center"/>
            </w:pPr>
            <w:r>
              <w:rPr>
                <w:sz w:val="24"/>
              </w:rPr>
              <w:t>交银施罗德基金管理有限公司</w:t>
            </w:r>
          </w:p>
        </w:tc>
        <w:tc>
          <w:tcPr>
            <w:tcW w:w="1268" w:type="dxa"/>
            <w:vAlign w:val="center"/>
          </w:tcPr>
          <w:p w:rsidR="007C19EB" w:rsidRDefault="00EE119A">
            <w:pPr>
              <w:jc w:val="right"/>
            </w:pPr>
            <w:r>
              <w:rPr>
                <w:sz w:val="24"/>
              </w:rPr>
              <w:t>379,252,473.13</w:t>
            </w:r>
          </w:p>
        </w:tc>
        <w:tc>
          <w:tcPr>
            <w:tcW w:w="1268" w:type="dxa"/>
            <w:vAlign w:val="center"/>
          </w:tcPr>
          <w:p w:rsidR="007C19EB" w:rsidRDefault="00EE119A">
            <w:pPr>
              <w:jc w:val="right"/>
            </w:pPr>
            <w:r>
              <w:rPr>
                <w:sz w:val="24"/>
              </w:rPr>
              <w:t>92.49</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318,086.00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1,161,459.32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0.28</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250,304.00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0.06</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367,151.40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54,270.60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173,607.00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138,514.00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2,611,638.00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0.64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169,877.40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313.80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lastRenderedPageBreak/>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23,330.00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5,268,551.52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1.28</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7C19EB">
        <w:trPr>
          <w:jc w:val="center"/>
        </w:trPr>
        <w:tc>
          <w:tcPr>
            <w:tcW w:w="849" w:type="dxa"/>
            <w:vAlign w:val="center"/>
          </w:tcPr>
          <w:p w:rsidR="007C19EB" w:rsidRDefault="00EE119A">
            <w:pPr>
              <w:jc w:val="center"/>
            </w:pPr>
            <w:r>
              <w:rPr>
                <w:color w:val="000000"/>
                <w:sz w:val="24"/>
              </w:rPr>
              <w:t>1</w:t>
            </w:r>
          </w:p>
        </w:tc>
        <w:tc>
          <w:tcPr>
            <w:tcW w:w="1327" w:type="dxa"/>
            <w:vAlign w:val="center"/>
          </w:tcPr>
          <w:p w:rsidR="007C19EB" w:rsidRDefault="00EE119A">
            <w:pPr>
              <w:jc w:val="center"/>
            </w:pPr>
            <w:r>
              <w:rPr>
                <w:color w:val="000000"/>
                <w:sz w:val="24"/>
              </w:rPr>
              <w:t>601318</w:t>
            </w:r>
          </w:p>
        </w:tc>
        <w:tc>
          <w:tcPr>
            <w:tcW w:w="1621" w:type="dxa"/>
            <w:vAlign w:val="center"/>
          </w:tcPr>
          <w:p w:rsidR="007C19EB" w:rsidRDefault="00EE119A">
            <w:pPr>
              <w:jc w:val="center"/>
            </w:pPr>
            <w:r>
              <w:rPr>
                <w:color w:val="000000"/>
                <w:sz w:val="24"/>
              </w:rPr>
              <w:t>中国平安</w:t>
            </w:r>
          </w:p>
        </w:tc>
        <w:tc>
          <w:tcPr>
            <w:tcW w:w="1769" w:type="dxa"/>
            <w:vAlign w:val="center"/>
          </w:tcPr>
          <w:p w:rsidR="007C19EB" w:rsidRDefault="00EE119A">
            <w:pPr>
              <w:jc w:val="right"/>
            </w:pPr>
            <w:r>
              <w:rPr>
                <w:color w:val="000000"/>
                <w:sz w:val="24"/>
              </w:rPr>
              <w:t>11,100</w:t>
            </w:r>
          </w:p>
        </w:tc>
        <w:tc>
          <w:tcPr>
            <w:tcW w:w="2211" w:type="dxa"/>
            <w:vAlign w:val="center"/>
          </w:tcPr>
          <w:p w:rsidR="007C19EB" w:rsidRDefault="00EE119A">
            <w:pPr>
              <w:jc w:val="right"/>
            </w:pPr>
            <w:r>
              <w:rPr>
                <w:color w:val="000000"/>
                <w:sz w:val="24"/>
              </w:rPr>
              <w:t>855,810.00</w:t>
            </w:r>
          </w:p>
        </w:tc>
        <w:tc>
          <w:tcPr>
            <w:tcW w:w="1091" w:type="dxa"/>
            <w:vAlign w:val="center"/>
          </w:tcPr>
          <w:p w:rsidR="007C19EB" w:rsidRDefault="00EE119A">
            <w:pPr>
              <w:jc w:val="right"/>
            </w:pPr>
            <w:r>
              <w:rPr>
                <w:color w:val="000000"/>
                <w:sz w:val="24"/>
              </w:rPr>
              <w:t>0.21</w:t>
            </w:r>
          </w:p>
        </w:tc>
      </w:tr>
      <w:tr w:rsidR="007C19EB">
        <w:trPr>
          <w:jc w:val="center"/>
        </w:trPr>
        <w:tc>
          <w:tcPr>
            <w:tcW w:w="849" w:type="dxa"/>
            <w:vAlign w:val="center"/>
          </w:tcPr>
          <w:p w:rsidR="007C19EB" w:rsidRDefault="00EE119A">
            <w:pPr>
              <w:jc w:val="center"/>
            </w:pPr>
            <w:r>
              <w:rPr>
                <w:color w:val="000000"/>
                <w:sz w:val="24"/>
              </w:rPr>
              <w:t>2</w:t>
            </w:r>
          </w:p>
        </w:tc>
        <w:tc>
          <w:tcPr>
            <w:tcW w:w="1327" w:type="dxa"/>
            <w:vAlign w:val="center"/>
          </w:tcPr>
          <w:p w:rsidR="007C19EB" w:rsidRDefault="00EE119A">
            <w:pPr>
              <w:jc w:val="center"/>
            </w:pPr>
            <w:r>
              <w:rPr>
                <w:color w:val="000000"/>
                <w:sz w:val="24"/>
              </w:rPr>
              <w:t>600036</w:t>
            </w:r>
          </w:p>
        </w:tc>
        <w:tc>
          <w:tcPr>
            <w:tcW w:w="1621" w:type="dxa"/>
            <w:vAlign w:val="center"/>
          </w:tcPr>
          <w:p w:rsidR="007C19EB" w:rsidRDefault="00EE119A">
            <w:pPr>
              <w:jc w:val="center"/>
            </w:pPr>
            <w:r>
              <w:rPr>
                <w:color w:val="000000"/>
                <w:sz w:val="24"/>
              </w:rPr>
              <w:t>招商银行</w:t>
            </w:r>
          </w:p>
        </w:tc>
        <w:tc>
          <w:tcPr>
            <w:tcW w:w="1769" w:type="dxa"/>
            <w:vAlign w:val="center"/>
          </w:tcPr>
          <w:p w:rsidR="007C19EB" w:rsidRDefault="00EE119A">
            <w:pPr>
              <w:jc w:val="right"/>
            </w:pPr>
            <w:r>
              <w:rPr>
                <w:color w:val="000000"/>
                <w:sz w:val="24"/>
              </w:rPr>
              <w:t>10,500</w:t>
            </w:r>
          </w:p>
        </w:tc>
        <w:tc>
          <w:tcPr>
            <w:tcW w:w="2211" w:type="dxa"/>
            <w:vAlign w:val="center"/>
          </w:tcPr>
          <w:p w:rsidR="007C19EB" w:rsidRDefault="00EE119A">
            <w:pPr>
              <w:jc w:val="right"/>
            </w:pPr>
            <w:r>
              <w:rPr>
                <w:color w:val="000000"/>
                <w:sz w:val="24"/>
              </w:rPr>
              <w:t>356,160.00</w:t>
            </w:r>
          </w:p>
        </w:tc>
        <w:tc>
          <w:tcPr>
            <w:tcW w:w="1091" w:type="dxa"/>
            <w:vAlign w:val="center"/>
          </w:tcPr>
          <w:p w:rsidR="007C19EB" w:rsidRDefault="00EE119A">
            <w:pPr>
              <w:jc w:val="right"/>
            </w:pPr>
            <w:r>
              <w:rPr>
                <w:color w:val="000000"/>
                <w:sz w:val="24"/>
              </w:rPr>
              <w:t>0.09</w:t>
            </w:r>
          </w:p>
        </w:tc>
      </w:tr>
      <w:tr w:rsidR="007C19EB">
        <w:trPr>
          <w:jc w:val="center"/>
        </w:trPr>
        <w:tc>
          <w:tcPr>
            <w:tcW w:w="849" w:type="dxa"/>
            <w:vAlign w:val="center"/>
          </w:tcPr>
          <w:p w:rsidR="007C19EB" w:rsidRDefault="00EE119A">
            <w:pPr>
              <w:jc w:val="center"/>
            </w:pPr>
            <w:r>
              <w:rPr>
                <w:color w:val="000000"/>
                <w:sz w:val="24"/>
              </w:rPr>
              <w:t>3</w:t>
            </w:r>
          </w:p>
        </w:tc>
        <w:tc>
          <w:tcPr>
            <w:tcW w:w="1327" w:type="dxa"/>
            <w:vAlign w:val="center"/>
          </w:tcPr>
          <w:p w:rsidR="007C19EB" w:rsidRDefault="00EE119A">
            <w:pPr>
              <w:jc w:val="center"/>
            </w:pPr>
            <w:r>
              <w:rPr>
                <w:color w:val="000000"/>
                <w:sz w:val="24"/>
              </w:rPr>
              <w:t>601166</w:t>
            </w:r>
          </w:p>
        </w:tc>
        <w:tc>
          <w:tcPr>
            <w:tcW w:w="1621" w:type="dxa"/>
            <w:vAlign w:val="center"/>
          </w:tcPr>
          <w:p w:rsidR="007C19EB" w:rsidRDefault="00EE119A">
            <w:pPr>
              <w:jc w:val="center"/>
            </w:pPr>
            <w:r>
              <w:rPr>
                <w:color w:val="000000"/>
                <w:sz w:val="24"/>
              </w:rPr>
              <w:t>兴业银行</w:t>
            </w:r>
          </w:p>
        </w:tc>
        <w:tc>
          <w:tcPr>
            <w:tcW w:w="1769" w:type="dxa"/>
            <w:vAlign w:val="center"/>
          </w:tcPr>
          <w:p w:rsidR="007C19EB" w:rsidRDefault="00EE119A">
            <w:pPr>
              <w:jc w:val="right"/>
            </w:pPr>
            <w:r>
              <w:rPr>
                <w:color w:val="000000"/>
                <w:sz w:val="24"/>
              </w:rPr>
              <w:t>12,700</w:t>
            </w:r>
          </w:p>
        </w:tc>
        <w:tc>
          <w:tcPr>
            <w:tcW w:w="2211" w:type="dxa"/>
            <w:vAlign w:val="center"/>
          </w:tcPr>
          <w:p w:rsidR="007C19EB" w:rsidRDefault="00EE119A">
            <w:pPr>
              <w:jc w:val="right"/>
            </w:pPr>
            <w:r>
              <w:rPr>
                <w:color w:val="000000"/>
                <w:sz w:val="24"/>
              </w:rPr>
              <w:t>230,759.00</w:t>
            </w:r>
          </w:p>
        </w:tc>
        <w:tc>
          <w:tcPr>
            <w:tcW w:w="1091" w:type="dxa"/>
            <w:vAlign w:val="center"/>
          </w:tcPr>
          <w:p w:rsidR="007C19EB" w:rsidRDefault="00EE119A">
            <w:pPr>
              <w:jc w:val="right"/>
            </w:pPr>
            <w:r>
              <w:rPr>
                <w:color w:val="000000"/>
                <w:sz w:val="24"/>
              </w:rPr>
              <w:t>0.06</w:t>
            </w:r>
          </w:p>
        </w:tc>
      </w:tr>
      <w:tr w:rsidR="007C19EB">
        <w:trPr>
          <w:jc w:val="center"/>
        </w:trPr>
        <w:tc>
          <w:tcPr>
            <w:tcW w:w="849" w:type="dxa"/>
            <w:vAlign w:val="center"/>
          </w:tcPr>
          <w:p w:rsidR="007C19EB" w:rsidRDefault="00EE119A">
            <w:pPr>
              <w:jc w:val="center"/>
            </w:pPr>
            <w:r>
              <w:rPr>
                <w:color w:val="000000"/>
                <w:sz w:val="24"/>
              </w:rPr>
              <w:t>4</w:t>
            </w:r>
          </w:p>
        </w:tc>
        <w:tc>
          <w:tcPr>
            <w:tcW w:w="1327" w:type="dxa"/>
            <w:vAlign w:val="center"/>
          </w:tcPr>
          <w:p w:rsidR="007C19EB" w:rsidRDefault="00EE119A">
            <w:pPr>
              <w:jc w:val="center"/>
            </w:pPr>
            <w:r>
              <w:rPr>
                <w:color w:val="000000"/>
                <w:sz w:val="24"/>
              </w:rPr>
              <w:t>600000</w:t>
            </w:r>
          </w:p>
        </w:tc>
        <w:tc>
          <w:tcPr>
            <w:tcW w:w="1621" w:type="dxa"/>
            <w:vAlign w:val="center"/>
          </w:tcPr>
          <w:p w:rsidR="007C19EB" w:rsidRDefault="00EE119A">
            <w:pPr>
              <w:jc w:val="center"/>
            </w:pPr>
            <w:r>
              <w:rPr>
                <w:color w:val="000000"/>
                <w:sz w:val="24"/>
              </w:rPr>
              <w:t>浦发银行</w:t>
            </w:r>
          </w:p>
        </w:tc>
        <w:tc>
          <w:tcPr>
            <w:tcW w:w="1769" w:type="dxa"/>
            <w:vAlign w:val="center"/>
          </w:tcPr>
          <w:p w:rsidR="007C19EB" w:rsidRDefault="00EE119A">
            <w:pPr>
              <w:jc w:val="right"/>
            </w:pPr>
            <w:r>
              <w:rPr>
                <w:color w:val="000000"/>
                <w:sz w:val="24"/>
              </w:rPr>
              <w:t>12,000</w:t>
            </w:r>
          </w:p>
        </w:tc>
        <w:tc>
          <w:tcPr>
            <w:tcW w:w="2211" w:type="dxa"/>
            <w:vAlign w:val="center"/>
          </w:tcPr>
          <w:p w:rsidR="007C19EB" w:rsidRDefault="00EE119A">
            <w:pPr>
              <w:jc w:val="right"/>
            </w:pPr>
            <w:r>
              <w:rPr>
                <w:color w:val="000000"/>
                <w:sz w:val="24"/>
              </w:rPr>
              <w:t>135,360.00</w:t>
            </w:r>
          </w:p>
        </w:tc>
        <w:tc>
          <w:tcPr>
            <w:tcW w:w="1091" w:type="dxa"/>
            <w:vAlign w:val="center"/>
          </w:tcPr>
          <w:p w:rsidR="007C19EB" w:rsidRDefault="00EE119A">
            <w:pPr>
              <w:jc w:val="right"/>
            </w:pPr>
            <w:r>
              <w:rPr>
                <w:color w:val="000000"/>
                <w:sz w:val="24"/>
              </w:rPr>
              <w:t>0.03</w:t>
            </w:r>
          </w:p>
        </w:tc>
      </w:tr>
      <w:tr w:rsidR="007C19EB">
        <w:trPr>
          <w:jc w:val="center"/>
        </w:trPr>
        <w:tc>
          <w:tcPr>
            <w:tcW w:w="849" w:type="dxa"/>
            <w:vAlign w:val="center"/>
          </w:tcPr>
          <w:p w:rsidR="007C19EB" w:rsidRDefault="00EE119A">
            <w:pPr>
              <w:jc w:val="center"/>
            </w:pPr>
            <w:r>
              <w:rPr>
                <w:color w:val="000000"/>
                <w:sz w:val="24"/>
              </w:rPr>
              <w:t>5</w:t>
            </w:r>
          </w:p>
        </w:tc>
        <w:tc>
          <w:tcPr>
            <w:tcW w:w="1327" w:type="dxa"/>
            <w:vAlign w:val="center"/>
          </w:tcPr>
          <w:p w:rsidR="007C19EB" w:rsidRDefault="00EE119A">
            <w:pPr>
              <w:jc w:val="center"/>
            </w:pPr>
            <w:r>
              <w:rPr>
                <w:color w:val="000000"/>
                <w:sz w:val="24"/>
              </w:rPr>
              <w:t>601668</w:t>
            </w:r>
          </w:p>
        </w:tc>
        <w:tc>
          <w:tcPr>
            <w:tcW w:w="1621" w:type="dxa"/>
            <w:vAlign w:val="center"/>
          </w:tcPr>
          <w:p w:rsidR="007C19EB" w:rsidRDefault="00EE119A">
            <w:pPr>
              <w:jc w:val="center"/>
            </w:pPr>
            <w:r>
              <w:rPr>
                <w:color w:val="000000"/>
                <w:sz w:val="24"/>
              </w:rPr>
              <w:t>中国建筑</w:t>
            </w:r>
          </w:p>
        </w:tc>
        <w:tc>
          <w:tcPr>
            <w:tcW w:w="1769" w:type="dxa"/>
            <w:vAlign w:val="center"/>
          </w:tcPr>
          <w:p w:rsidR="007C19EB" w:rsidRDefault="00EE119A">
            <w:pPr>
              <w:jc w:val="right"/>
            </w:pPr>
            <w:r>
              <w:rPr>
                <w:color w:val="000000"/>
                <w:sz w:val="24"/>
              </w:rPr>
              <w:t>21,420</w:t>
            </w:r>
          </w:p>
        </w:tc>
        <w:tc>
          <w:tcPr>
            <w:tcW w:w="2211" w:type="dxa"/>
            <w:vAlign w:val="center"/>
          </w:tcPr>
          <w:p w:rsidR="007C19EB" w:rsidRDefault="00EE119A">
            <w:pPr>
              <w:jc w:val="right"/>
            </w:pPr>
            <w:r>
              <w:rPr>
                <w:color w:val="000000"/>
                <w:sz w:val="24"/>
              </w:rPr>
              <w:t>131,090.40</w:t>
            </w:r>
          </w:p>
        </w:tc>
        <w:tc>
          <w:tcPr>
            <w:tcW w:w="1091" w:type="dxa"/>
            <w:vAlign w:val="center"/>
          </w:tcPr>
          <w:p w:rsidR="007C19EB" w:rsidRDefault="00EE119A">
            <w:pPr>
              <w:jc w:val="right"/>
            </w:pPr>
            <w:r>
              <w:rPr>
                <w:color w:val="000000"/>
                <w:sz w:val="24"/>
              </w:rPr>
              <w:t>0.03</w:t>
            </w:r>
          </w:p>
        </w:tc>
      </w:tr>
      <w:tr w:rsidR="007C19EB">
        <w:trPr>
          <w:jc w:val="center"/>
        </w:trPr>
        <w:tc>
          <w:tcPr>
            <w:tcW w:w="849" w:type="dxa"/>
            <w:vAlign w:val="center"/>
          </w:tcPr>
          <w:p w:rsidR="007C19EB" w:rsidRDefault="00EE119A">
            <w:pPr>
              <w:jc w:val="center"/>
            </w:pPr>
            <w:r>
              <w:rPr>
                <w:color w:val="000000"/>
                <w:sz w:val="24"/>
              </w:rPr>
              <w:t>6</w:t>
            </w:r>
          </w:p>
        </w:tc>
        <w:tc>
          <w:tcPr>
            <w:tcW w:w="1327" w:type="dxa"/>
            <w:vAlign w:val="center"/>
          </w:tcPr>
          <w:p w:rsidR="007C19EB" w:rsidRDefault="00EE119A">
            <w:pPr>
              <w:jc w:val="center"/>
            </w:pPr>
            <w:r>
              <w:rPr>
                <w:color w:val="000000"/>
                <w:sz w:val="24"/>
              </w:rPr>
              <w:t>601398</w:t>
            </w:r>
          </w:p>
        </w:tc>
        <w:tc>
          <w:tcPr>
            <w:tcW w:w="1621" w:type="dxa"/>
            <w:vAlign w:val="center"/>
          </w:tcPr>
          <w:p w:rsidR="007C19EB" w:rsidRDefault="00EE119A">
            <w:pPr>
              <w:jc w:val="center"/>
            </w:pPr>
            <w:r>
              <w:rPr>
                <w:color w:val="000000"/>
                <w:sz w:val="24"/>
              </w:rPr>
              <w:t>工商银行</w:t>
            </w:r>
          </w:p>
        </w:tc>
        <w:tc>
          <w:tcPr>
            <w:tcW w:w="1769" w:type="dxa"/>
            <w:vAlign w:val="center"/>
          </w:tcPr>
          <w:p w:rsidR="007C19EB" w:rsidRDefault="00EE119A">
            <w:pPr>
              <w:jc w:val="right"/>
            </w:pPr>
            <w:r>
              <w:rPr>
                <w:color w:val="000000"/>
                <w:sz w:val="24"/>
              </w:rPr>
              <w:t>22,000</w:t>
            </w:r>
          </w:p>
        </w:tc>
        <w:tc>
          <w:tcPr>
            <w:tcW w:w="2211" w:type="dxa"/>
            <w:vAlign w:val="center"/>
          </w:tcPr>
          <w:p w:rsidR="007C19EB" w:rsidRDefault="00EE119A">
            <w:pPr>
              <w:jc w:val="right"/>
            </w:pPr>
            <w:r>
              <w:rPr>
                <w:color w:val="000000"/>
                <w:sz w:val="24"/>
              </w:rPr>
              <w:t>122,540.00</w:t>
            </w:r>
          </w:p>
        </w:tc>
        <w:tc>
          <w:tcPr>
            <w:tcW w:w="1091" w:type="dxa"/>
            <w:vAlign w:val="center"/>
          </w:tcPr>
          <w:p w:rsidR="007C19EB" w:rsidRDefault="00EE119A">
            <w:pPr>
              <w:jc w:val="right"/>
            </w:pPr>
            <w:r>
              <w:rPr>
                <w:color w:val="000000"/>
                <w:sz w:val="24"/>
              </w:rPr>
              <w:t>0.03</w:t>
            </w:r>
          </w:p>
        </w:tc>
      </w:tr>
      <w:tr w:rsidR="007C19EB">
        <w:trPr>
          <w:jc w:val="center"/>
        </w:trPr>
        <w:tc>
          <w:tcPr>
            <w:tcW w:w="849" w:type="dxa"/>
            <w:vAlign w:val="center"/>
          </w:tcPr>
          <w:p w:rsidR="007C19EB" w:rsidRDefault="00EE119A">
            <w:pPr>
              <w:jc w:val="center"/>
            </w:pPr>
            <w:r>
              <w:rPr>
                <w:color w:val="000000"/>
                <w:sz w:val="24"/>
              </w:rPr>
              <w:t>7</w:t>
            </w:r>
          </w:p>
        </w:tc>
        <w:tc>
          <w:tcPr>
            <w:tcW w:w="1327" w:type="dxa"/>
            <w:vAlign w:val="center"/>
          </w:tcPr>
          <w:p w:rsidR="007C19EB" w:rsidRDefault="00EE119A">
            <w:pPr>
              <w:jc w:val="center"/>
            </w:pPr>
            <w:r>
              <w:rPr>
                <w:color w:val="000000"/>
                <w:sz w:val="24"/>
              </w:rPr>
              <w:t>600900</w:t>
            </w:r>
          </w:p>
        </w:tc>
        <w:tc>
          <w:tcPr>
            <w:tcW w:w="1621" w:type="dxa"/>
            <w:vAlign w:val="center"/>
          </w:tcPr>
          <w:p w:rsidR="007C19EB" w:rsidRDefault="00EE119A">
            <w:pPr>
              <w:jc w:val="center"/>
            </w:pPr>
            <w:r>
              <w:rPr>
                <w:color w:val="000000"/>
                <w:sz w:val="24"/>
              </w:rPr>
              <w:t>长江电力</w:t>
            </w:r>
          </w:p>
        </w:tc>
        <w:tc>
          <w:tcPr>
            <w:tcW w:w="1769" w:type="dxa"/>
            <w:vAlign w:val="center"/>
          </w:tcPr>
          <w:p w:rsidR="007C19EB" w:rsidRDefault="00EE119A">
            <w:pPr>
              <w:jc w:val="right"/>
            </w:pPr>
            <w:r>
              <w:rPr>
                <w:color w:val="000000"/>
                <w:sz w:val="24"/>
              </w:rPr>
              <w:t>6,800</w:t>
            </w:r>
          </w:p>
        </w:tc>
        <w:tc>
          <w:tcPr>
            <w:tcW w:w="2211" w:type="dxa"/>
            <w:vAlign w:val="center"/>
          </w:tcPr>
          <w:p w:rsidR="007C19EB" w:rsidRDefault="00EE119A">
            <w:pPr>
              <w:jc w:val="right"/>
            </w:pPr>
            <w:r>
              <w:rPr>
                <w:color w:val="000000"/>
                <w:sz w:val="24"/>
              </w:rPr>
              <w:t>114,716.00</w:t>
            </w:r>
          </w:p>
        </w:tc>
        <w:tc>
          <w:tcPr>
            <w:tcW w:w="1091" w:type="dxa"/>
            <w:vAlign w:val="center"/>
          </w:tcPr>
          <w:p w:rsidR="007C19EB" w:rsidRDefault="00EE119A">
            <w:pPr>
              <w:jc w:val="right"/>
            </w:pPr>
            <w:r>
              <w:rPr>
                <w:color w:val="000000"/>
                <w:sz w:val="24"/>
              </w:rPr>
              <w:t>0.03</w:t>
            </w:r>
          </w:p>
        </w:tc>
      </w:tr>
      <w:tr w:rsidR="007C19EB">
        <w:trPr>
          <w:jc w:val="center"/>
        </w:trPr>
        <w:tc>
          <w:tcPr>
            <w:tcW w:w="849" w:type="dxa"/>
            <w:vAlign w:val="center"/>
          </w:tcPr>
          <w:p w:rsidR="007C19EB" w:rsidRDefault="00EE119A">
            <w:pPr>
              <w:jc w:val="center"/>
            </w:pPr>
            <w:r>
              <w:rPr>
                <w:color w:val="000000"/>
                <w:sz w:val="24"/>
              </w:rPr>
              <w:t>8</w:t>
            </w:r>
          </w:p>
        </w:tc>
        <w:tc>
          <w:tcPr>
            <w:tcW w:w="1327" w:type="dxa"/>
            <w:vAlign w:val="center"/>
          </w:tcPr>
          <w:p w:rsidR="007C19EB" w:rsidRDefault="00EE119A">
            <w:pPr>
              <w:jc w:val="center"/>
            </w:pPr>
            <w:r>
              <w:rPr>
                <w:color w:val="000000"/>
                <w:sz w:val="24"/>
              </w:rPr>
              <w:t>601601</w:t>
            </w:r>
          </w:p>
        </w:tc>
        <w:tc>
          <w:tcPr>
            <w:tcW w:w="1621" w:type="dxa"/>
            <w:vAlign w:val="center"/>
          </w:tcPr>
          <w:p w:rsidR="007C19EB" w:rsidRDefault="00EE119A">
            <w:pPr>
              <w:jc w:val="center"/>
            </w:pPr>
            <w:r>
              <w:rPr>
                <w:color w:val="000000"/>
                <w:sz w:val="24"/>
              </w:rPr>
              <w:t>中国太保</w:t>
            </w:r>
          </w:p>
        </w:tc>
        <w:tc>
          <w:tcPr>
            <w:tcW w:w="1769" w:type="dxa"/>
            <w:vAlign w:val="center"/>
          </w:tcPr>
          <w:p w:rsidR="007C19EB" w:rsidRDefault="00EE119A">
            <w:pPr>
              <w:jc w:val="right"/>
            </w:pPr>
            <w:r>
              <w:rPr>
                <w:color w:val="000000"/>
                <w:sz w:val="24"/>
              </w:rPr>
              <w:t>3,200</w:t>
            </w:r>
          </w:p>
        </w:tc>
        <w:tc>
          <w:tcPr>
            <w:tcW w:w="2211" w:type="dxa"/>
            <w:vAlign w:val="center"/>
          </w:tcPr>
          <w:p w:rsidR="007C19EB" w:rsidRDefault="00EE119A">
            <w:pPr>
              <w:jc w:val="right"/>
            </w:pPr>
            <w:r>
              <w:rPr>
                <w:color w:val="000000"/>
                <w:sz w:val="24"/>
              </w:rPr>
              <w:t>108,928.00</w:t>
            </w:r>
          </w:p>
        </w:tc>
        <w:tc>
          <w:tcPr>
            <w:tcW w:w="1091" w:type="dxa"/>
            <w:vAlign w:val="center"/>
          </w:tcPr>
          <w:p w:rsidR="007C19EB" w:rsidRDefault="00EE119A">
            <w:pPr>
              <w:jc w:val="right"/>
            </w:pPr>
            <w:r>
              <w:rPr>
                <w:color w:val="000000"/>
                <w:sz w:val="24"/>
              </w:rPr>
              <w:t>0.03</w:t>
            </w:r>
          </w:p>
        </w:tc>
      </w:tr>
      <w:tr w:rsidR="007C19EB">
        <w:trPr>
          <w:jc w:val="center"/>
        </w:trPr>
        <w:tc>
          <w:tcPr>
            <w:tcW w:w="849" w:type="dxa"/>
            <w:vAlign w:val="center"/>
          </w:tcPr>
          <w:p w:rsidR="007C19EB" w:rsidRDefault="00EE119A">
            <w:pPr>
              <w:jc w:val="center"/>
            </w:pPr>
            <w:r>
              <w:rPr>
                <w:color w:val="000000"/>
                <w:sz w:val="24"/>
              </w:rPr>
              <w:t>9</w:t>
            </w:r>
          </w:p>
        </w:tc>
        <w:tc>
          <w:tcPr>
            <w:tcW w:w="1327" w:type="dxa"/>
            <w:vAlign w:val="center"/>
          </w:tcPr>
          <w:p w:rsidR="007C19EB" w:rsidRDefault="00EE119A">
            <w:pPr>
              <w:jc w:val="center"/>
            </w:pPr>
            <w:r>
              <w:rPr>
                <w:color w:val="000000"/>
                <w:sz w:val="24"/>
              </w:rPr>
              <w:t>600048</w:t>
            </w:r>
          </w:p>
        </w:tc>
        <w:tc>
          <w:tcPr>
            <w:tcW w:w="1621" w:type="dxa"/>
            <w:vAlign w:val="center"/>
          </w:tcPr>
          <w:p w:rsidR="007C19EB" w:rsidRDefault="00EE119A">
            <w:pPr>
              <w:jc w:val="center"/>
            </w:pPr>
            <w:r>
              <w:rPr>
                <w:color w:val="000000"/>
                <w:sz w:val="24"/>
              </w:rPr>
              <w:t>保利地产</w:t>
            </w:r>
          </w:p>
        </w:tc>
        <w:tc>
          <w:tcPr>
            <w:tcW w:w="1769" w:type="dxa"/>
            <w:vAlign w:val="center"/>
          </w:tcPr>
          <w:p w:rsidR="007C19EB" w:rsidRDefault="00EE119A">
            <w:pPr>
              <w:jc w:val="right"/>
            </w:pPr>
            <w:r>
              <w:rPr>
                <w:color w:val="000000"/>
                <w:sz w:val="24"/>
              </w:rPr>
              <w:t>7,300</w:t>
            </w:r>
          </w:p>
        </w:tc>
        <w:tc>
          <w:tcPr>
            <w:tcW w:w="2211" w:type="dxa"/>
            <w:vAlign w:val="center"/>
          </w:tcPr>
          <w:p w:rsidR="007C19EB" w:rsidRDefault="00EE119A">
            <w:pPr>
              <w:jc w:val="right"/>
            </w:pPr>
            <w:r>
              <w:rPr>
                <w:color w:val="000000"/>
                <w:sz w:val="24"/>
              </w:rPr>
              <w:t>103,952.00</w:t>
            </w:r>
          </w:p>
        </w:tc>
        <w:tc>
          <w:tcPr>
            <w:tcW w:w="1091" w:type="dxa"/>
            <w:vAlign w:val="center"/>
          </w:tcPr>
          <w:p w:rsidR="007C19EB" w:rsidRDefault="00EE119A">
            <w:pPr>
              <w:jc w:val="right"/>
            </w:pPr>
            <w:r>
              <w:rPr>
                <w:color w:val="000000"/>
                <w:sz w:val="24"/>
              </w:rPr>
              <w:t>0.03</w:t>
            </w:r>
          </w:p>
        </w:tc>
      </w:tr>
      <w:tr w:rsidR="007C19EB">
        <w:trPr>
          <w:jc w:val="center"/>
        </w:trPr>
        <w:tc>
          <w:tcPr>
            <w:tcW w:w="849" w:type="dxa"/>
            <w:vAlign w:val="center"/>
          </w:tcPr>
          <w:p w:rsidR="007C19EB" w:rsidRDefault="00EE119A">
            <w:pPr>
              <w:jc w:val="center"/>
            </w:pPr>
            <w:r>
              <w:rPr>
                <w:color w:val="000000"/>
                <w:sz w:val="24"/>
              </w:rPr>
              <w:t>10</w:t>
            </w:r>
          </w:p>
        </w:tc>
        <w:tc>
          <w:tcPr>
            <w:tcW w:w="1327" w:type="dxa"/>
            <w:vAlign w:val="center"/>
          </w:tcPr>
          <w:p w:rsidR="007C19EB" w:rsidRDefault="00EE119A">
            <w:pPr>
              <w:jc w:val="center"/>
            </w:pPr>
            <w:r>
              <w:rPr>
                <w:color w:val="000000"/>
                <w:sz w:val="24"/>
              </w:rPr>
              <w:t>600104</w:t>
            </w:r>
          </w:p>
        </w:tc>
        <w:tc>
          <w:tcPr>
            <w:tcW w:w="1621" w:type="dxa"/>
            <w:vAlign w:val="center"/>
          </w:tcPr>
          <w:p w:rsidR="007C19EB" w:rsidRDefault="00EE119A">
            <w:pPr>
              <w:jc w:val="center"/>
            </w:pPr>
            <w:r>
              <w:rPr>
                <w:color w:val="000000"/>
                <w:sz w:val="24"/>
              </w:rPr>
              <w:t>上汽集团</w:t>
            </w:r>
          </w:p>
        </w:tc>
        <w:tc>
          <w:tcPr>
            <w:tcW w:w="1769" w:type="dxa"/>
            <w:vAlign w:val="center"/>
          </w:tcPr>
          <w:p w:rsidR="007C19EB" w:rsidRDefault="00EE119A">
            <w:pPr>
              <w:jc w:val="right"/>
            </w:pPr>
            <w:r>
              <w:rPr>
                <w:color w:val="000000"/>
                <w:sz w:val="24"/>
              </w:rPr>
              <w:t>3,600</w:t>
            </w:r>
          </w:p>
        </w:tc>
        <w:tc>
          <w:tcPr>
            <w:tcW w:w="2211" w:type="dxa"/>
            <w:vAlign w:val="center"/>
          </w:tcPr>
          <w:p w:rsidR="007C19EB" w:rsidRDefault="00EE119A">
            <w:pPr>
              <w:jc w:val="right"/>
            </w:pPr>
            <w:r>
              <w:rPr>
                <w:color w:val="000000"/>
                <w:sz w:val="24"/>
              </w:rPr>
              <w:t>93,852.00</w:t>
            </w:r>
          </w:p>
        </w:tc>
        <w:tc>
          <w:tcPr>
            <w:tcW w:w="1091" w:type="dxa"/>
            <w:vAlign w:val="center"/>
          </w:tcPr>
          <w:p w:rsidR="007C19EB" w:rsidRDefault="00EE119A">
            <w:pPr>
              <w:jc w:val="right"/>
            </w:pPr>
            <w:r>
              <w:rPr>
                <w:color w:val="000000"/>
                <w:sz w:val="24"/>
              </w:rPr>
              <w:t>0.02</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1,672.49</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5,300.53</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26,538.89</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33,511.91</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220542" w:rsidRPr="00324C76">
        <w:rPr>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EE119A" w:rsidP="00820FB9">
      <w:pPr>
        <w:pStyle w:val="1"/>
        <w:spacing w:beforeLines="100" w:before="312" w:afterLines="100" w:after="312" w:line="288" w:lineRule="auto"/>
        <w:jc w:val="center"/>
        <w:rPr>
          <w:kern w:val="0"/>
          <w:sz w:val="24"/>
          <w:szCs w:val="24"/>
        </w:rPr>
      </w:pPr>
      <w:r>
        <w:rPr>
          <w:rFonts w:eastAsiaTheme="minorEastAsia"/>
          <w:color w:val="000000" w:themeColor="text1"/>
          <w:kern w:val="0"/>
          <w:sz w:val="21"/>
          <w:szCs w:val="21"/>
        </w:rPr>
        <w:t>§6</w:t>
      </w:r>
      <w:r w:rsidR="00805F23">
        <w:rPr>
          <w:rFonts w:eastAsiaTheme="minorEastAsia" w:hint="eastAsia"/>
          <w:color w:val="000000" w:themeColor="text1"/>
          <w:kern w:val="0"/>
          <w:sz w:val="21"/>
          <w:szCs w:val="21"/>
        </w:rPr>
        <w:t xml:space="preserve"> </w:t>
      </w:r>
      <w:r w:rsidR="00C66A9E">
        <w:rPr>
          <w:rFonts w:eastAsiaTheme="minorEastAsia"/>
          <w:color w:val="000000" w:themeColor="text1"/>
          <w:kern w:val="0"/>
          <w:sz w:val="21"/>
          <w:szCs w:val="21"/>
        </w:rPr>
        <w:t xml:space="preserve"> </w:t>
      </w:r>
      <w:r w:rsidR="00220542"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328,555,431.41</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3,033,125.61</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17,889,019.38</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313,699,537.64</w:t>
            </w:r>
          </w:p>
        </w:tc>
      </w:tr>
    </w:tbl>
    <w:p w:rsidR="007C19EB" w:rsidRDefault="00EE119A">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805F23" w:rsidP="00820FB9">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EE119A">
        <w:rPr>
          <w:rFonts w:eastAsiaTheme="minorEastAsia"/>
          <w:color w:val="000000"/>
          <w:kern w:val="0"/>
          <w:sz w:val="24"/>
          <w:szCs w:val="24"/>
        </w:rPr>
        <w:t>7</w:t>
      </w:r>
      <w:r w:rsidR="00F229B7" w:rsidRPr="00F229B7">
        <w:rPr>
          <w:rFonts w:eastAsiaTheme="minorEastAsia"/>
          <w:color w:val="000000"/>
          <w:kern w:val="0"/>
          <w:sz w:val="24"/>
          <w:szCs w:val="24"/>
        </w:rPr>
        <w:t xml:space="preserve">  </w:t>
      </w:r>
      <w:r w:rsidR="00F229B7" w:rsidRPr="00F229B7">
        <w:rPr>
          <w:sz w:val="24"/>
          <w:szCs w:val="24"/>
        </w:rPr>
        <w:t>基金管理人运用固有资金投资本基金情况</w:t>
      </w:r>
    </w:p>
    <w:p w:rsidR="00F229B7" w:rsidRPr="00F229B7" w:rsidRDefault="00EE119A" w:rsidP="00B04217">
      <w:pPr>
        <w:spacing w:line="288" w:lineRule="auto"/>
        <w:jc w:val="left"/>
        <w:rPr>
          <w:sz w:val="24"/>
        </w:rPr>
      </w:pPr>
      <w:r>
        <w:rPr>
          <w:b/>
          <w:sz w:val="24"/>
        </w:rPr>
        <w:t>7</w:t>
      </w:r>
      <w:r w:rsidR="00F229B7" w:rsidRPr="00F229B7">
        <w:rPr>
          <w:b/>
          <w:sz w:val="24"/>
        </w:rPr>
        <w:t xml:space="preserve">.1 </w:t>
      </w:r>
      <w:r w:rsidR="00F229B7"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EE119A" w:rsidP="009744C4">
      <w:pPr>
        <w:spacing w:line="288" w:lineRule="auto"/>
        <w:jc w:val="left"/>
        <w:rPr>
          <w:rFonts w:eastAsiaTheme="minorEastAsia"/>
          <w:b/>
          <w:color w:val="000000"/>
          <w:sz w:val="24"/>
        </w:rPr>
      </w:pPr>
      <w:r>
        <w:rPr>
          <w:b/>
          <w:sz w:val="24"/>
        </w:rPr>
        <w:t>7</w:t>
      </w:r>
      <w:r w:rsidR="00F229B7" w:rsidRPr="00F20F7C">
        <w:rPr>
          <w:b/>
          <w:sz w:val="24"/>
        </w:rPr>
        <w:t xml:space="preserve">.2 </w:t>
      </w:r>
      <w:r w:rsidR="00F229B7"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820FB9">
      <w:pPr>
        <w:pStyle w:val="1"/>
        <w:spacing w:beforeLines="100" w:before="312" w:afterLines="100" w:after="312" w:line="288" w:lineRule="auto"/>
        <w:jc w:val="center"/>
        <w:rPr>
          <w:kern w:val="0"/>
          <w:sz w:val="24"/>
          <w:szCs w:val="24"/>
        </w:rPr>
      </w:pPr>
      <w:r w:rsidRPr="00324C76">
        <w:rPr>
          <w:kern w:val="0"/>
          <w:sz w:val="24"/>
          <w:szCs w:val="24"/>
        </w:rPr>
        <w:t>§</w:t>
      </w:r>
      <w:r w:rsidR="00EE119A">
        <w:rPr>
          <w:kern w:val="0"/>
          <w:sz w:val="24"/>
          <w:szCs w:val="24"/>
        </w:rPr>
        <w:t>8</w:t>
      </w:r>
      <w:r w:rsidR="00C66A9E">
        <w:rPr>
          <w:kern w:val="0"/>
          <w:sz w:val="24"/>
          <w:szCs w:val="24"/>
        </w:rPr>
        <w:t xml:space="preserve">  </w:t>
      </w:r>
      <w:r w:rsidRPr="00324C76">
        <w:rPr>
          <w:kern w:val="0"/>
          <w:sz w:val="24"/>
          <w:szCs w:val="24"/>
        </w:rPr>
        <w:t>备查文件目录</w:t>
      </w:r>
    </w:p>
    <w:p w:rsidR="00220542" w:rsidRPr="00324C76" w:rsidRDefault="00EE119A" w:rsidP="00B04217">
      <w:pPr>
        <w:spacing w:before="29" w:line="288" w:lineRule="auto"/>
        <w:rPr>
          <w:b/>
          <w:sz w:val="24"/>
        </w:rPr>
      </w:pPr>
      <w:r>
        <w:rPr>
          <w:b/>
          <w:sz w:val="24"/>
        </w:rPr>
        <w:t>8</w:t>
      </w:r>
      <w:r w:rsidR="00220542" w:rsidRPr="00324C76">
        <w:rPr>
          <w:b/>
          <w:sz w:val="24"/>
        </w:rPr>
        <w:t>.</w:t>
      </w:r>
      <w:r w:rsidR="0083066D" w:rsidRPr="00324C76">
        <w:rPr>
          <w:b/>
          <w:sz w:val="24"/>
        </w:rPr>
        <w:t>1</w:t>
      </w:r>
      <w:r w:rsidR="00220542" w:rsidRPr="00324C76">
        <w:rPr>
          <w:b/>
          <w:sz w:val="24"/>
        </w:rPr>
        <w:t>备查文件目录</w:t>
      </w:r>
    </w:p>
    <w:p w:rsidR="007C19EB" w:rsidRDefault="00EE119A">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7C19EB" w:rsidRDefault="00EE119A">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7C19EB" w:rsidRDefault="00EE119A">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7C19EB" w:rsidRDefault="00EE119A">
      <w:pPr>
        <w:spacing w:before="29" w:line="288" w:lineRule="auto"/>
        <w:ind w:firstLineChars="200" w:firstLine="480"/>
        <w:rPr>
          <w:color w:val="000000"/>
          <w:sz w:val="24"/>
        </w:rPr>
      </w:pPr>
      <w:r>
        <w:rPr>
          <w:color w:val="000000"/>
          <w:sz w:val="24"/>
        </w:rPr>
        <w:lastRenderedPageBreak/>
        <w:t>4</w:t>
      </w:r>
      <w:r>
        <w:rPr>
          <w:color w:val="000000"/>
          <w:sz w:val="24"/>
        </w:rPr>
        <w:t>、《交银施罗德上证</w:t>
      </w:r>
      <w:r>
        <w:rPr>
          <w:color w:val="000000"/>
          <w:sz w:val="24"/>
        </w:rPr>
        <w:t>180</w:t>
      </w:r>
      <w:r>
        <w:rPr>
          <w:color w:val="000000"/>
          <w:sz w:val="24"/>
        </w:rPr>
        <w:t>公司治理交易型开放式指数证券投资基金联接基金托管协议》；</w:t>
      </w:r>
    </w:p>
    <w:p w:rsidR="007C19EB" w:rsidRDefault="00EE119A">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7C19EB" w:rsidRDefault="00EE119A">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7C19EB" w:rsidRDefault="00EE119A">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EE119A" w:rsidP="00B04217">
      <w:pPr>
        <w:spacing w:before="29" w:line="288" w:lineRule="auto"/>
        <w:rPr>
          <w:b/>
          <w:sz w:val="24"/>
        </w:rPr>
      </w:pPr>
      <w:r>
        <w:rPr>
          <w:b/>
          <w:sz w:val="24"/>
        </w:rPr>
        <w:t>8</w:t>
      </w:r>
      <w:r w:rsidR="0083066D" w:rsidRPr="00324C76">
        <w:rPr>
          <w:b/>
          <w:sz w:val="24"/>
        </w:rPr>
        <w:t>.2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EE119A" w:rsidP="00B04217">
      <w:pPr>
        <w:spacing w:before="29" w:line="288" w:lineRule="auto"/>
        <w:rPr>
          <w:b/>
          <w:sz w:val="24"/>
        </w:rPr>
      </w:pPr>
      <w:r>
        <w:rPr>
          <w:b/>
          <w:sz w:val="24"/>
        </w:rPr>
        <w:t>8</w:t>
      </w:r>
      <w:bookmarkStart w:id="1" w:name="_GoBack"/>
      <w:bookmarkEnd w:id="1"/>
      <w:r w:rsidR="0083066D" w:rsidRPr="00324C76">
        <w:rPr>
          <w:b/>
          <w:sz w:val="24"/>
        </w:rPr>
        <w:t>.3</w:t>
      </w:r>
      <w:r w:rsidR="00220542" w:rsidRPr="00324C76">
        <w:rPr>
          <w:b/>
          <w:sz w:val="24"/>
        </w:rPr>
        <w:t>查阅方式</w:t>
      </w:r>
    </w:p>
    <w:p w:rsidR="007C19EB" w:rsidRDefault="00EE119A">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276" w:rsidRDefault="004E2276">
      <w:r>
        <w:separator/>
      </w:r>
    </w:p>
  </w:endnote>
  <w:endnote w:type="continuationSeparator" w:id="0">
    <w:p w:rsidR="004E2276" w:rsidRDefault="004E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278A8">
      <w:rPr>
        <w:kern w:val="0"/>
        <w:szCs w:val="21"/>
      </w:rPr>
      <w:fldChar w:fldCharType="begin"/>
    </w:r>
    <w:r>
      <w:rPr>
        <w:kern w:val="0"/>
        <w:szCs w:val="21"/>
      </w:rPr>
      <w:instrText xml:space="preserve"> PAGE </w:instrText>
    </w:r>
    <w:r w:rsidR="00D278A8">
      <w:rPr>
        <w:kern w:val="0"/>
        <w:szCs w:val="21"/>
      </w:rPr>
      <w:fldChar w:fldCharType="separate"/>
    </w:r>
    <w:r w:rsidR="00EE119A">
      <w:rPr>
        <w:noProof/>
        <w:kern w:val="0"/>
        <w:szCs w:val="21"/>
      </w:rPr>
      <w:t>12</w:t>
    </w:r>
    <w:r w:rsidR="00D278A8">
      <w:rPr>
        <w:kern w:val="0"/>
        <w:szCs w:val="21"/>
      </w:rPr>
      <w:fldChar w:fldCharType="end"/>
    </w:r>
    <w:r>
      <w:rPr>
        <w:rFonts w:hint="eastAsia"/>
        <w:kern w:val="0"/>
        <w:szCs w:val="21"/>
      </w:rPr>
      <w:t>页共</w:t>
    </w:r>
    <w:r w:rsidR="00D278A8">
      <w:rPr>
        <w:kern w:val="0"/>
        <w:szCs w:val="21"/>
      </w:rPr>
      <w:fldChar w:fldCharType="begin"/>
    </w:r>
    <w:r>
      <w:rPr>
        <w:kern w:val="0"/>
        <w:szCs w:val="21"/>
      </w:rPr>
      <w:instrText xml:space="preserve"> NUMPAGES </w:instrText>
    </w:r>
    <w:r w:rsidR="00D278A8">
      <w:rPr>
        <w:kern w:val="0"/>
        <w:szCs w:val="21"/>
      </w:rPr>
      <w:fldChar w:fldCharType="separate"/>
    </w:r>
    <w:r w:rsidR="00EE119A">
      <w:rPr>
        <w:noProof/>
        <w:kern w:val="0"/>
        <w:szCs w:val="21"/>
      </w:rPr>
      <w:t>13</w:t>
    </w:r>
    <w:r w:rsidR="00D278A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D278A8">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276" w:rsidRDefault="004E2276">
      <w:r>
        <w:separator/>
      </w:r>
    </w:p>
  </w:footnote>
  <w:footnote w:type="continuationSeparator" w:id="0">
    <w:p w:rsidR="004E2276" w:rsidRDefault="004E22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E74491" w:rsidRDefault="00E74491" w:rsidP="00E74491">
    <w:pPr>
      <w:pStyle w:val="a9"/>
      <w:pBdr>
        <w:bottom w:val="single" w:sz="6" w:space="0" w:color="auto"/>
      </w:pBdr>
      <w:ind w:firstLine="480"/>
      <w:jc w:val="right"/>
      <w:rPr>
        <w:sz w:val="24"/>
        <w:szCs w:val="24"/>
      </w:rPr>
    </w:pPr>
    <w:r w:rsidRPr="003E676C">
      <w:rPr>
        <w:sz w:val="24"/>
        <w:szCs w:val="24"/>
      </w:rPr>
      <w:t>交银施罗德上证</w:t>
    </w:r>
    <w:r w:rsidRPr="003E676C">
      <w:rPr>
        <w:sz w:val="24"/>
        <w:szCs w:val="24"/>
      </w:rPr>
      <w:t>180</w:t>
    </w:r>
    <w:r w:rsidRPr="003E676C">
      <w:rPr>
        <w:sz w:val="24"/>
        <w:szCs w:val="24"/>
      </w:rPr>
      <w:t>公司治理交易型开放式指数证券投资基金联接基金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4AF7"/>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19EB"/>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19A"/>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0241"/>
    <o:shapelayout v:ext="edit">
      <o:idmap v:ext="edit" data="1"/>
    </o:shapelayout>
  </w:shapeDefaults>
  <w:decimalSymbol w:val="."/>
  <w:listSeparator w:val=","/>
  <w15:docId w15:val="{76CEE5AD-344A-4F43-A190-E3B4E6218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uiPriority w:val="99"/>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10E3-37B0-4912-9A9E-EDE624ED8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343</TotalTime>
  <Pages>13</Pages>
  <Words>1066</Words>
  <Characters>6082</Characters>
  <Application>Microsoft Office Word</Application>
  <DocSecurity>0</DocSecurity>
  <Lines>50</Lines>
  <Paragraphs>14</Paragraphs>
  <ScaleCrop>false</ScaleCrop>
  <Company>TRT. Ltd. Co.</Company>
  <LinksUpToDate>false</LinksUpToDate>
  <CharactersWithSpaces>7134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汤程翔</cp:lastModifiedBy>
  <cp:revision>414</cp:revision>
  <cp:lastPrinted>2007-07-19T00:46:00Z</cp:lastPrinted>
  <dcterms:created xsi:type="dcterms:W3CDTF">2012-11-13T02:08:00Z</dcterms:created>
  <dcterms:modified xsi:type="dcterms:W3CDTF">2019-04-15T07:05:00Z</dcterms:modified>
</cp:coreProperties>
</file>