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1125A" w:rsidRDefault="00ED622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1,100,167,589.47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252B65">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252B65">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52B65" w:rsidRPr="00414345" w:rsidTr="00252B6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52B65" w:rsidRPr="00414345" w:rsidTr="00252B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89,388,169.00</w:t>
            </w:r>
          </w:p>
        </w:tc>
      </w:tr>
      <w:tr w:rsidR="00252B65" w:rsidRPr="00414345" w:rsidTr="00252B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270,440,337.48</w:t>
            </w:r>
          </w:p>
        </w:tc>
      </w:tr>
      <w:tr w:rsidR="00252B65" w:rsidRPr="00414345" w:rsidTr="00252B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0.2470</w:t>
            </w:r>
          </w:p>
        </w:tc>
      </w:tr>
      <w:tr w:rsidR="00252B65" w:rsidRPr="00414345" w:rsidTr="00252B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989,361,097.19</w:t>
            </w:r>
          </w:p>
        </w:tc>
      </w:tr>
      <w:tr w:rsidR="00252B65" w:rsidRPr="00414345" w:rsidTr="00252B6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0.899</w:t>
            </w:r>
          </w:p>
        </w:tc>
      </w:tr>
    </w:tbl>
    <w:p w:rsidR="0091125A" w:rsidRDefault="00ED622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1125A">
        <w:trPr>
          <w:jc w:val="center"/>
        </w:trPr>
        <w:tc>
          <w:tcPr>
            <w:tcW w:w="1701" w:type="dxa"/>
            <w:vAlign w:val="center"/>
          </w:tcPr>
          <w:p w:rsidR="0091125A" w:rsidRDefault="00ED622D">
            <w:pPr>
              <w:jc w:val="left"/>
            </w:pPr>
            <w:r>
              <w:rPr>
                <w:color w:val="000000"/>
                <w:sz w:val="24"/>
                <w:szCs w:val="24"/>
              </w:rPr>
              <w:t>过去三个月</w:t>
            </w:r>
          </w:p>
        </w:tc>
        <w:tc>
          <w:tcPr>
            <w:tcW w:w="1045" w:type="dxa"/>
            <w:vAlign w:val="center"/>
          </w:tcPr>
          <w:p w:rsidR="0091125A" w:rsidRDefault="00ED622D">
            <w:pPr>
              <w:jc w:val="center"/>
            </w:pPr>
            <w:r>
              <w:rPr>
                <w:color w:val="000000"/>
                <w:sz w:val="24"/>
                <w:szCs w:val="24"/>
              </w:rPr>
              <w:t>37.67%</w:t>
            </w:r>
          </w:p>
        </w:tc>
        <w:tc>
          <w:tcPr>
            <w:tcW w:w="1344" w:type="dxa"/>
            <w:vAlign w:val="center"/>
          </w:tcPr>
          <w:p w:rsidR="0091125A" w:rsidRDefault="00ED622D">
            <w:pPr>
              <w:jc w:val="center"/>
            </w:pPr>
            <w:r>
              <w:rPr>
                <w:color w:val="000000"/>
                <w:sz w:val="24"/>
                <w:szCs w:val="24"/>
              </w:rPr>
              <w:t>1.91%</w:t>
            </w:r>
          </w:p>
        </w:tc>
        <w:tc>
          <w:tcPr>
            <w:tcW w:w="1194" w:type="dxa"/>
            <w:vAlign w:val="center"/>
          </w:tcPr>
          <w:p w:rsidR="0091125A" w:rsidRDefault="00ED622D">
            <w:pPr>
              <w:jc w:val="center"/>
            </w:pPr>
            <w:r>
              <w:rPr>
                <w:color w:val="000000"/>
                <w:sz w:val="24"/>
                <w:szCs w:val="24"/>
              </w:rPr>
              <w:t>17.14%</w:t>
            </w:r>
          </w:p>
        </w:tc>
        <w:tc>
          <w:tcPr>
            <w:tcW w:w="1492" w:type="dxa"/>
            <w:vAlign w:val="center"/>
          </w:tcPr>
          <w:p w:rsidR="0091125A" w:rsidRDefault="00ED622D">
            <w:pPr>
              <w:jc w:val="center"/>
            </w:pPr>
            <w:r>
              <w:rPr>
                <w:color w:val="000000"/>
                <w:sz w:val="24"/>
                <w:szCs w:val="24"/>
              </w:rPr>
              <w:t>0.93%</w:t>
            </w:r>
          </w:p>
        </w:tc>
        <w:tc>
          <w:tcPr>
            <w:tcW w:w="1194" w:type="dxa"/>
            <w:vAlign w:val="center"/>
          </w:tcPr>
          <w:p w:rsidR="0091125A" w:rsidRDefault="00ED622D">
            <w:pPr>
              <w:jc w:val="center"/>
            </w:pPr>
            <w:r>
              <w:rPr>
                <w:color w:val="000000"/>
                <w:sz w:val="24"/>
                <w:szCs w:val="24"/>
              </w:rPr>
              <w:t>20.53%</w:t>
            </w:r>
          </w:p>
        </w:tc>
        <w:tc>
          <w:tcPr>
            <w:tcW w:w="898" w:type="dxa"/>
            <w:vAlign w:val="center"/>
          </w:tcPr>
          <w:p w:rsidR="0091125A" w:rsidRDefault="00ED622D">
            <w:pPr>
              <w:jc w:val="center"/>
            </w:pPr>
            <w:r>
              <w:rPr>
                <w:color w:val="000000"/>
                <w:sz w:val="24"/>
                <w:szCs w:val="24"/>
              </w:rPr>
              <w:t>0.98%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1125A">
        <w:trPr>
          <w:jc w:val="center"/>
        </w:trPr>
        <w:tc>
          <w:tcPr>
            <w:tcW w:w="846" w:type="dxa"/>
            <w:vAlign w:val="center"/>
          </w:tcPr>
          <w:p w:rsidR="0091125A" w:rsidRDefault="00ED622D">
            <w:pPr>
              <w:jc w:val="center"/>
            </w:pPr>
            <w:r>
              <w:rPr>
                <w:color w:val="000000"/>
                <w:sz w:val="24"/>
                <w:szCs w:val="24"/>
              </w:rPr>
              <w:t>芮晨</w:t>
            </w:r>
          </w:p>
        </w:tc>
        <w:tc>
          <w:tcPr>
            <w:tcW w:w="845" w:type="dxa"/>
            <w:vAlign w:val="center"/>
          </w:tcPr>
          <w:p w:rsidR="0091125A" w:rsidRDefault="00ED622D">
            <w:pPr>
              <w:jc w:val="center"/>
            </w:pPr>
            <w:r>
              <w:rPr>
                <w:color w:val="000000"/>
                <w:sz w:val="24"/>
                <w:szCs w:val="24"/>
              </w:rPr>
              <w:t>交银先锋混合、交银科技创新灵活配置混合、交银</w:t>
            </w:r>
            <w:r>
              <w:rPr>
                <w:color w:val="000000"/>
                <w:sz w:val="24"/>
                <w:szCs w:val="24"/>
              </w:rPr>
              <w:lastRenderedPageBreak/>
              <w:t>数据产业灵活配置混合的基金经理</w:t>
            </w:r>
          </w:p>
        </w:tc>
        <w:tc>
          <w:tcPr>
            <w:tcW w:w="1549" w:type="dxa"/>
            <w:vAlign w:val="center"/>
          </w:tcPr>
          <w:p w:rsidR="0091125A" w:rsidRDefault="00ED622D">
            <w:pPr>
              <w:jc w:val="center"/>
            </w:pPr>
            <w:r>
              <w:rPr>
                <w:color w:val="000000"/>
                <w:sz w:val="24"/>
                <w:szCs w:val="24"/>
              </w:rPr>
              <w:lastRenderedPageBreak/>
              <w:t>2016-08-16</w:t>
            </w:r>
          </w:p>
        </w:tc>
        <w:tc>
          <w:tcPr>
            <w:tcW w:w="1548" w:type="dxa"/>
            <w:vAlign w:val="center"/>
          </w:tcPr>
          <w:p w:rsidR="0091125A" w:rsidRDefault="00ED622D">
            <w:pPr>
              <w:jc w:val="center"/>
            </w:pPr>
            <w:r>
              <w:rPr>
                <w:color w:val="000000"/>
                <w:sz w:val="24"/>
                <w:szCs w:val="24"/>
              </w:rPr>
              <w:t>-</w:t>
            </w:r>
          </w:p>
        </w:tc>
        <w:tc>
          <w:tcPr>
            <w:tcW w:w="1407" w:type="dxa"/>
            <w:vAlign w:val="center"/>
          </w:tcPr>
          <w:p w:rsidR="0091125A" w:rsidRDefault="00ED622D">
            <w:pPr>
              <w:jc w:val="center"/>
            </w:pPr>
            <w:r>
              <w:rPr>
                <w:color w:val="000000"/>
                <w:sz w:val="24"/>
                <w:szCs w:val="24"/>
              </w:rPr>
              <w:t>12</w:t>
            </w:r>
            <w:r>
              <w:rPr>
                <w:color w:val="000000"/>
                <w:sz w:val="24"/>
                <w:szCs w:val="24"/>
              </w:rPr>
              <w:t>年</w:t>
            </w:r>
          </w:p>
        </w:tc>
        <w:tc>
          <w:tcPr>
            <w:tcW w:w="2673" w:type="dxa"/>
            <w:vAlign w:val="center"/>
          </w:tcPr>
          <w:p w:rsidR="0091125A" w:rsidRDefault="00ED622D">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1125A" w:rsidRDefault="00ED622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1125A" w:rsidRDefault="00ED622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1125A" w:rsidRDefault="00ED622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1125A" w:rsidRDefault="00ED622D">
      <w:pPr>
        <w:spacing w:before="29" w:line="288" w:lineRule="auto"/>
        <w:ind w:firstLineChars="200" w:firstLine="480"/>
        <w:rPr>
          <w:color w:val="000000"/>
          <w:sz w:val="24"/>
          <w:szCs w:val="24"/>
        </w:rPr>
      </w:pPr>
      <w:r>
        <w:rPr>
          <w:color w:val="000000"/>
          <w:sz w:val="24"/>
          <w:szCs w:val="24"/>
        </w:rPr>
        <w:t>2019</w:t>
      </w:r>
      <w:r>
        <w:rPr>
          <w:color w:val="000000"/>
          <w:sz w:val="24"/>
          <w:szCs w:val="24"/>
        </w:rPr>
        <w:t>年一季度，市场印证了我们在</w:t>
      </w:r>
      <w:r>
        <w:rPr>
          <w:color w:val="000000"/>
          <w:sz w:val="24"/>
          <w:szCs w:val="24"/>
        </w:rPr>
        <w:t>2018</w:t>
      </w:r>
      <w:r>
        <w:rPr>
          <w:color w:val="000000"/>
          <w:sz w:val="24"/>
          <w:szCs w:val="24"/>
        </w:rPr>
        <w:t>年年报中提出的</w:t>
      </w:r>
      <w:r>
        <w:rPr>
          <w:color w:val="000000"/>
          <w:sz w:val="24"/>
          <w:szCs w:val="24"/>
        </w:rPr>
        <w:t>“</w:t>
      </w:r>
      <w:r>
        <w:rPr>
          <w:color w:val="000000"/>
          <w:sz w:val="24"/>
          <w:szCs w:val="24"/>
        </w:rPr>
        <w:t>我们认为</w:t>
      </w:r>
      <w:r>
        <w:rPr>
          <w:color w:val="000000"/>
          <w:sz w:val="24"/>
          <w:szCs w:val="24"/>
        </w:rPr>
        <w:t xml:space="preserve">2019 </w:t>
      </w:r>
      <w:r>
        <w:rPr>
          <w:color w:val="000000"/>
          <w:sz w:val="24"/>
          <w:szCs w:val="24"/>
        </w:rPr>
        <w:t>年存在结构性机会，风险偏好有望提升，成长类股票机会较多。</w:t>
      </w:r>
      <w:r>
        <w:rPr>
          <w:color w:val="000000"/>
          <w:sz w:val="24"/>
          <w:szCs w:val="24"/>
        </w:rPr>
        <w:t>”</w:t>
      </w:r>
      <w:r>
        <w:rPr>
          <w:color w:val="000000"/>
          <w:sz w:val="24"/>
          <w:szCs w:val="24"/>
        </w:rPr>
        <w:t>的判断。事实上市场风险偏好迅速提升，众多股票涨幅较大，成长股机会更多，计算机、电子行业板块指数涨幅居前。本基金一季度超越业绩比较基准。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在一季度末，我们重新评估了一下组合现有持仓的估值，仍在合理的范围，我们认为市场在经历了前期普遍估值修复之后，后续质地优异的个股有望获得超越指数的涨幅。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934,513,667.97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934,513,667.97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41,869,000.00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41,869,000.00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19,655,288.05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11,741,520.05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1,007,779,476.07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39,667,407.93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495,741,403.74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50,167,045.30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315,305,900.60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33,631,910.40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934,513,667.97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94.46</w:t>
            </w:r>
          </w:p>
        </w:tc>
      </w:tr>
    </w:tbl>
    <w:p w:rsidR="00252B65" w:rsidRDefault="00252B6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1125A">
        <w:trPr>
          <w:jc w:val="center"/>
        </w:trPr>
        <w:tc>
          <w:tcPr>
            <w:tcW w:w="855" w:type="dxa"/>
            <w:vAlign w:val="center"/>
          </w:tcPr>
          <w:p w:rsidR="0091125A" w:rsidRDefault="00ED622D">
            <w:pPr>
              <w:jc w:val="center"/>
            </w:pPr>
            <w:r>
              <w:rPr>
                <w:color w:val="000000"/>
                <w:sz w:val="24"/>
                <w:szCs w:val="24"/>
              </w:rPr>
              <w:t>1</w:t>
            </w:r>
          </w:p>
        </w:tc>
        <w:tc>
          <w:tcPr>
            <w:tcW w:w="1334" w:type="dxa"/>
            <w:vAlign w:val="center"/>
          </w:tcPr>
          <w:p w:rsidR="0091125A" w:rsidRDefault="00ED622D">
            <w:pPr>
              <w:jc w:val="center"/>
            </w:pPr>
            <w:r>
              <w:rPr>
                <w:color w:val="000000"/>
                <w:sz w:val="24"/>
                <w:szCs w:val="24"/>
              </w:rPr>
              <w:t>300572</w:t>
            </w:r>
          </w:p>
        </w:tc>
        <w:tc>
          <w:tcPr>
            <w:tcW w:w="1777" w:type="dxa"/>
            <w:vAlign w:val="center"/>
          </w:tcPr>
          <w:p w:rsidR="0091125A" w:rsidRDefault="00ED622D">
            <w:pPr>
              <w:jc w:val="center"/>
            </w:pPr>
            <w:r>
              <w:rPr>
                <w:color w:val="000000"/>
                <w:sz w:val="24"/>
                <w:szCs w:val="24"/>
              </w:rPr>
              <w:t>安车检测</w:t>
            </w:r>
          </w:p>
        </w:tc>
        <w:tc>
          <w:tcPr>
            <w:tcW w:w="1334" w:type="dxa"/>
            <w:vAlign w:val="center"/>
          </w:tcPr>
          <w:p w:rsidR="0091125A" w:rsidRDefault="00ED622D">
            <w:pPr>
              <w:jc w:val="right"/>
            </w:pPr>
            <w:r>
              <w:rPr>
                <w:color w:val="000000"/>
                <w:sz w:val="24"/>
                <w:szCs w:val="24"/>
              </w:rPr>
              <w:t>1,334,734</w:t>
            </w:r>
          </w:p>
        </w:tc>
        <w:tc>
          <w:tcPr>
            <w:tcW w:w="1924" w:type="dxa"/>
            <w:vAlign w:val="center"/>
          </w:tcPr>
          <w:p w:rsidR="0091125A" w:rsidRDefault="00ED622D">
            <w:pPr>
              <w:jc w:val="right"/>
            </w:pPr>
            <w:r>
              <w:rPr>
                <w:color w:val="000000"/>
                <w:sz w:val="24"/>
                <w:szCs w:val="24"/>
              </w:rPr>
              <w:t>103,241,674.90</w:t>
            </w:r>
          </w:p>
        </w:tc>
        <w:tc>
          <w:tcPr>
            <w:tcW w:w="1644" w:type="dxa"/>
            <w:vAlign w:val="center"/>
          </w:tcPr>
          <w:p w:rsidR="0091125A" w:rsidRDefault="00ED622D">
            <w:pPr>
              <w:jc w:val="right"/>
            </w:pPr>
            <w:r>
              <w:rPr>
                <w:color w:val="000000"/>
                <w:sz w:val="24"/>
                <w:szCs w:val="24"/>
              </w:rPr>
              <w:t>10.44</w:t>
            </w:r>
          </w:p>
        </w:tc>
      </w:tr>
      <w:tr w:rsidR="0091125A">
        <w:trPr>
          <w:jc w:val="center"/>
        </w:trPr>
        <w:tc>
          <w:tcPr>
            <w:tcW w:w="855" w:type="dxa"/>
            <w:vAlign w:val="center"/>
          </w:tcPr>
          <w:p w:rsidR="0091125A" w:rsidRDefault="00ED622D">
            <w:pPr>
              <w:jc w:val="center"/>
            </w:pPr>
            <w:r>
              <w:rPr>
                <w:color w:val="000000"/>
                <w:sz w:val="24"/>
                <w:szCs w:val="24"/>
              </w:rPr>
              <w:t>2</w:t>
            </w:r>
          </w:p>
        </w:tc>
        <w:tc>
          <w:tcPr>
            <w:tcW w:w="1334" w:type="dxa"/>
            <w:vAlign w:val="center"/>
          </w:tcPr>
          <w:p w:rsidR="0091125A" w:rsidRDefault="00ED622D">
            <w:pPr>
              <w:jc w:val="center"/>
            </w:pPr>
            <w:r>
              <w:rPr>
                <w:color w:val="000000"/>
                <w:sz w:val="24"/>
                <w:szCs w:val="24"/>
              </w:rPr>
              <w:t>300395</w:t>
            </w:r>
          </w:p>
        </w:tc>
        <w:tc>
          <w:tcPr>
            <w:tcW w:w="1777" w:type="dxa"/>
            <w:vAlign w:val="center"/>
          </w:tcPr>
          <w:p w:rsidR="0091125A" w:rsidRDefault="00ED622D">
            <w:pPr>
              <w:jc w:val="center"/>
            </w:pPr>
            <w:r>
              <w:rPr>
                <w:color w:val="000000"/>
                <w:sz w:val="24"/>
                <w:szCs w:val="24"/>
              </w:rPr>
              <w:t>菲利华</w:t>
            </w:r>
          </w:p>
        </w:tc>
        <w:tc>
          <w:tcPr>
            <w:tcW w:w="1334" w:type="dxa"/>
            <w:vAlign w:val="center"/>
          </w:tcPr>
          <w:p w:rsidR="0091125A" w:rsidRDefault="00ED622D">
            <w:pPr>
              <w:jc w:val="right"/>
            </w:pPr>
            <w:r>
              <w:rPr>
                <w:color w:val="000000"/>
                <w:sz w:val="24"/>
                <w:szCs w:val="24"/>
              </w:rPr>
              <w:t>4,717,905</w:t>
            </w:r>
          </w:p>
        </w:tc>
        <w:tc>
          <w:tcPr>
            <w:tcW w:w="1924" w:type="dxa"/>
            <w:vAlign w:val="center"/>
          </w:tcPr>
          <w:p w:rsidR="0091125A" w:rsidRDefault="00ED622D">
            <w:pPr>
              <w:jc w:val="right"/>
            </w:pPr>
            <w:r>
              <w:rPr>
                <w:color w:val="000000"/>
                <w:sz w:val="24"/>
                <w:szCs w:val="24"/>
              </w:rPr>
              <w:t>90,630,955.05</w:t>
            </w:r>
          </w:p>
        </w:tc>
        <w:tc>
          <w:tcPr>
            <w:tcW w:w="1644" w:type="dxa"/>
            <w:vAlign w:val="center"/>
          </w:tcPr>
          <w:p w:rsidR="0091125A" w:rsidRDefault="00ED622D">
            <w:pPr>
              <w:jc w:val="right"/>
            </w:pPr>
            <w:r>
              <w:rPr>
                <w:color w:val="000000"/>
                <w:sz w:val="24"/>
                <w:szCs w:val="24"/>
              </w:rPr>
              <w:t>9.16</w:t>
            </w:r>
          </w:p>
        </w:tc>
      </w:tr>
      <w:tr w:rsidR="0091125A">
        <w:trPr>
          <w:jc w:val="center"/>
        </w:trPr>
        <w:tc>
          <w:tcPr>
            <w:tcW w:w="855" w:type="dxa"/>
            <w:vAlign w:val="center"/>
          </w:tcPr>
          <w:p w:rsidR="0091125A" w:rsidRDefault="00ED622D">
            <w:pPr>
              <w:jc w:val="center"/>
            </w:pPr>
            <w:r>
              <w:rPr>
                <w:color w:val="000000"/>
                <w:sz w:val="24"/>
                <w:szCs w:val="24"/>
              </w:rPr>
              <w:t>3</w:t>
            </w:r>
          </w:p>
        </w:tc>
        <w:tc>
          <w:tcPr>
            <w:tcW w:w="1334" w:type="dxa"/>
            <w:vAlign w:val="center"/>
          </w:tcPr>
          <w:p w:rsidR="0091125A" w:rsidRDefault="00ED622D">
            <w:pPr>
              <w:jc w:val="center"/>
            </w:pPr>
            <w:r>
              <w:rPr>
                <w:color w:val="000000"/>
                <w:sz w:val="24"/>
                <w:szCs w:val="24"/>
              </w:rPr>
              <w:t>300365</w:t>
            </w:r>
          </w:p>
        </w:tc>
        <w:tc>
          <w:tcPr>
            <w:tcW w:w="1777" w:type="dxa"/>
            <w:vAlign w:val="center"/>
          </w:tcPr>
          <w:p w:rsidR="0091125A" w:rsidRDefault="00ED622D">
            <w:pPr>
              <w:jc w:val="center"/>
            </w:pPr>
            <w:r>
              <w:rPr>
                <w:color w:val="000000"/>
                <w:sz w:val="24"/>
                <w:szCs w:val="24"/>
              </w:rPr>
              <w:t>恒华科技</w:t>
            </w:r>
          </w:p>
        </w:tc>
        <w:tc>
          <w:tcPr>
            <w:tcW w:w="1334" w:type="dxa"/>
            <w:vAlign w:val="center"/>
          </w:tcPr>
          <w:p w:rsidR="0091125A" w:rsidRDefault="00ED622D">
            <w:pPr>
              <w:jc w:val="right"/>
            </w:pPr>
            <w:r>
              <w:rPr>
                <w:color w:val="000000"/>
                <w:sz w:val="24"/>
                <w:szCs w:val="24"/>
              </w:rPr>
              <w:t>3,445,468</w:t>
            </w:r>
          </w:p>
        </w:tc>
        <w:tc>
          <w:tcPr>
            <w:tcW w:w="1924" w:type="dxa"/>
            <w:vAlign w:val="center"/>
          </w:tcPr>
          <w:p w:rsidR="0091125A" w:rsidRDefault="00ED622D">
            <w:pPr>
              <w:jc w:val="right"/>
            </w:pPr>
            <w:r>
              <w:rPr>
                <w:color w:val="000000"/>
                <w:sz w:val="24"/>
                <w:szCs w:val="24"/>
              </w:rPr>
              <w:t>88,582,982.28</w:t>
            </w:r>
          </w:p>
        </w:tc>
        <w:tc>
          <w:tcPr>
            <w:tcW w:w="1644" w:type="dxa"/>
            <w:vAlign w:val="center"/>
          </w:tcPr>
          <w:p w:rsidR="0091125A" w:rsidRDefault="00ED622D">
            <w:pPr>
              <w:jc w:val="right"/>
            </w:pPr>
            <w:r>
              <w:rPr>
                <w:color w:val="000000"/>
                <w:sz w:val="24"/>
                <w:szCs w:val="24"/>
              </w:rPr>
              <w:t>8.95</w:t>
            </w:r>
          </w:p>
        </w:tc>
      </w:tr>
      <w:tr w:rsidR="0091125A">
        <w:trPr>
          <w:jc w:val="center"/>
        </w:trPr>
        <w:tc>
          <w:tcPr>
            <w:tcW w:w="855" w:type="dxa"/>
            <w:vAlign w:val="center"/>
          </w:tcPr>
          <w:p w:rsidR="0091125A" w:rsidRDefault="00ED622D">
            <w:pPr>
              <w:jc w:val="center"/>
            </w:pPr>
            <w:r>
              <w:rPr>
                <w:color w:val="000000"/>
                <w:sz w:val="24"/>
                <w:szCs w:val="24"/>
              </w:rPr>
              <w:t>4</w:t>
            </w:r>
          </w:p>
        </w:tc>
        <w:tc>
          <w:tcPr>
            <w:tcW w:w="1334" w:type="dxa"/>
            <w:vAlign w:val="center"/>
          </w:tcPr>
          <w:p w:rsidR="0091125A" w:rsidRDefault="00ED622D">
            <w:pPr>
              <w:jc w:val="center"/>
            </w:pPr>
            <w:r>
              <w:rPr>
                <w:color w:val="000000"/>
                <w:sz w:val="24"/>
                <w:szCs w:val="24"/>
              </w:rPr>
              <w:t>300226</w:t>
            </w:r>
          </w:p>
        </w:tc>
        <w:tc>
          <w:tcPr>
            <w:tcW w:w="1777" w:type="dxa"/>
            <w:vAlign w:val="center"/>
          </w:tcPr>
          <w:p w:rsidR="0091125A" w:rsidRDefault="00ED622D">
            <w:pPr>
              <w:jc w:val="center"/>
            </w:pPr>
            <w:r>
              <w:rPr>
                <w:color w:val="000000"/>
                <w:sz w:val="24"/>
                <w:szCs w:val="24"/>
              </w:rPr>
              <w:t>上海钢联</w:t>
            </w:r>
          </w:p>
        </w:tc>
        <w:tc>
          <w:tcPr>
            <w:tcW w:w="1334" w:type="dxa"/>
            <w:vAlign w:val="center"/>
          </w:tcPr>
          <w:p w:rsidR="0091125A" w:rsidRDefault="00ED622D">
            <w:pPr>
              <w:jc w:val="right"/>
            </w:pPr>
            <w:r>
              <w:rPr>
                <w:color w:val="000000"/>
                <w:sz w:val="24"/>
                <w:szCs w:val="24"/>
              </w:rPr>
              <w:t>954,326</w:t>
            </w:r>
          </w:p>
        </w:tc>
        <w:tc>
          <w:tcPr>
            <w:tcW w:w="1924" w:type="dxa"/>
            <w:vAlign w:val="center"/>
          </w:tcPr>
          <w:p w:rsidR="0091125A" w:rsidRDefault="00ED622D">
            <w:pPr>
              <w:jc w:val="right"/>
            </w:pPr>
            <w:r>
              <w:rPr>
                <w:color w:val="000000"/>
                <w:sz w:val="24"/>
                <w:szCs w:val="24"/>
              </w:rPr>
              <w:t>80,115,667.70</w:t>
            </w:r>
          </w:p>
        </w:tc>
        <w:tc>
          <w:tcPr>
            <w:tcW w:w="1644" w:type="dxa"/>
            <w:vAlign w:val="center"/>
          </w:tcPr>
          <w:p w:rsidR="0091125A" w:rsidRDefault="00ED622D">
            <w:pPr>
              <w:jc w:val="right"/>
            </w:pPr>
            <w:r>
              <w:rPr>
                <w:color w:val="000000"/>
                <w:sz w:val="24"/>
                <w:szCs w:val="24"/>
              </w:rPr>
              <w:t>8.10</w:t>
            </w:r>
          </w:p>
        </w:tc>
      </w:tr>
      <w:tr w:rsidR="0091125A">
        <w:trPr>
          <w:jc w:val="center"/>
        </w:trPr>
        <w:tc>
          <w:tcPr>
            <w:tcW w:w="855" w:type="dxa"/>
            <w:vAlign w:val="center"/>
          </w:tcPr>
          <w:p w:rsidR="0091125A" w:rsidRDefault="00ED622D">
            <w:pPr>
              <w:jc w:val="center"/>
            </w:pPr>
            <w:r>
              <w:rPr>
                <w:color w:val="000000"/>
                <w:sz w:val="24"/>
                <w:szCs w:val="24"/>
              </w:rPr>
              <w:t>5</w:t>
            </w:r>
          </w:p>
        </w:tc>
        <w:tc>
          <w:tcPr>
            <w:tcW w:w="1334" w:type="dxa"/>
            <w:vAlign w:val="center"/>
          </w:tcPr>
          <w:p w:rsidR="0091125A" w:rsidRDefault="00ED622D">
            <w:pPr>
              <w:jc w:val="center"/>
            </w:pPr>
            <w:r>
              <w:rPr>
                <w:color w:val="000000"/>
                <w:sz w:val="24"/>
                <w:szCs w:val="24"/>
              </w:rPr>
              <w:t>002599</w:t>
            </w:r>
          </w:p>
        </w:tc>
        <w:tc>
          <w:tcPr>
            <w:tcW w:w="1777" w:type="dxa"/>
            <w:vAlign w:val="center"/>
          </w:tcPr>
          <w:p w:rsidR="0091125A" w:rsidRDefault="00ED622D">
            <w:pPr>
              <w:jc w:val="center"/>
            </w:pPr>
            <w:r>
              <w:rPr>
                <w:color w:val="000000"/>
                <w:sz w:val="24"/>
                <w:szCs w:val="24"/>
              </w:rPr>
              <w:t>盛通股份</w:t>
            </w:r>
          </w:p>
        </w:tc>
        <w:tc>
          <w:tcPr>
            <w:tcW w:w="1334" w:type="dxa"/>
            <w:vAlign w:val="center"/>
          </w:tcPr>
          <w:p w:rsidR="0091125A" w:rsidRDefault="00ED622D">
            <w:pPr>
              <w:jc w:val="right"/>
            </w:pPr>
            <w:r>
              <w:rPr>
                <w:color w:val="000000"/>
                <w:sz w:val="24"/>
                <w:szCs w:val="24"/>
              </w:rPr>
              <w:t>6,286,702</w:t>
            </w:r>
          </w:p>
        </w:tc>
        <w:tc>
          <w:tcPr>
            <w:tcW w:w="1924" w:type="dxa"/>
            <w:vAlign w:val="center"/>
          </w:tcPr>
          <w:p w:rsidR="0091125A" w:rsidRDefault="00ED622D">
            <w:pPr>
              <w:jc w:val="right"/>
            </w:pPr>
            <w:r>
              <w:rPr>
                <w:color w:val="000000"/>
                <w:sz w:val="24"/>
                <w:szCs w:val="24"/>
              </w:rPr>
              <w:t>71,794,136.84</w:t>
            </w:r>
          </w:p>
        </w:tc>
        <w:tc>
          <w:tcPr>
            <w:tcW w:w="1644" w:type="dxa"/>
            <w:vAlign w:val="center"/>
          </w:tcPr>
          <w:p w:rsidR="0091125A" w:rsidRDefault="00ED622D">
            <w:pPr>
              <w:jc w:val="right"/>
            </w:pPr>
            <w:r>
              <w:rPr>
                <w:color w:val="000000"/>
                <w:sz w:val="24"/>
                <w:szCs w:val="24"/>
              </w:rPr>
              <w:t>7.26</w:t>
            </w:r>
          </w:p>
        </w:tc>
      </w:tr>
      <w:tr w:rsidR="0091125A">
        <w:trPr>
          <w:jc w:val="center"/>
        </w:trPr>
        <w:tc>
          <w:tcPr>
            <w:tcW w:w="855" w:type="dxa"/>
            <w:vAlign w:val="center"/>
          </w:tcPr>
          <w:p w:rsidR="0091125A" w:rsidRDefault="00ED622D">
            <w:pPr>
              <w:jc w:val="center"/>
            </w:pPr>
            <w:r>
              <w:rPr>
                <w:color w:val="000000"/>
                <w:sz w:val="24"/>
                <w:szCs w:val="24"/>
              </w:rPr>
              <w:t>6</w:t>
            </w:r>
          </w:p>
        </w:tc>
        <w:tc>
          <w:tcPr>
            <w:tcW w:w="1334" w:type="dxa"/>
            <w:vAlign w:val="center"/>
          </w:tcPr>
          <w:p w:rsidR="0091125A" w:rsidRDefault="00ED622D">
            <w:pPr>
              <w:jc w:val="center"/>
            </w:pPr>
            <w:r>
              <w:rPr>
                <w:color w:val="000000"/>
                <w:sz w:val="24"/>
                <w:szCs w:val="24"/>
              </w:rPr>
              <w:t>300016</w:t>
            </w:r>
          </w:p>
        </w:tc>
        <w:tc>
          <w:tcPr>
            <w:tcW w:w="1777" w:type="dxa"/>
            <w:vAlign w:val="center"/>
          </w:tcPr>
          <w:p w:rsidR="0091125A" w:rsidRDefault="00ED622D">
            <w:pPr>
              <w:jc w:val="center"/>
            </w:pPr>
            <w:r>
              <w:rPr>
                <w:color w:val="000000"/>
                <w:sz w:val="24"/>
                <w:szCs w:val="24"/>
              </w:rPr>
              <w:t>北陆药业</w:t>
            </w:r>
          </w:p>
        </w:tc>
        <w:tc>
          <w:tcPr>
            <w:tcW w:w="1334" w:type="dxa"/>
            <w:vAlign w:val="center"/>
          </w:tcPr>
          <w:p w:rsidR="0091125A" w:rsidRDefault="00ED622D">
            <w:pPr>
              <w:jc w:val="right"/>
            </w:pPr>
            <w:r>
              <w:rPr>
                <w:color w:val="000000"/>
                <w:sz w:val="24"/>
                <w:szCs w:val="24"/>
              </w:rPr>
              <w:t>6,462,664</w:t>
            </w:r>
          </w:p>
        </w:tc>
        <w:tc>
          <w:tcPr>
            <w:tcW w:w="1924" w:type="dxa"/>
            <w:vAlign w:val="center"/>
          </w:tcPr>
          <w:p w:rsidR="0091125A" w:rsidRDefault="00ED622D">
            <w:pPr>
              <w:jc w:val="right"/>
            </w:pPr>
            <w:r>
              <w:rPr>
                <w:color w:val="000000"/>
                <w:sz w:val="24"/>
                <w:szCs w:val="24"/>
              </w:rPr>
              <w:t>65,466,786.32</w:t>
            </w:r>
          </w:p>
        </w:tc>
        <w:tc>
          <w:tcPr>
            <w:tcW w:w="1644" w:type="dxa"/>
            <w:vAlign w:val="center"/>
          </w:tcPr>
          <w:p w:rsidR="0091125A" w:rsidRDefault="00ED622D">
            <w:pPr>
              <w:jc w:val="right"/>
            </w:pPr>
            <w:r>
              <w:rPr>
                <w:color w:val="000000"/>
                <w:sz w:val="24"/>
                <w:szCs w:val="24"/>
              </w:rPr>
              <w:t>6.62</w:t>
            </w:r>
          </w:p>
        </w:tc>
      </w:tr>
      <w:tr w:rsidR="0091125A">
        <w:trPr>
          <w:jc w:val="center"/>
        </w:trPr>
        <w:tc>
          <w:tcPr>
            <w:tcW w:w="855" w:type="dxa"/>
            <w:vAlign w:val="center"/>
          </w:tcPr>
          <w:p w:rsidR="0091125A" w:rsidRDefault="00ED622D">
            <w:pPr>
              <w:jc w:val="center"/>
            </w:pPr>
            <w:r>
              <w:rPr>
                <w:color w:val="000000"/>
                <w:sz w:val="24"/>
                <w:szCs w:val="24"/>
              </w:rPr>
              <w:t>7</w:t>
            </w:r>
          </w:p>
        </w:tc>
        <w:tc>
          <w:tcPr>
            <w:tcW w:w="1334" w:type="dxa"/>
            <w:vAlign w:val="center"/>
          </w:tcPr>
          <w:p w:rsidR="0091125A" w:rsidRDefault="00ED622D">
            <w:pPr>
              <w:jc w:val="center"/>
            </w:pPr>
            <w:r>
              <w:rPr>
                <w:color w:val="000000"/>
                <w:sz w:val="24"/>
                <w:szCs w:val="24"/>
              </w:rPr>
              <w:t>300253</w:t>
            </w:r>
          </w:p>
        </w:tc>
        <w:tc>
          <w:tcPr>
            <w:tcW w:w="1777" w:type="dxa"/>
            <w:vAlign w:val="center"/>
          </w:tcPr>
          <w:p w:rsidR="0091125A" w:rsidRDefault="00ED622D">
            <w:pPr>
              <w:jc w:val="center"/>
            </w:pPr>
            <w:r>
              <w:rPr>
                <w:color w:val="000000"/>
                <w:sz w:val="24"/>
                <w:szCs w:val="24"/>
              </w:rPr>
              <w:t>卫宁健康</w:t>
            </w:r>
          </w:p>
        </w:tc>
        <w:tc>
          <w:tcPr>
            <w:tcW w:w="1334" w:type="dxa"/>
            <w:vAlign w:val="center"/>
          </w:tcPr>
          <w:p w:rsidR="0091125A" w:rsidRDefault="00ED622D">
            <w:pPr>
              <w:jc w:val="right"/>
            </w:pPr>
            <w:r>
              <w:rPr>
                <w:color w:val="000000"/>
                <w:sz w:val="24"/>
                <w:szCs w:val="24"/>
              </w:rPr>
              <w:t>4,312,586</w:t>
            </w:r>
          </w:p>
        </w:tc>
        <w:tc>
          <w:tcPr>
            <w:tcW w:w="1924" w:type="dxa"/>
            <w:vAlign w:val="center"/>
          </w:tcPr>
          <w:p w:rsidR="0091125A" w:rsidRDefault="00ED622D">
            <w:pPr>
              <w:jc w:val="right"/>
            </w:pPr>
            <w:r>
              <w:rPr>
                <w:color w:val="000000"/>
                <w:sz w:val="24"/>
                <w:szCs w:val="24"/>
              </w:rPr>
              <w:t>62,963,755.60</w:t>
            </w:r>
          </w:p>
        </w:tc>
        <w:tc>
          <w:tcPr>
            <w:tcW w:w="1644" w:type="dxa"/>
            <w:vAlign w:val="center"/>
          </w:tcPr>
          <w:p w:rsidR="0091125A" w:rsidRDefault="00ED622D">
            <w:pPr>
              <w:jc w:val="right"/>
            </w:pPr>
            <w:r>
              <w:rPr>
                <w:color w:val="000000"/>
                <w:sz w:val="24"/>
                <w:szCs w:val="24"/>
              </w:rPr>
              <w:t>6.36</w:t>
            </w:r>
          </w:p>
        </w:tc>
      </w:tr>
      <w:tr w:rsidR="0091125A">
        <w:trPr>
          <w:jc w:val="center"/>
        </w:trPr>
        <w:tc>
          <w:tcPr>
            <w:tcW w:w="855" w:type="dxa"/>
            <w:vAlign w:val="center"/>
          </w:tcPr>
          <w:p w:rsidR="0091125A" w:rsidRDefault="00ED622D">
            <w:pPr>
              <w:jc w:val="center"/>
            </w:pPr>
            <w:r>
              <w:rPr>
                <w:color w:val="000000"/>
                <w:sz w:val="24"/>
                <w:szCs w:val="24"/>
              </w:rPr>
              <w:t>8</w:t>
            </w:r>
          </w:p>
        </w:tc>
        <w:tc>
          <w:tcPr>
            <w:tcW w:w="1334" w:type="dxa"/>
            <w:vAlign w:val="center"/>
          </w:tcPr>
          <w:p w:rsidR="0091125A" w:rsidRDefault="00ED622D">
            <w:pPr>
              <w:jc w:val="center"/>
            </w:pPr>
            <w:r>
              <w:rPr>
                <w:color w:val="000000"/>
                <w:sz w:val="24"/>
                <w:szCs w:val="24"/>
              </w:rPr>
              <w:t>600131</w:t>
            </w:r>
          </w:p>
        </w:tc>
        <w:tc>
          <w:tcPr>
            <w:tcW w:w="1777" w:type="dxa"/>
            <w:vAlign w:val="center"/>
          </w:tcPr>
          <w:p w:rsidR="0091125A" w:rsidRDefault="00ED622D">
            <w:pPr>
              <w:jc w:val="center"/>
            </w:pPr>
            <w:r>
              <w:rPr>
                <w:color w:val="000000"/>
                <w:sz w:val="24"/>
                <w:szCs w:val="24"/>
              </w:rPr>
              <w:t>岷江水电</w:t>
            </w:r>
          </w:p>
        </w:tc>
        <w:tc>
          <w:tcPr>
            <w:tcW w:w="1334" w:type="dxa"/>
            <w:vAlign w:val="center"/>
          </w:tcPr>
          <w:p w:rsidR="0091125A" w:rsidRDefault="00ED622D">
            <w:pPr>
              <w:jc w:val="right"/>
            </w:pPr>
            <w:r>
              <w:rPr>
                <w:color w:val="000000"/>
                <w:sz w:val="24"/>
                <w:szCs w:val="24"/>
              </w:rPr>
              <w:t>2,689,922</w:t>
            </w:r>
          </w:p>
        </w:tc>
        <w:tc>
          <w:tcPr>
            <w:tcW w:w="1924" w:type="dxa"/>
            <w:vAlign w:val="center"/>
          </w:tcPr>
          <w:p w:rsidR="0091125A" w:rsidRDefault="00ED622D">
            <w:pPr>
              <w:jc w:val="right"/>
            </w:pPr>
            <w:r>
              <w:rPr>
                <w:color w:val="000000"/>
                <w:sz w:val="24"/>
                <w:szCs w:val="24"/>
              </w:rPr>
              <w:t>50,167,045.30</w:t>
            </w:r>
          </w:p>
        </w:tc>
        <w:tc>
          <w:tcPr>
            <w:tcW w:w="1644" w:type="dxa"/>
            <w:vAlign w:val="center"/>
          </w:tcPr>
          <w:p w:rsidR="0091125A" w:rsidRDefault="00ED622D">
            <w:pPr>
              <w:jc w:val="right"/>
            </w:pPr>
            <w:r>
              <w:rPr>
                <w:color w:val="000000"/>
                <w:sz w:val="24"/>
                <w:szCs w:val="24"/>
              </w:rPr>
              <w:t>5.07</w:t>
            </w:r>
          </w:p>
        </w:tc>
      </w:tr>
      <w:tr w:rsidR="0091125A">
        <w:trPr>
          <w:jc w:val="center"/>
        </w:trPr>
        <w:tc>
          <w:tcPr>
            <w:tcW w:w="855" w:type="dxa"/>
            <w:vAlign w:val="center"/>
          </w:tcPr>
          <w:p w:rsidR="0091125A" w:rsidRDefault="00ED622D">
            <w:pPr>
              <w:jc w:val="center"/>
            </w:pPr>
            <w:r>
              <w:rPr>
                <w:color w:val="000000"/>
                <w:sz w:val="24"/>
                <w:szCs w:val="24"/>
              </w:rPr>
              <w:t>9</w:t>
            </w:r>
          </w:p>
        </w:tc>
        <w:tc>
          <w:tcPr>
            <w:tcW w:w="1334" w:type="dxa"/>
            <w:vAlign w:val="center"/>
          </w:tcPr>
          <w:p w:rsidR="0091125A" w:rsidRDefault="00ED622D">
            <w:pPr>
              <w:jc w:val="center"/>
            </w:pPr>
            <w:r>
              <w:rPr>
                <w:color w:val="000000"/>
                <w:sz w:val="24"/>
                <w:szCs w:val="24"/>
              </w:rPr>
              <w:t>002371</w:t>
            </w:r>
          </w:p>
        </w:tc>
        <w:tc>
          <w:tcPr>
            <w:tcW w:w="1777" w:type="dxa"/>
            <w:vAlign w:val="center"/>
          </w:tcPr>
          <w:p w:rsidR="0091125A" w:rsidRDefault="00ED622D">
            <w:pPr>
              <w:jc w:val="center"/>
            </w:pPr>
            <w:r>
              <w:rPr>
                <w:color w:val="000000"/>
                <w:sz w:val="24"/>
                <w:szCs w:val="24"/>
              </w:rPr>
              <w:t>北方华创</w:t>
            </w:r>
          </w:p>
        </w:tc>
        <w:tc>
          <w:tcPr>
            <w:tcW w:w="1334" w:type="dxa"/>
            <w:vAlign w:val="center"/>
          </w:tcPr>
          <w:p w:rsidR="0091125A" w:rsidRDefault="00ED622D">
            <w:pPr>
              <w:jc w:val="right"/>
            </w:pPr>
            <w:r>
              <w:rPr>
                <w:color w:val="000000"/>
                <w:sz w:val="24"/>
                <w:szCs w:val="24"/>
              </w:rPr>
              <w:t>627,987</w:t>
            </w:r>
          </w:p>
        </w:tc>
        <w:tc>
          <w:tcPr>
            <w:tcW w:w="1924" w:type="dxa"/>
            <w:vAlign w:val="center"/>
          </w:tcPr>
          <w:p w:rsidR="0091125A" w:rsidRDefault="00ED622D">
            <w:pPr>
              <w:jc w:val="right"/>
            </w:pPr>
            <w:r>
              <w:rPr>
                <w:color w:val="000000"/>
                <w:sz w:val="24"/>
                <w:szCs w:val="24"/>
              </w:rPr>
              <w:t>44,266,803.63</w:t>
            </w:r>
          </w:p>
        </w:tc>
        <w:tc>
          <w:tcPr>
            <w:tcW w:w="1644" w:type="dxa"/>
            <w:vAlign w:val="center"/>
          </w:tcPr>
          <w:p w:rsidR="0091125A" w:rsidRDefault="00ED622D">
            <w:pPr>
              <w:jc w:val="right"/>
            </w:pPr>
            <w:r>
              <w:rPr>
                <w:color w:val="000000"/>
                <w:sz w:val="24"/>
                <w:szCs w:val="24"/>
              </w:rPr>
              <w:t>4.47</w:t>
            </w:r>
          </w:p>
        </w:tc>
      </w:tr>
      <w:tr w:rsidR="0091125A">
        <w:trPr>
          <w:jc w:val="center"/>
        </w:trPr>
        <w:tc>
          <w:tcPr>
            <w:tcW w:w="855" w:type="dxa"/>
            <w:vAlign w:val="center"/>
          </w:tcPr>
          <w:p w:rsidR="0091125A" w:rsidRDefault="00ED622D">
            <w:pPr>
              <w:jc w:val="center"/>
            </w:pPr>
            <w:r>
              <w:rPr>
                <w:color w:val="000000"/>
                <w:sz w:val="24"/>
                <w:szCs w:val="24"/>
              </w:rPr>
              <w:t>10</w:t>
            </w:r>
          </w:p>
        </w:tc>
        <w:tc>
          <w:tcPr>
            <w:tcW w:w="1334" w:type="dxa"/>
            <w:vAlign w:val="center"/>
          </w:tcPr>
          <w:p w:rsidR="0091125A" w:rsidRDefault="00ED622D">
            <w:pPr>
              <w:jc w:val="center"/>
            </w:pPr>
            <w:r>
              <w:rPr>
                <w:color w:val="000000"/>
                <w:sz w:val="24"/>
                <w:szCs w:val="24"/>
              </w:rPr>
              <w:t>603990</w:t>
            </w:r>
          </w:p>
        </w:tc>
        <w:tc>
          <w:tcPr>
            <w:tcW w:w="1777" w:type="dxa"/>
            <w:vAlign w:val="center"/>
          </w:tcPr>
          <w:p w:rsidR="0091125A" w:rsidRDefault="00ED622D">
            <w:pPr>
              <w:jc w:val="center"/>
            </w:pPr>
            <w:r>
              <w:rPr>
                <w:color w:val="000000"/>
                <w:sz w:val="24"/>
                <w:szCs w:val="24"/>
              </w:rPr>
              <w:t>麦迪科技</w:t>
            </w:r>
          </w:p>
        </w:tc>
        <w:tc>
          <w:tcPr>
            <w:tcW w:w="1334" w:type="dxa"/>
            <w:vAlign w:val="center"/>
          </w:tcPr>
          <w:p w:rsidR="0091125A" w:rsidRDefault="00ED622D">
            <w:pPr>
              <w:jc w:val="right"/>
            </w:pPr>
            <w:r>
              <w:rPr>
                <w:color w:val="000000"/>
                <w:sz w:val="24"/>
                <w:szCs w:val="24"/>
              </w:rPr>
              <w:t>855,792</w:t>
            </w:r>
          </w:p>
        </w:tc>
        <w:tc>
          <w:tcPr>
            <w:tcW w:w="1924" w:type="dxa"/>
            <w:vAlign w:val="center"/>
          </w:tcPr>
          <w:p w:rsidR="0091125A" w:rsidRDefault="00ED622D">
            <w:pPr>
              <w:jc w:val="right"/>
            </w:pPr>
            <w:r>
              <w:rPr>
                <w:color w:val="000000"/>
                <w:sz w:val="24"/>
                <w:szCs w:val="24"/>
              </w:rPr>
              <w:t>43,362,980.64</w:t>
            </w:r>
          </w:p>
        </w:tc>
        <w:tc>
          <w:tcPr>
            <w:tcW w:w="1644" w:type="dxa"/>
            <w:vAlign w:val="center"/>
          </w:tcPr>
          <w:p w:rsidR="0091125A" w:rsidRDefault="00ED622D">
            <w:pPr>
              <w:jc w:val="right"/>
            </w:pPr>
            <w:r>
              <w:rPr>
                <w:color w:val="000000"/>
                <w:sz w:val="24"/>
                <w:szCs w:val="24"/>
              </w:rPr>
              <w:t>4.38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25,867,400.00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16,001,600.00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16,001,600.00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41,869,000.00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1125A">
        <w:trPr>
          <w:jc w:val="center"/>
        </w:trPr>
        <w:tc>
          <w:tcPr>
            <w:tcW w:w="850" w:type="dxa"/>
            <w:vAlign w:val="center"/>
          </w:tcPr>
          <w:p w:rsidR="0091125A" w:rsidRDefault="00ED622D">
            <w:pPr>
              <w:jc w:val="center"/>
            </w:pPr>
            <w:r>
              <w:rPr>
                <w:color w:val="000000"/>
                <w:sz w:val="24"/>
                <w:szCs w:val="24"/>
              </w:rPr>
              <w:t>1</w:t>
            </w:r>
          </w:p>
        </w:tc>
        <w:tc>
          <w:tcPr>
            <w:tcW w:w="1475" w:type="dxa"/>
            <w:vAlign w:val="center"/>
          </w:tcPr>
          <w:p w:rsidR="0091125A" w:rsidRDefault="00ED622D">
            <w:pPr>
              <w:jc w:val="center"/>
            </w:pPr>
            <w:r>
              <w:rPr>
                <w:color w:val="000000"/>
                <w:sz w:val="24"/>
                <w:szCs w:val="24"/>
              </w:rPr>
              <w:t>199908</w:t>
            </w:r>
          </w:p>
        </w:tc>
        <w:tc>
          <w:tcPr>
            <w:tcW w:w="1769" w:type="dxa"/>
            <w:vAlign w:val="center"/>
          </w:tcPr>
          <w:p w:rsidR="0091125A" w:rsidRDefault="00ED622D">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91125A" w:rsidRDefault="00ED622D">
            <w:pPr>
              <w:jc w:val="right"/>
            </w:pPr>
            <w:r>
              <w:rPr>
                <w:color w:val="000000"/>
                <w:sz w:val="24"/>
                <w:szCs w:val="24"/>
              </w:rPr>
              <w:t>260,000</w:t>
            </w:r>
          </w:p>
        </w:tc>
        <w:tc>
          <w:tcPr>
            <w:tcW w:w="2150" w:type="dxa"/>
            <w:vAlign w:val="center"/>
          </w:tcPr>
          <w:p w:rsidR="0091125A" w:rsidRDefault="00ED622D">
            <w:pPr>
              <w:jc w:val="right"/>
            </w:pPr>
            <w:r>
              <w:rPr>
                <w:color w:val="000000"/>
                <w:sz w:val="24"/>
                <w:szCs w:val="24"/>
              </w:rPr>
              <w:t>25,867,400.00</w:t>
            </w:r>
          </w:p>
        </w:tc>
        <w:tc>
          <w:tcPr>
            <w:tcW w:w="1237" w:type="dxa"/>
            <w:vAlign w:val="center"/>
          </w:tcPr>
          <w:p w:rsidR="0091125A" w:rsidRDefault="00ED622D">
            <w:pPr>
              <w:jc w:val="right"/>
            </w:pPr>
            <w:r>
              <w:rPr>
                <w:color w:val="000000"/>
                <w:sz w:val="24"/>
                <w:szCs w:val="24"/>
              </w:rPr>
              <w:t>2.61</w:t>
            </w:r>
          </w:p>
        </w:tc>
      </w:tr>
      <w:tr w:rsidR="0091125A">
        <w:trPr>
          <w:jc w:val="center"/>
        </w:trPr>
        <w:tc>
          <w:tcPr>
            <w:tcW w:w="850" w:type="dxa"/>
            <w:vAlign w:val="center"/>
          </w:tcPr>
          <w:p w:rsidR="0091125A" w:rsidRDefault="00ED622D">
            <w:pPr>
              <w:jc w:val="center"/>
            </w:pPr>
            <w:r>
              <w:rPr>
                <w:color w:val="000000"/>
                <w:sz w:val="24"/>
                <w:szCs w:val="24"/>
              </w:rPr>
              <w:t>2</w:t>
            </w:r>
          </w:p>
        </w:tc>
        <w:tc>
          <w:tcPr>
            <w:tcW w:w="1475" w:type="dxa"/>
            <w:vAlign w:val="center"/>
          </w:tcPr>
          <w:p w:rsidR="0091125A" w:rsidRDefault="00ED622D">
            <w:pPr>
              <w:jc w:val="center"/>
            </w:pPr>
            <w:r>
              <w:rPr>
                <w:color w:val="000000"/>
                <w:sz w:val="24"/>
                <w:szCs w:val="24"/>
              </w:rPr>
              <w:t>018005</w:t>
            </w:r>
          </w:p>
        </w:tc>
        <w:tc>
          <w:tcPr>
            <w:tcW w:w="1769" w:type="dxa"/>
            <w:vAlign w:val="center"/>
          </w:tcPr>
          <w:p w:rsidR="0091125A" w:rsidRDefault="00ED622D">
            <w:pPr>
              <w:jc w:val="center"/>
            </w:pPr>
            <w:r>
              <w:rPr>
                <w:color w:val="000000"/>
                <w:sz w:val="24"/>
                <w:szCs w:val="24"/>
              </w:rPr>
              <w:t>国开</w:t>
            </w:r>
            <w:r>
              <w:rPr>
                <w:color w:val="000000"/>
                <w:sz w:val="24"/>
                <w:szCs w:val="24"/>
              </w:rPr>
              <w:t>1701</w:t>
            </w:r>
          </w:p>
        </w:tc>
        <w:tc>
          <w:tcPr>
            <w:tcW w:w="1387" w:type="dxa"/>
            <w:vAlign w:val="center"/>
          </w:tcPr>
          <w:p w:rsidR="0091125A" w:rsidRDefault="00ED622D">
            <w:pPr>
              <w:jc w:val="right"/>
            </w:pPr>
            <w:r>
              <w:rPr>
                <w:color w:val="000000"/>
                <w:sz w:val="24"/>
                <w:szCs w:val="24"/>
              </w:rPr>
              <w:t>160,000</w:t>
            </w:r>
          </w:p>
        </w:tc>
        <w:tc>
          <w:tcPr>
            <w:tcW w:w="2150" w:type="dxa"/>
            <w:vAlign w:val="center"/>
          </w:tcPr>
          <w:p w:rsidR="0091125A" w:rsidRDefault="00ED622D">
            <w:pPr>
              <w:jc w:val="right"/>
            </w:pPr>
            <w:r>
              <w:rPr>
                <w:color w:val="000000"/>
                <w:sz w:val="24"/>
                <w:szCs w:val="24"/>
              </w:rPr>
              <w:t>16,001,600.00</w:t>
            </w:r>
          </w:p>
        </w:tc>
        <w:tc>
          <w:tcPr>
            <w:tcW w:w="1237" w:type="dxa"/>
            <w:vAlign w:val="center"/>
          </w:tcPr>
          <w:p w:rsidR="0091125A" w:rsidRDefault="00ED622D">
            <w:pPr>
              <w:jc w:val="right"/>
            </w:pPr>
            <w:r>
              <w:rPr>
                <w:color w:val="000000"/>
                <w:sz w:val="24"/>
                <w:szCs w:val="24"/>
              </w:rPr>
              <w:t>1.62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338,865.61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9,582,050.97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641,557.69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1,179,045.78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11,741,520.05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1,044,173,395.08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300,837,016.19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244,842,821.80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1,100,167,589.47</w:t>
            </w:r>
          </w:p>
        </w:tc>
      </w:tr>
    </w:tbl>
    <w:p w:rsidR="0091125A" w:rsidRDefault="00ED622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252B6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1125A" w:rsidRDefault="00ED622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1125A" w:rsidRDefault="00ED622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1125A" w:rsidRDefault="00ED622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w:t>
      </w:r>
      <w:bookmarkStart w:id="0" w:name="_GoBack"/>
      <w:bookmarkEnd w:id="0"/>
      <w:r w:rsidRPr="00414345">
        <w:rPr>
          <w:color w:val="000000"/>
          <w:sz w:val="24"/>
          <w:szCs w:val="24"/>
        </w:rPr>
        <w:t>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FA" w:rsidRDefault="00517BFA" w:rsidP="00876D65">
      <w:r>
        <w:separator/>
      </w:r>
    </w:p>
  </w:endnote>
  <w:endnote w:type="continuationSeparator" w:id="0">
    <w:p w:rsidR="00517BFA" w:rsidRDefault="00517BF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D4BE0">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D4BE0">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FA" w:rsidRDefault="00517BFA" w:rsidP="00876D65">
      <w:r>
        <w:separator/>
      </w:r>
    </w:p>
  </w:footnote>
  <w:footnote w:type="continuationSeparator" w:id="0">
    <w:p w:rsidR="00517BFA" w:rsidRDefault="00517BF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2B65"/>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4BE0"/>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17BFA"/>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125A"/>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2D"/>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E5679-0E2A-4F14-B307-E3CF328B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AD4F-B113-4717-8DFC-00D959B6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581</cp:revision>
  <dcterms:created xsi:type="dcterms:W3CDTF">2012-10-16T06:07:00Z</dcterms:created>
  <dcterms:modified xsi:type="dcterms:W3CDTF">2019-04-17T09:03:00Z</dcterms:modified>
</cp:coreProperties>
</file>