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交银施罗德策略回报灵活配置混合型证券投资基金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891,701,232.29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19,397,384.94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244,863,939.27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0.2528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1,097,538,248.85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26.26%</w:t>
            </w:r>
          </w:p>
        </w:tc>
        <w:tc>
          <w:tcPr>
            <w:vAlign w:val="center"/>
          </w:tcPr>
          <w:p>
            <w:pPr>
              <w:jc w:val="center"/>
            </w:pPr>
            <w:r>
              <w:rPr>
                <w:color w:val="000000"/>
                <w:sz w:val="24"/>
                <w:szCs w:val="24"/>
              </w:rPr>
              <w:t>1.35%</w:t>
            </w:r>
          </w:p>
        </w:tc>
        <w:tc>
          <w:tcPr>
            <w:vAlign w:val="center"/>
          </w:tcPr>
          <w:p>
            <w:pPr>
              <w:jc w:val="center"/>
            </w:pPr>
            <w:r>
              <w:rPr>
                <w:color w:val="000000"/>
                <w:sz w:val="24"/>
                <w:szCs w:val="24"/>
              </w:rPr>
              <w:t>17.14%</w:t>
            </w:r>
          </w:p>
        </w:tc>
        <w:tc>
          <w:tcPr>
            <w:vAlign w:val="center"/>
          </w:tcPr>
          <w:p>
            <w:pPr>
              <w:jc w:val="center"/>
            </w:pPr>
            <w:r>
              <w:rPr>
                <w:color w:val="000000"/>
                <w:sz w:val="24"/>
                <w:szCs w:val="24"/>
              </w:rPr>
              <w:t>0.93%</w:t>
            </w:r>
          </w:p>
        </w:tc>
        <w:tc>
          <w:tcPr>
            <w:vAlign w:val="center"/>
          </w:tcPr>
          <w:p>
            <w:pPr>
              <w:jc w:val="center"/>
            </w:pPr>
            <w:r>
              <w:rPr>
                <w:color w:val="000000"/>
                <w:sz w:val="24"/>
                <w:szCs w:val="24"/>
              </w:rPr>
              <w:t>9.12%</w:t>
            </w:r>
          </w:p>
        </w:tc>
        <w:tc>
          <w:tcPr>
            <w:vAlign w:val="center"/>
          </w:tcPr>
          <w:p>
            <w:pPr>
              <w:jc w:val="center"/>
            </w:pPr>
            <w:r>
              <w:rPr>
                <w:color w:val="000000"/>
                <w:sz w:val="24"/>
                <w:szCs w:val="24"/>
              </w:rPr>
              <w:t>0.42%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交银施罗德策略回报灵活配置混合型证券投资基金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2016-01-20</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2019年一季度，外资大幅流入，国内流动性明显好转，中美贸易谈判出现缓和，市场对于整个宏观经济的预期有所好转。A股市场也出现了久违的春季大行情，从价值到主题，都出现了比较明显的涨幅。从目前情况来看，整个市场流动性继续出现大幅增长的可能性并不大，二季度宏观经济的回升幅度有待验证，A股的整体风险偏好继续上升的可能性并不大。</w:t>
      </w:r>
    </w:p>
    <w:p>
      <w:pPr>
        <w:spacing w:before="29" w:line="288" w:lineRule="auto"/>
        <w:ind w:firstLine="480" w:firstLineChars="200"/>
        <w:rPr>
          <w:color w:val="000000"/>
          <w:sz w:val="24"/>
          <w:szCs w:val="24"/>
        </w:rPr>
      </w:pPr>
      <w:r>
        <w:rPr>
          <w:color w:val="000000"/>
          <w:sz w:val="24"/>
          <w:szCs w:val="24"/>
        </w:rPr>
        <w:t>本基金在2019年一季度基本上维持消费白马龙头为底仓配置的大思路，消费白马在2018年四季度预期大幅下调以后，基本面出现了比较明显的好转，一季度表现相对较好。考虑到市场利率水平的下降以及整个地产产业链预期的好转，超配的地产行业也获得了比较明显的超额收益。三月中旬，适度做了一些个股上的更换，在消费和地产中，增加了一季报业绩增速较快的品种替代部分增速放缓品种。</w:t>
      </w:r>
    </w:p>
    <w:p>
      <w:pPr>
        <w:spacing w:before="29" w:line="288" w:lineRule="auto"/>
        <w:ind w:firstLine="480" w:firstLineChars="200"/>
        <w:rPr>
          <w:color w:val="000000"/>
          <w:sz w:val="24"/>
          <w:szCs w:val="24"/>
        </w:rPr>
      </w:pPr>
      <w:r>
        <w:rPr>
          <w:color w:val="000000"/>
          <w:sz w:val="24"/>
          <w:szCs w:val="24"/>
        </w:rPr>
        <w:t>展望2019年二季度，预计整体市场估值向下继续下调的可能性不大，结合市场流动性来看，目前TTM估值基本上也恢复到正常水平。二季度需要观察两个风险：一是美国经济是否会出现比较明显的回落，美股的回落可能对A股整体的情绪和流动性影响越来越大；二是关注后续M1、PPI和PMI等核心数据的变化，防止市场对于宏观经济预期的变化。</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在2019年二季度拟继续维持消费白马和地产底仓不发生太大变化，同时考虑适度降低仓位应对可能出现的风险。个股上，维持一季报增速较快公司的持仓不发生变化，一季报增速放缓的公司可能会考虑减持。此外，如果市场出现比较明显的回落，可能会逐步增加医药和计算机龙头公司的配置比例。</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878,029,598.50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79.10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878,029,598.50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79.10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229,172,822.41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20.65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2,816,530.88</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1,110,018,951.79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640,712,038.27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17,065,000.00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11,448,000.00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134,343.00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171,656,740.47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22,341,539.00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6,684,437.76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7,987,500.00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878,029,598.50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80.00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106,561</w:t>
            </w:r>
          </w:p>
        </w:tc>
        <w:tc>
          <w:tcPr>
            <w:vAlign w:val="center"/>
          </w:tcPr>
          <w:p>
            <w:pPr>
              <w:jc w:val="right"/>
            </w:pPr>
            <w:r>
              <w:rPr>
                <w:color w:val="000000"/>
                <w:sz w:val="24"/>
                <w:szCs w:val="24"/>
              </w:rPr>
              <w:t>91,002,028.39</w:t>
            </w:r>
          </w:p>
        </w:tc>
        <w:tc>
          <w:tcPr>
            <w:vAlign w:val="center"/>
          </w:tcPr>
          <w:p>
            <w:pPr>
              <w:jc w:val="right"/>
            </w:pPr>
            <w:r>
              <w:rPr>
                <w:color w:val="000000"/>
                <w:sz w:val="24"/>
                <w:szCs w:val="24"/>
              </w:rPr>
              <w:t>8.29</w:t>
            </w:r>
          </w:p>
        </w:tc>
      </w:tr>
      <w:tr>
        <w:tc>
          <w:tcPr>
            <w:vAlign w:val="center"/>
          </w:tcPr>
          <w:p>
            <w:pPr>
              <w:jc w:val="center"/>
            </w:pPr>
            <w:r>
              <w:rPr>
                <w:color w:val="000000"/>
                <w:sz w:val="24"/>
                <w:szCs w:val="24"/>
              </w:rPr>
              <w:t>2</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3,925,245</w:t>
            </w:r>
          </w:p>
        </w:tc>
        <w:tc>
          <w:tcPr>
            <w:vAlign w:val="center"/>
          </w:tcPr>
          <w:p>
            <w:pPr>
              <w:jc w:val="right"/>
            </w:pPr>
            <w:r>
              <w:rPr>
                <w:color w:val="000000"/>
                <w:sz w:val="24"/>
                <w:szCs w:val="24"/>
              </w:rPr>
              <w:t>89,691,848.25</w:t>
            </w:r>
          </w:p>
        </w:tc>
        <w:tc>
          <w:tcPr>
            <w:vAlign w:val="center"/>
          </w:tcPr>
          <w:p>
            <w:pPr>
              <w:jc w:val="right"/>
            </w:pPr>
            <w:r>
              <w:rPr>
                <w:color w:val="000000"/>
                <w:sz w:val="24"/>
                <w:szCs w:val="24"/>
              </w:rPr>
              <w:t>8.17</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943,816</w:t>
            </w:r>
          </w:p>
        </w:tc>
        <w:tc>
          <w:tcPr>
            <w:vAlign w:val="center"/>
          </w:tcPr>
          <w:p>
            <w:pPr>
              <w:jc w:val="right"/>
            </w:pPr>
            <w:r>
              <w:rPr>
                <w:color w:val="000000"/>
                <w:sz w:val="24"/>
                <w:szCs w:val="24"/>
              </w:rPr>
              <w:t>89,662,520.00</w:t>
            </w:r>
          </w:p>
        </w:tc>
        <w:tc>
          <w:tcPr>
            <w:vAlign w:val="center"/>
          </w:tcPr>
          <w:p>
            <w:pPr>
              <w:jc w:val="right"/>
            </w:pPr>
            <w:r>
              <w:rPr>
                <w:color w:val="000000"/>
                <w:sz w:val="24"/>
                <w:szCs w:val="24"/>
              </w:rPr>
              <w:t>8.17</w:t>
            </w:r>
          </w:p>
        </w:tc>
      </w:tr>
      <w:tr>
        <w:tc>
          <w:tcPr>
            <w:vAlign w:val="center"/>
          </w:tcPr>
          <w:p>
            <w:pPr>
              <w:jc w:val="center"/>
            </w:pPr>
            <w:r>
              <w:rPr>
                <w:color w:val="000000"/>
                <w:sz w:val="24"/>
                <w:szCs w:val="24"/>
              </w:rPr>
              <w:t>4</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2,887,647</w:t>
            </w:r>
          </w:p>
        </w:tc>
        <w:tc>
          <w:tcPr>
            <w:vAlign w:val="center"/>
          </w:tcPr>
          <w:p>
            <w:pPr>
              <w:jc w:val="right"/>
            </w:pPr>
            <w:r>
              <w:rPr>
                <w:color w:val="000000"/>
                <w:sz w:val="24"/>
                <w:szCs w:val="24"/>
              </w:rPr>
              <w:t>84,059,404.17</w:t>
            </w:r>
          </w:p>
        </w:tc>
        <w:tc>
          <w:tcPr>
            <w:vAlign w:val="center"/>
          </w:tcPr>
          <w:p>
            <w:pPr>
              <w:jc w:val="right"/>
            </w:pPr>
            <w:r>
              <w:rPr>
                <w:color w:val="000000"/>
                <w:sz w:val="24"/>
                <w:szCs w:val="24"/>
              </w:rPr>
              <w:t>7.66</w:t>
            </w:r>
          </w:p>
        </w:tc>
      </w:tr>
      <w:tr>
        <w:tc>
          <w:tcPr>
            <w:vAlign w:val="center"/>
          </w:tcPr>
          <w:p>
            <w:pPr>
              <w:jc w:val="center"/>
            </w:pPr>
            <w:r>
              <w:rPr>
                <w:color w:val="000000"/>
                <w:sz w:val="24"/>
                <w:szCs w:val="24"/>
              </w:rPr>
              <w:t>5</w:t>
            </w:r>
          </w:p>
        </w:tc>
        <w:tc>
          <w:tcPr>
            <w:vAlign w:val="center"/>
          </w:tcPr>
          <w:p>
            <w:pPr>
              <w:jc w:val="center"/>
            </w:pPr>
            <w:r>
              <w:rPr>
                <w:color w:val="000000"/>
                <w:sz w:val="24"/>
                <w:szCs w:val="24"/>
              </w:rPr>
              <w:t>600559</w:t>
            </w:r>
          </w:p>
        </w:tc>
        <w:tc>
          <w:tcPr>
            <w:vAlign w:val="center"/>
          </w:tcPr>
          <w:p>
            <w:pPr>
              <w:jc w:val="center"/>
            </w:pPr>
            <w:r>
              <w:rPr>
                <w:color w:val="000000"/>
                <w:sz w:val="24"/>
                <w:szCs w:val="24"/>
              </w:rPr>
              <w:t>老白干酒</w:t>
            </w:r>
          </w:p>
        </w:tc>
        <w:tc>
          <w:tcPr>
            <w:vAlign w:val="center"/>
          </w:tcPr>
          <w:p>
            <w:pPr>
              <w:jc w:val="right"/>
            </w:pPr>
            <w:r>
              <w:rPr>
                <w:color w:val="000000"/>
                <w:sz w:val="24"/>
                <w:szCs w:val="24"/>
              </w:rPr>
              <w:t>3,967,700</w:t>
            </w:r>
          </w:p>
        </w:tc>
        <w:tc>
          <w:tcPr>
            <w:vAlign w:val="center"/>
          </w:tcPr>
          <w:p>
            <w:pPr>
              <w:jc w:val="right"/>
            </w:pPr>
            <w:r>
              <w:rPr>
                <w:color w:val="000000"/>
                <w:sz w:val="24"/>
                <w:szCs w:val="24"/>
              </w:rPr>
              <w:t>73,957,928.00</w:t>
            </w:r>
          </w:p>
        </w:tc>
        <w:tc>
          <w:tcPr>
            <w:vAlign w:val="center"/>
          </w:tcPr>
          <w:p>
            <w:pPr>
              <w:jc w:val="right"/>
            </w:pPr>
            <w:r>
              <w:rPr>
                <w:color w:val="000000"/>
                <w:sz w:val="24"/>
                <w:szCs w:val="24"/>
              </w:rPr>
              <w:t>6.74</w:t>
            </w:r>
          </w:p>
        </w:tc>
      </w:tr>
      <w:tr>
        <w:tc>
          <w:tcPr>
            <w:vAlign w:val="center"/>
          </w:tcPr>
          <w:p>
            <w:pPr>
              <w:jc w:val="center"/>
            </w:pPr>
            <w:r>
              <w:rPr>
                <w:color w:val="000000"/>
                <w:sz w:val="24"/>
                <w:szCs w:val="24"/>
              </w:rPr>
              <w:t>6</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3,886,958</w:t>
            </w:r>
          </w:p>
        </w:tc>
        <w:tc>
          <w:tcPr>
            <w:vAlign w:val="center"/>
          </w:tcPr>
          <w:p>
            <w:pPr>
              <w:jc w:val="right"/>
            </w:pPr>
            <w:r>
              <w:rPr>
                <w:color w:val="000000"/>
                <w:sz w:val="24"/>
                <w:szCs w:val="24"/>
              </w:rPr>
              <w:t>55,350,281.92</w:t>
            </w:r>
          </w:p>
        </w:tc>
        <w:tc>
          <w:tcPr>
            <w:vAlign w:val="center"/>
          </w:tcPr>
          <w:p>
            <w:pPr>
              <w:jc w:val="right"/>
            </w:pPr>
            <w:r>
              <w:rPr>
                <w:color w:val="000000"/>
                <w:sz w:val="24"/>
                <w:szCs w:val="24"/>
              </w:rPr>
              <w:t>5.04</w:t>
            </w:r>
          </w:p>
        </w:tc>
      </w:tr>
      <w:tr>
        <w:tc>
          <w:tcPr>
            <w:vAlign w:val="center"/>
          </w:tcPr>
          <w:p>
            <w:pPr>
              <w:jc w:val="center"/>
            </w:pPr>
            <w:r>
              <w:rPr>
                <w:color w:val="000000"/>
                <w:sz w:val="24"/>
                <w:szCs w:val="24"/>
              </w:rPr>
              <w:t>7</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1,209,957</w:t>
            </w:r>
          </w:p>
        </w:tc>
        <w:tc>
          <w:tcPr>
            <w:vAlign w:val="center"/>
          </w:tcPr>
          <w:p>
            <w:pPr>
              <w:jc w:val="right"/>
            </w:pPr>
            <w:r>
              <w:rPr>
                <w:color w:val="000000"/>
                <w:sz w:val="24"/>
                <w:szCs w:val="24"/>
              </w:rPr>
              <w:t>54,629,558.55</w:t>
            </w:r>
          </w:p>
        </w:tc>
        <w:tc>
          <w:tcPr>
            <w:vAlign w:val="center"/>
          </w:tcPr>
          <w:p>
            <w:pPr>
              <w:jc w:val="right"/>
            </w:pPr>
            <w:r>
              <w:rPr>
                <w:color w:val="000000"/>
                <w:sz w:val="24"/>
                <w:szCs w:val="24"/>
              </w:rPr>
              <w:t>4.98</w:t>
            </w:r>
          </w:p>
        </w:tc>
      </w:tr>
      <w:tr>
        <w:tc>
          <w:tcPr>
            <w:vAlign w:val="center"/>
          </w:tcPr>
          <w:p>
            <w:pPr>
              <w:jc w:val="center"/>
            </w:pPr>
            <w:r>
              <w:rPr>
                <w:color w:val="000000"/>
                <w:sz w:val="24"/>
                <w:szCs w:val="24"/>
              </w:rPr>
              <w:t>8</w:t>
            </w:r>
          </w:p>
        </w:tc>
        <w:tc>
          <w:tcPr>
            <w:vAlign w:val="center"/>
          </w:tcPr>
          <w:p>
            <w:pPr>
              <w:jc w:val="center"/>
            </w:pPr>
            <w:r>
              <w:rPr>
                <w:color w:val="000000"/>
                <w:sz w:val="24"/>
                <w:szCs w:val="24"/>
              </w:rPr>
              <w:t>603808</w:t>
            </w:r>
          </w:p>
        </w:tc>
        <w:tc>
          <w:tcPr>
            <w:vAlign w:val="center"/>
          </w:tcPr>
          <w:p>
            <w:pPr>
              <w:jc w:val="center"/>
            </w:pPr>
            <w:r>
              <w:rPr>
                <w:color w:val="000000"/>
                <w:sz w:val="24"/>
                <w:szCs w:val="24"/>
              </w:rPr>
              <w:t>歌力思</w:t>
            </w:r>
          </w:p>
        </w:tc>
        <w:tc>
          <w:tcPr>
            <w:vAlign w:val="center"/>
          </w:tcPr>
          <w:p>
            <w:pPr>
              <w:jc w:val="right"/>
            </w:pPr>
            <w:r>
              <w:rPr>
                <w:color w:val="000000"/>
                <w:sz w:val="24"/>
                <w:szCs w:val="24"/>
              </w:rPr>
              <w:t>3,124,321</w:t>
            </w:r>
          </w:p>
        </w:tc>
        <w:tc>
          <w:tcPr>
            <w:vAlign w:val="center"/>
          </w:tcPr>
          <w:p>
            <w:pPr>
              <w:jc w:val="right"/>
            </w:pPr>
            <w:r>
              <w:rPr>
                <w:color w:val="000000"/>
                <w:sz w:val="24"/>
                <w:szCs w:val="24"/>
              </w:rPr>
              <w:t>54,456,915.03</w:t>
            </w:r>
          </w:p>
        </w:tc>
        <w:tc>
          <w:tcPr>
            <w:vAlign w:val="center"/>
          </w:tcPr>
          <w:p>
            <w:pPr>
              <w:jc w:val="right"/>
            </w:pPr>
            <w:r>
              <w:rPr>
                <w:color w:val="000000"/>
                <w:sz w:val="24"/>
                <w:szCs w:val="24"/>
              </w:rPr>
              <w:t>4.96</w:t>
            </w:r>
          </w:p>
        </w:tc>
      </w:tr>
      <w:tr>
        <w:tc>
          <w:tcPr>
            <w:vAlign w:val="center"/>
          </w:tcPr>
          <w:p>
            <w:pPr>
              <w:jc w:val="center"/>
            </w:pPr>
            <w:r>
              <w:rPr>
                <w:color w:val="000000"/>
                <w:sz w:val="24"/>
                <w:szCs w:val="24"/>
              </w:rPr>
              <w:t>9</w:t>
            </w:r>
          </w:p>
        </w:tc>
        <w:tc>
          <w:tcPr>
            <w:vAlign w:val="center"/>
          </w:tcPr>
          <w:p>
            <w:pPr>
              <w:jc w:val="center"/>
            </w:pPr>
            <w:r>
              <w:rPr>
                <w:color w:val="000000"/>
                <w:sz w:val="24"/>
                <w:szCs w:val="24"/>
              </w:rPr>
              <w:t>603886</w:t>
            </w:r>
          </w:p>
        </w:tc>
        <w:tc>
          <w:tcPr>
            <w:vAlign w:val="center"/>
          </w:tcPr>
          <w:p>
            <w:pPr>
              <w:jc w:val="center"/>
            </w:pPr>
            <w:r>
              <w:rPr>
                <w:color w:val="000000"/>
                <w:sz w:val="24"/>
                <w:szCs w:val="24"/>
              </w:rPr>
              <w:t>元祖股份</w:t>
            </w:r>
          </w:p>
        </w:tc>
        <w:tc>
          <w:tcPr>
            <w:vAlign w:val="center"/>
          </w:tcPr>
          <w:p>
            <w:pPr>
              <w:jc w:val="right"/>
            </w:pPr>
            <w:r>
              <w:rPr>
                <w:color w:val="000000"/>
                <w:sz w:val="24"/>
                <w:szCs w:val="24"/>
              </w:rPr>
              <w:t>2,179,968</w:t>
            </w:r>
          </w:p>
        </w:tc>
        <w:tc>
          <w:tcPr>
            <w:vAlign w:val="center"/>
          </w:tcPr>
          <w:p>
            <w:pPr>
              <w:jc w:val="right"/>
            </w:pPr>
            <w:r>
              <w:rPr>
                <w:color w:val="000000"/>
                <w:sz w:val="24"/>
                <w:szCs w:val="24"/>
              </w:rPr>
              <w:t>51,861,438.72</w:t>
            </w:r>
          </w:p>
        </w:tc>
        <w:tc>
          <w:tcPr>
            <w:vAlign w:val="center"/>
          </w:tcPr>
          <w:p>
            <w:pPr>
              <w:jc w:val="right"/>
            </w:pPr>
            <w:r>
              <w:rPr>
                <w:color w:val="000000"/>
                <w:sz w:val="24"/>
                <w:szCs w:val="24"/>
              </w:rPr>
              <w:t>4.73</w:t>
            </w:r>
          </w:p>
        </w:tc>
      </w:tr>
      <w:tr>
        <w:tc>
          <w:tcPr>
            <w:vAlign w:val="center"/>
          </w:tcPr>
          <w:p>
            <w:pPr>
              <w:jc w:val="center"/>
            </w:pPr>
            <w:r>
              <w:rPr>
                <w:color w:val="000000"/>
                <w:sz w:val="24"/>
                <w:szCs w:val="24"/>
              </w:rPr>
              <w:t>10</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1,421,809</w:t>
            </w:r>
          </w:p>
        </w:tc>
        <w:tc>
          <w:tcPr>
            <w:vAlign w:val="center"/>
          </w:tcPr>
          <w:p>
            <w:pPr>
              <w:jc w:val="right"/>
            </w:pPr>
            <w:r>
              <w:rPr>
                <w:color w:val="000000"/>
                <w:sz w:val="24"/>
                <w:szCs w:val="24"/>
              </w:rPr>
              <w:t>40,805,918.30</w:t>
            </w:r>
          </w:p>
        </w:tc>
        <w:tc>
          <w:tcPr>
            <w:vAlign w:val="center"/>
          </w:tcPr>
          <w:p>
            <w:pPr>
              <w:jc w:val="right"/>
            </w:pPr>
            <w:r>
              <w:rPr>
                <w:color w:val="000000"/>
                <w:sz w:val="24"/>
                <w:szCs w:val="24"/>
              </w:rPr>
              <w:t>3.72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944,150.63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1,599,193.40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50,113.85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223,073.00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2,816,530.88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1,004,733,126.78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61,070,272.88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174,102,167.37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891,701,232.29</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1、中国证监会批准交银施罗德荣安保本混合型证券投资基金募集的文件；</w:t>
      </w:r>
    </w:p>
    <w:p>
      <w:pPr>
        <w:spacing w:before="29" w:line="288" w:lineRule="auto"/>
        <w:ind w:firstLine="480" w:firstLineChars="200"/>
        <w:rPr>
          <w:color w:val="000000"/>
          <w:sz w:val="24"/>
          <w:szCs w:val="24"/>
        </w:rPr>
      </w:pPr>
      <w:r>
        <w:rPr>
          <w:color w:val="000000"/>
          <w:sz w:val="24"/>
          <w:szCs w:val="24"/>
        </w:rPr>
        <w:t>2、《交银施罗德策略回报灵活配置混合型证券投资基金基金合同》；</w:t>
      </w:r>
    </w:p>
    <w:p>
      <w:pPr>
        <w:spacing w:before="29" w:line="288" w:lineRule="auto"/>
        <w:ind w:firstLine="480" w:firstLineChars="200"/>
        <w:rPr>
          <w:color w:val="000000"/>
          <w:sz w:val="24"/>
          <w:szCs w:val="24"/>
        </w:rPr>
      </w:pPr>
      <w:r>
        <w:rPr>
          <w:color w:val="000000"/>
          <w:sz w:val="24"/>
          <w:szCs w:val="24"/>
        </w:rPr>
        <w:t>3、《交银施罗德策略回报灵活配置混合型证券投资基金招募说明书》；</w:t>
      </w:r>
    </w:p>
    <w:p>
      <w:pPr>
        <w:spacing w:before="29" w:line="288" w:lineRule="auto"/>
        <w:ind w:firstLine="480" w:firstLineChars="200"/>
        <w:rPr>
          <w:color w:val="000000"/>
          <w:sz w:val="24"/>
          <w:szCs w:val="24"/>
        </w:rPr>
      </w:pPr>
      <w:r>
        <w:rPr>
          <w:color w:val="000000"/>
          <w:sz w:val="24"/>
          <w:szCs w:val="24"/>
        </w:rPr>
        <w:t>4、《交银施罗德策略回报灵活配置混合型证券投资基金托管协议》；</w:t>
      </w:r>
    </w:p>
    <w:p>
      <w:pPr>
        <w:spacing w:before="29" w:line="288" w:lineRule="auto"/>
        <w:ind w:firstLine="480" w:firstLineChars="200"/>
        <w:rPr>
          <w:color w:val="000000"/>
          <w:sz w:val="24"/>
          <w:szCs w:val="24"/>
        </w:rPr>
      </w:pPr>
      <w:r>
        <w:rPr>
          <w:color w:val="000000"/>
          <w:sz w:val="24"/>
          <w:szCs w:val="24"/>
        </w:rPr>
        <w:t>5、《交银施罗德荣安保本混合型证券投资基金基金合同》；</w:t>
      </w:r>
    </w:p>
    <w:p>
      <w:pPr>
        <w:spacing w:before="29" w:line="288" w:lineRule="auto"/>
        <w:ind w:firstLine="480" w:firstLineChars="200"/>
        <w:rPr>
          <w:color w:val="000000"/>
          <w:sz w:val="24"/>
          <w:szCs w:val="24"/>
        </w:rPr>
      </w:pPr>
      <w:r>
        <w:rPr>
          <w:color w:val="000000"/>
          <w:sz w:val="24"/>
          <w:szCs w:val="24"/>
        </w:rPr>
        <w:t>6、《交银施罗德荣安保本混合型证券投资基金招募说明书》；</w:t>
      </w:r>
    </w:p>
    <w:p>
      <w:pPr>
        <w:spacing w:before="29" w:line="288" w:lineRule="auto"/>
        <w:ind w:firstLine="480" w:firstLineChars="200"/>
        <w:rPr>
          <w:color w:val="000000"/>
          <w:sz w:val="24"/>
          <w:szCs w:val="24"/>
        </w:rPr>
      </w:pPr>
      <w:r>
        <w:rPr>
          <w:color w:val="000000"/>
          <w:sz w:val="24"/>
          <w:szCs w:val="24"/>
        </w:rPr>
        <w:t>7、《交银施罗德荣安保本混合型证券投资基金托管协议》；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8、《交银施罗德荣安保本混合型证券投资基金保证合同》；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11、关于申请募集交银施罗德荣安保本混合型证券投资基金之法律意见书；</w:t>
      </w:r>
    </w:p>
    <w:p>
      <w:pPr>
        <w:spacing w:before="29" w:line="288" w:lineRule="auto"/>
        <w:ind w:firstLine="480" w:firstLineChars="200"/>
        <w:rPr>
          <w:color w:val="000000"/>
          <w:sz w:val="24"/>
          <w:szCs w:val="24"/>
        </w:rPr>
      </w:pPr>
      <w:r>
        <w:rPr>
          <w:color w:val="000000"/>
          <w:sz w:val="24"/>
          <w:szCs w:val="24"/>
        </w:rPr>
        <w:t>12、关于修改《交银施罗德荣安保本混合型证券投资基金基金合同》的法律意见；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13、报告期内交银施罗德策略回报灵活配置混合型证券投资基金在指定报刊上各项公告的原稿。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交银施罗德策略回报灵活配置混合型证券投资基金2019年第1季度报告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