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二〇一九年四月二十日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87B3E" w:rsidRDefault="00D8603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。投资有风险，投资者在作出投资决策前应仔细阅读本基金的招募说明书。</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61,492,145.06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6034" w:rsidRPr="008640AE" w:rsidTr="00D8603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D86034" w:rsidRPr="008640AE" w:rsidTr="00D8603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642,077.74</w:t>
            </w:r>
          </w:p>
        </w:tc>
      </w:tr>
      <w:tr w:rsidR="00D86034" w:rsidRPr="008640AE" w:rsidTr="00D8603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10,133,324.58</w:t>
            </w:r>
          </w:p>
        </w:tc>
      </w:tr>
      <w:tr w:rsidR="00D86034" w:rsidRPr="008640AE" w:rsidTr="00D8603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0.1628</w:t>
            </w:r>
          </w:p>
        </w:tc>
      </w:tr>
      <w:tr w:rsidR="00D86034" w:rsidRPr="008640AE" w:rsidTr="00D8603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116,090,163.87</w:t>
            </w:r>
          </w:p>
        </w:tc>
      </w:tr>
      <w:tr w:rsidR="00D86034" w:rsidRPr="008640AE" w:rsidTr="00D8603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1.888</w:t>
            </w:r>
          </w:p>
        </w:tc>
      </w:tr>
    </w:tbl>
    <w:p w:rsidR="00087B3E" w:rsidRDefault="00D86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87B3E">
        <w:trPr>
          <w:jc w:val="center"/>
        </w:trPr>
        <w:tc>
          <w:tcPr>
            <w:tcW w:w="1701" w:type="dxa"/>
            <w:vAlign w:val="center"/>
          </w:tcPr>
          <w:p w:rsidR="00087B3E" w:rsidRDefault="00D86034">
            <w:pPr>
              <w:jc w:val="left"/>
            </w:pPr>
            <w:r>
              <w:rPr>
                <w:color w:val="000000"/>
                <w:sz w:val="24"/>
              </w:rPr>
              <w:t>过去三个月</w:t>
            </w:r>
          </w:p>
        </w:tc>
        <w:tc>
          <w:tcPr>
            <w:tcW w:w="1194" w:type="dxa"/>
            <w:vAlign w:val="center"/>
          </w:tcPr>
          <w:p w:rsidR="00087B3E" w:rsidRDefault="00D86034">
            <w:pPr>
              <w:jc w:val="right"/>
            </w:pPr>
            <w:r>
              <w:rPr>
                <w:color w:val="000000"/>
                <w:sz w:val="24"/>
              </w:rPr>
              <w:t>9.45%</w:t>
            </w:r>
          </w:p>
        </w:tc>
        <w:tc>
          <w:tcPr>
            <w:tcW w:w="1194" w:type="dxa"/>
            <w:vAlign w:val="center"/>
          </w:tcPr>
          <w:p w:rsidR="00087B3E" w:rsidRDefault="00D86034">
            <w:pPr>
              <w:jc w:val="right"/>
            </w:pPr>
            <w:r>
              <w:rPr>
                <w:color w:val="000000"/>
                <w:sz w:val="24"/>
              </w:rPr>
              <w:t>0.67%</w:t>
            </w:r>
          </w:p>
        </w:tc>
        <w:tc>
          <w:tcPr>
            <w:tcW w:w="1194" w:type="dxa"/>
            <w:vAlign w:val="center"/>
          </w:tcPr>
          <w:p w:rsidR="00087B3E" w:rsidRDefault="00D86034">
            <w:pPr>
              <w:jc w:val="right"/>
            </w:pPr>
            <w:r>
              <w:rPr>
                <w:color w:val="000000"/>
                <w:sz w:val="24"/>
              </w:rPr>
              <w:t>11.69%</w:t>
            </w:r>
          </w:p>
        </w:tc>
        <w:tc>
          <w:tcPr>
            <w:tcW w:w="1343" w:type="dxa"/>
            <w:vAlign w:val="center"/>
          </w:tcPr>
          <w:p w:rsidR="00087B3E" w:rsidRDefault="00D86034">
            <w:pPr>
              <w:jc w:val="right"/>
            </w:pPr>
            <w:r>
              <w:rPr>
                <w:color w:val="000000"/>
                <w:sz w:val="24"/>
              </w:rPr>
              <w:t>0.68%</w:t>
            </w:r>
          </w:p>
        </w:tc>
        <w:tc>
          <w:tcPr>
            <w:tcW w:w="1194" w:type="dxa"/>
            <w:vAlign w:val="center"/>
          </w:tcPr>
          <w:p w:rsidR="00087B3E" w:rsidRDefault="00D86034">
            <w:pPr>
              <w:jc w:val="right"/>
            </w:pPr>
            <w:r>
              <w:rPr>
                <w:color w:val="000000"/>
                <w:sz w:val="24"/>
              </w:rPr>
              <w:t>-2.24%</w:t>
            </w:r>
          </w:p>
        </w:tc>
        <w:tc>
          <w:tcPr>
            <w:tcW w:w="1048" w:type="dxa"/>
            <w:vAlign w:val="center"/>
          </w:tcPr>
          <w:p w:rsidR="00087B3E" w:rsidRDefault="00D86034">
            <w:pPr>
              <w:jc w:val="right"/>
            </w:pPr>
            <w:r>
              <w:rPr>
                <w:color w:val="000000"/>
                <w:sz w:val="24"/>
              </w:rPr>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87B3E">
        <w:trPr>
          <w:jc w:val="center"/>
        </w:trPr>
        <w:tc>
          <w:tcPr>
            <w:tcW w:w="846" w:type="dxa"/>
            <w:vAlign w:val="center"/>
          </w:tcPr>
          <w:p w:rsidR="00087B3E" w:rsidRDefault="00D86034">
            <w:pPr>
              <w:jc w:val="center"/>
            </w:pPr>
            <w:r>
              <w:rPr>
                <w:color w:val="000000"/>
                <w:sz w:val="24"/>
              </w:rPr>
              <w:t>陈俊华</w:t>
            </w:r>
          </w:p>
        </w:tc>
        <w:tc>
          <w:tcPr>
            <w:tcW w:w="845" w:type="dxa"/>
            <w:vAlign w:val="center"/>
          </w:tcPr>
          <w:p w:rsidR="00087B3E" w:rsidRDefault="00D86034">
            <w:pPr>
              <w:jc w:val="center"/>
            </w:pPr>
            <w:r>
              <w:rPr>
                <w:color w:val="000000"/>
                <w:sz w:val="24"/>
              </w:rPr>
              <w:t>交银环球精选混合</w:t>
            </w:r>
            <w:r>
              <w:rPr>
                <w:color w:val="000000"/>
                <w:sz w:val="24"/>
              </w:rPr>
              <w:t>(QDII)</w:t>
            </w:r>
            <w:r>
              <w:rPr>
                <w:color w:val="000000"/>
                <w:sz w:val="24"/>
              </w:rPr>
              <w:t>、交银全球资</w:t>
            </w:r>
            <w:r>
              <w:rPr>
                <w:color w:val="000000"/>
                <w:sz w:val="24"/>
              </w:rPr>
              <w:lastRenderedPageBreak/>
              <w:t>源混合</w:t>
            </w:r>
            <w:r>
              <w:rPr>
                <w:color w:val="000000"/>
                <w:sz w:val="24"/>
              </w:rPr>
              <w:t>(QDII)</w:t>
            </w:r>
            <w:r>
              <w:rPr>
                <w:color w:val="000000"/>
                <w:sz w:val="24"/>
              </w:rPr>
              <w:t>、交银沪港深价值精选混合、交银核心资产混合的基金经理，公司跨境投资副总监</w:t>
            </w:r>
          </w:p>
        </w:tc>
        <w:tc>
          <w:tcPr>
            <w:tcW w:w="1549" w:type="dxa"/>
            <w:vAlign w:val="center"/>
          </w:tcPr>
          <w:p w:rsidR="00087B3E" w:rsidRDefault="00D86034">
            <w:pPr>
              <w:jc w:val="center"/>
            </w:pPr>
            <w:r>
              <w:rPr>
                <w:color w:val="000000"/>
                <w:sz w:val="24"/>
              </w:rPr>
              <w:lastRenderedPageBreak/>
              <w:t>2015-11-21</w:t>
            </w:r>
          </w:p>
        </w:tc>
        <w:tc>
          <w:tcPr>
            <w:tcW w:w="1548" w:type="dxa"/>
            <w:vAlign w:val="center"/>
          </w:tcPr>
          <w:p w:rsidR="00087B3E" w:rsidRDefault="00D86034">
            <w:pPr>
              <w:jc w:val="center"/>
            </w:pPr>
            <w:r>
              <w:rPr>
                <w:color w:val="000000"/>
                <w:sz w:val="24"/>
              </w:rPr>
              <w:t>-</w:t>
            </w:r>
          </w:p>
        </w:tc>
        <w:tc>
          <w:tcPr>
            <w:tcW w:w="1407" w:type="dxa"/>
            <w:vAlign w:val="center"/>
          </w:tcPr>
          <w:p w:rsidR="00087B3E" w:rsidRDefault="00D86034">
            <w:pPr>
              <w:jc w:val="center"/>
            </w:pPr>
            <w:r>
              <w:rPr>
                <w:color w:val="000000"/>
                <w:sz w:val="24"/>
              </w:rPr>
              <w:t>14</w:t>
            </w:r>
            <w:r>
              <w:rPr>
                <w:color w:val="000000"/>
                <w:sz w:val="24"/>
              </w:rPr>
              <w:t>年</w:t>
            </w:r>
          </w:p>
        </w:tc>
        <w:tc>
          <w:tcPr>
            <w:tcW w:w="2673" w:type="dxa"/>
            <w:vAlign w:val="center"/>
          </w:tcPr>
          <w:p w:rsidR="00087B3E" w:rsidRDefault="00D86034">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087B3E">
        <w:trPr>
          <w:jc w:val="center"/>
        </w:trPr>
        <w:tc>
          <w:tcPr>
            <w:tcW w:w="846" w:type="dxa"/>
            <w:vAlign w:val="center"/>
          </w:tcPr>
          <w:p w:rsidR="00087B3E" w:rsidRDefault="00D86034">
            <w:pPr>
              <w:jc w:val="center"/>
            </w:pPr>
            <w:r>
              <w:rPr>
                <w:color w:val="000000"/>
                <w:sz w:val="24"/>
              </w:rPr>
              <w:t>周中</w:t>
            </w:r>
          </w:p>
        </w:tc>
        <w:tc>
          <w:tcPr>
            <w:tcW w:w="845" w:type="dxa"/>
            <w:vAlign w:val="center"/>
          </w:tcPr>
          <w:p w:rsidR="00087B3E" w:rsidRDefault="00D8603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1549" w:type="dxa"/>
            <w:vAlign w:val="center"/>
          </w:tcPr>
          <w:p w:rsidR="00087B3E" w:rsidRDefault="00D86034">
            <w:pPr>
              <w:jc w:val="center"/>
            </w:pPr>
            <w:r>
              <w:rPr>
                <w:color w:val="000000"/>
                <w:sz w:val="24"/>
              </w:rPr>
              <w:t>2015-12-12</w:t>
            </w:r>
          </w:p>
        </w:tc>
        <w:tc>
          <w:tcPr>
            <w:tcW w:w="1548" w:type="dxa"/>
            <w:vAlign w:val="center"/>
          </w:tcPr>
          <w:p w:rsidR="00087B3E" w:rsidRDefault="00D86034">
            <w:pPr>
              <w:jc w:val="center"/>
            </w:pPr>
            <w:r>
              <w:rPr>
                <w:color w:val="000000"/>
                <w:sz w:val="24"/>
              </w:rPr>
              <w:t>-</w:t>
            </w:r>
          </w:p>
        </w:tc>
        <w:tc>
          <w:tcPr>
            <w:tcW w:w="1407" w:type="dxa"/>
            <w:vAlign w:val="center"/>
          </w:tcPr>
          <w:p w:rsidR="00087B3E" w:rsidRDefault="00D86034">
            <w:pPr>
              <w:jc w:val="center"/>
            </w:pPr>
            <w:r>
              <w:rPr>
                <w:color w:val="000000"/>
                <w:sz w:val="24"/>
              </w:rPr>
              <w:t>10</w:t>
            </w:r>
            <w:r>
              <w:rPr>
                <w:color w:val="000000"/>
                <w:sz w:val="24"/>
              </w:rPr>
              <w:t>年</w:t>
            </w:r>
          </w:p>
        </w:tc>
        <w:tc>
          <w:tcPr>
            <w:tcW w:w="2673" w:type="dxa"/>
            <w:vAlign w:val="center"/>
          </w:tcPr>
          <w:p w:rsidR="00087B3E" w:rsidRDefault="00D86034">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a"/>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087B3E">
        <w:trPr>
          <w:jc w:val="center"/>
        </w:trPr>
        <w:tc>
          <w:tcPr>
            <w:tcW w:w="2070" w:type="dxa"/>
            <w:vAlign w:val="center"/>
          </w:tcPr>
          <w:p w:rsidR="00087B3E" w:rsidRDefault="00D86034">
            <w:pPr>
              <w:jc w:val="center"/>
            </w:pPr>
            <w:r>
              <w:rPr>
                <w:color w:val="000000"/>
                <w:sz w:val="24"/>
              </w:rPr>
              <w:t>Simon Webber</w:t>
            </w:r>
          </w:p>
        </w:tc>
        <w:tc>
          <w:tcPr>
            <w:tcW w:w="2465" w:type="dxa"/>
            <w:vAlign w:val="center"/>
          </w:tcPr>
          <w:p w:rsidR="00087B3E" w:rsidRDefault="00D86034">
            <w:pPr>
              <w:jc w:val="center"/>
            </w:pPr>
            <w:r>
              <w:rPr>
                <w:color w:val="000000"/>
                <w:sz w:val="24"/>
              </w:rPr>
              <w:t>施罗德集团多区域（全球及国际）股票投资主管、全球和国际股票基金经理、全球气候变化股票基金经理</w:t>
            </w:r>
          </w:p>
        </w:tc>
        <w:tc>
          <w:tcPr>
            <w:tcW w:w="2116" w:type="dxa"/>
            <w:vAlign w:val="center"/>
          </w:tcPr>
          <w:p w:rsidR="00087B3E" w:rsidRDefault="00D86034">
            <w:pPr>
              <w:jc w:val="center"/>
            </w:pPr>
            <w:r>
              <w:rPr>
                <w:color w:val="000000"/>
                <w:sz w:val="24"/>
              </w:rPr>
              <w:t>20</w:t>
            </w:r>
            <w:r>
              <w:rPr>
                <w:color w:val="000000"/>
                <w:sz w:val="24"/>
              </w:rPr>
              <w:t>年</w:t>
            </w:r>
          </w:p>
        </w:tc>
        <w:tc>
          <w:tcPr>
            <w:tcW w:w="2217" w:type="dxa"/>
            <w:vAlign w:val="center"/>
          </w:tcPr>
          <w:p w:rsidR="00087B3E" w:rsidRDefault="00D86034">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087B3E" w:rsidRDefault="00D8603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7B3E" w:rsidRDefault="00D8603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087B3E" w:rsidRDefault="00D8603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w:t>
      </w:r>
      <w:r w:rsidRPr="008640AE">
        <w:rPr>
          <w:color w:val="000000"/>
          <w:sz w:val="24"/>
        </w:rPr>
        <w:lastRenderedPageBreak/>
        <w:t>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087B3E" w:rsidRDefault="00D86034">
      <w:pPr>
        <w:spacing w:before="29" w:line="288" w:lineRule="auto"/>
        <w:ind w:firstLineChars="200" w:firstLine="480"/>
        <w:rPr>
          <w:color w:val="000000"/>
          <w:sz w:val="24"/>
        </w:rPr>
      </w:pPr>
      <w:r>
        <w:rPr>
          <w:color w:val="000000"/>
          <w:sz w:val="24"/>
        </w:rPr>
        <w:t>2019</w:t>
      </w:r>
      <w:r>
        <w:rPr>
          <w:color w:val="000000"/>
          <w:sz w:val="24"/>
        </w:rPr>
        <w:t>年初，美联储宣布放缓加息，全球股票市场呈现上涨态势，尤其新兴市场获得大量资金海外流入。除了流动性因素外，在</w:t>
      </w:r>
      <w:r>
        <w:rPr>
          <w:color w:val="000000"/>
          <w:sz w:val="24"/>
        </w:rPr>
        <w:t>MSCI</w:t>
      </w:r>
      <w:r>
        <w:rPr>
          <w:color w:val="000000"/>
          <w:sz w:val="24"/>
        </w:rPr>
        <w:t>扩容</w:t>
      </w:r>
      <w:r>
        <w:rPr>
          <w:color w:val="000000"/>
          <w:sz w:val="24"/>
        </w:rPr>
        <w:t>A</w:t>
      </w:r>
      <w:r>
        <w:rPr>
          <w:color w:val="000000"/>
          <w:sz w:val="24"/>
        </w:rPr>
        <w:t>股份额、科创板即将成立的利好因素推动下，</w:t>
      </w:r>
      <w:r>
        <w:rPr>
          <w:color w:val="000000"/>
          <w:sz w:val="24"/>
        </w:rPr>
        <w:t>A</w:t>
      </w:r>
      <w:r>
        <w:rPr>
          <w:color w:val="000000"/>
          <w:sz w:val="24"/>
        </w:rPr>
        <w:t>股显著跑赢港股市场，且日均交易额迅速放大。而港股、美股走势则相对一致，交易量并未出现剧烈的波动变化。</w:t>
      </w:r>
    </w:p>
    <w:p w:rsidR="00087B3E" w:rsidRDefault="00D86034">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一季度，我们欧美市场维持高仓位运行，主要进行结构型调整，增配部分消费类个股，减少资源类持股。港股方面，我们持股更加集中，聚焦子行业龙头，超配了券商、地产、轨交和通讯板块，为我们带来了超额收益。</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二季度，我们认为市场对于基本面的关注度会提升，将努力在相关领域挖掘个股。欧美市场，我们将继续在科技和消费板块龙头里，寻找标的进行投资。港股方面，我们认为港股的投资机会在增多，我们对于硬件、软件以及医药领域较年初更为乐观，产业链调研显示基本面在逐步好转。我们对于中资地产板块则相对谨慎，在逐步降低板块配置。我们将继续勤勉尽责地积极调研，努力为投资人赚取回报。</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105,133,393.57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89.66</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103,761,309.76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88.49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1,372,083.81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10,786,114.92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9.20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1,338,428.60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117,257,937.09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a"/>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87B3E">
        <w:trPr>
          <w:jc w:val="center"/>
        </w:trPr>
        <w:tc>
          <w:tcPr>
            <w:tcW w:w="2484" w:type="dxa"/>
            <w:vAlign w:val="center"/>
          </w:tcPr>
          <w:p w:rsidR="00087B3E" w:rsidRDefault="00D86034">
            <w:pPr>
              <w:jc w:val="left"/>
            </w:pPr>
            <w:r>
              <w:rPr>
                <w:color w:val="000000"/>
                <w:sz w:val="24"/>
              </w:rPr>
              <w:t>美国</w:t>
            </w:r>
          </w:p>
        </w:tc>
        <w:tc>
          <w:tcPr>
            <w:tcW w:w="3214" w:type="dxa"/>
            <w:vAlign w:val="center"/>
          </w:tcPr>
          <w:p w:rsidR="00087B3E" w:rsidRDefault="00D86034">
            <w:pPr>
              <w:jc w:val="right"/>
            </w:pPr>
            <w:r>
              <w:rPr>
                <w:color w:val="000000"/>
                <w:sz w:val="24"/>
              </w:rPr>
              <w:t>59,792,950.08</w:t>
            </w:r>
          </w:p>
        </w:tc>
        <w:tc>
          <w:tcPr>
            <w:tcW w:w="3170" w:type="dxa"/>
            <w:vAlign w:val="center"/>
          </w:tcPr>
          <w:p w:rsidR="00087B3E" w:rsidRDefault="00D86034">
            <w:pPr>
              <w:jc w:val="right"/>
            </w:pPr>
            <w:r>
              <w:rPr>
                <w:color w:val="000000"/>
                <w:sz w:val="24"/>
              </w:rPr>
              <w:t>51.51</w:t>
            </w:r>
          </w:p>
        </w:tc>
      </w:tr>
      <w:tr w:rsidR="00087B3E">
        <w:trPr>
          <w:jc w:val="center"/>
        </w:trPr>
        <w:tc>
          <w:tcPr>
            <w:tcW w:w="2484" w:type="dxa"/>
            <w:vAlign w:val="center"/>
          </w:tcPr>
          <w:p w:rsidR="00087B3E" w:rsidRDefault="00D86034">
            <w:pPr>
              <w:jc w:val="left"/>
            </w:pPr>
            <w:r>
              <w:rPr>
                <w:color w:val="000000"/>
                <w:sz w:val="24"/>
              </w:rPr>
              <w:t>香港</w:t>
            </w:r>
          </w:p>
        </w:tc>
        <w:tc>
          <w:tcPr>
            <w:tcW w:w="3214" w:type="dxa"/>
            <w:vAlign w:val="center"/>
          </w:tcPr>
          <w:p w:rsidR="00087B3E" w:rsidRDefault="00D86034">
            <w:pPr>
              <w:jc w:val="right"/>
            </w:pPr>
            <w:r>
              <w:rPr>
                <w:color w:val="000000"/>
                <w:sz w:val="24"/>
              </w:rPr>
              <w:t>20,883,680.03</w:t>
            </w:r>
          </w:p>
        </w:tc>
        <w:tc>
          <w:tcPr>
            <w:tcW w:w="3170" w:type="dxa"/>
            <w:vAlign w:val="center"/>
          </w:tcPr>
          <w:p w:rsidR="00087B3E" w:rsidRDefault="00D86034">
            <w:pPr>
              <w:jc w:val="right"/>
            </w:pPr>
            <w:r>
              <w:rPr>
                <w:color w:val="000000"/>
                <w:sz w:val="24"/>
              </w:rPr>
              <w:t>17.99</w:t>
            </w:r>
          </w:p>
        </w:tc>
      </w:tr>
      <w:tr w:rsidR="00087B3E">
        <w:trPr>
          <w:jc w:val="center"/>
        </w:trPr>
        <w:tc>
          <w:tcPr>
            <w:tcW w:w="2484" w:type="dxa"/>
            <w:vAlign w:val="center"/>
          </w:tcPr>
          <w:p w:rsidR="00087B3E" w:rsidRDefault="00D86034">
            <w:pPr>
              <w:jc w:val="left"/>
            </w:pPr>
            <w:r>
              <w:rPr>
                <w:color w:val="000000"/>
                <w:sz w:val="24"/>
              </w:rPr>
              <w:t>瑞士</w:t>
            </w:r>
          </w:p>
        </w:tc>
        <w:tc>
          <w:tcPr>
            <w:tcW w:w="3214" w:type="dxa"/>
            <w:vAlign w:val="center"/>
          </w:tcPr>
          <w:p w:rsidR="00087B3E" w:rsidRDefault="00D86034">
            <w:pPr>
              <w:jc w:val="right"/>
            </w:pPr>
            <w:r>
              <w:rPr>
                <w:color w:val="000000"/>
                <w:sz w:val="24"/>
              </w:rPr>
              <w:t>5,570,216.50</w:t>
            </w:r>
          </w:p>
        </w:tc>
        <w:tc>
          <w:tcPr>
            <w:tcW w:w="3170" w:type="dxa"/>
            <w:vAlign w:val="center"/>
          </w:tcPr>
          <w:p w:rsidR="00087B3E" w:rsidRDefault="00D86034">
            <w:pPr>
              <w:jc w:val="right"/>
            </w:pPr>
            <w:r>
              <w:rPr>
                <w:color w:val="000000"/>
                <w:sz w:val="24"/>
              </w:rPr>
              <w:t>4.80</w:t>
            </w:r>
          </w:p>
        </w:tc>
      </w:tr>
      <w:tr w:rsidR="00087B3E">
        <w:trPr>
          <w:jc w:val="center"/>
        </w:trPr>
        <w:tc>
          <w:tcPr>
            <w:tcW w:w="2484" w:type="dxa"/>
            <w:vAlign w:val="center"/>
          </w:tcPr>
          <w:p w:rsidR="00087B3E" w:rsidRDefault="00D86034">
            <w:pPr>
              <w:jc w:val="left"/>
            </w:pPr>
            <w:r>
              <w:rPr>
                <w:color w:val="000000"/>
                <w:sz w:val="24"/>
              </w:rPr>
              <w:t>日本</w:t>
            </w:r>
          </w:p>
        </w:tc>
        <w:tc>
          <w:tcPr>
            <w:tcW w:w="3214" w:type="dxa"/>
            <w:vAlign w:val="center"/>
          </w:tcPr>
          <w:p w:rsidR="00087B3E" w:rsidRDefault="00D86034">
            <w:pPr>
              <w:jc w:val="right"/>
            </w:pPr>
            <w:r>
              <w:rPr>
                <w:color w:val="000000"/>
                <w:sz w:val="24"/>
              </w:rPr>
              <w:t>4,798,118.29</w:t>
            </w:r>
          </w:p>
        </w:tc>
        <w:tc>
          <w:tcPr>
            <w:tcW w:w="3170" w:type="dxa"/>
            <w:vAlign w:val="center"/>
          </w:tcPr>
          <w:p w:rsidR="00087B3E" w:rsidRDefault="00D86034">
            <w:pPr>
              <w:jc w:val="right"/>
            </w:pPr>
            <w:r>
              <w:rPr>
                <w:color w:val="000000"/>
                <w:sz w:val="24"/>
              </w:rPr>
              <w:t>4.13</w:t>
            </w:r>
          </w:p>
        </w:tc>
      </w:tr>
      <w:tr w:rsidR="00087B3E">
        <w:trPr>
          <w:jc w:val="center"/>
        </w:trPr>
        <w:tc>
          <w:tcPr>
            <w:tcW w:w="2484" w:type="dxa"/>
            <w:vAlign w:val="center"/>
          </w:tcPr>
          <w:p w:rsidR="00087B3E" w:rsidRDefault="00D86034">
            <w:pPr>
              <w:jc w:val="left"/>
            </w:pPr>
            <w:r>
              <w:rPr>
                <w:color w:val="000000"/>
                <w:sz w:val="24"/>
              </w:rPr>
              <w:t>法国</w:t>
            </w:r>
          </w:p>
        </w:tc>
        <w:tc>
          <w:tcPr>
            <w:tcW w:w="3214" w:type="dxa"/>
            <w:vAlign w:val="center"/>
          </w:tcPr>
          <w:p w:rsidR="00087B3E" w:rsidRDefault="00D86034">
            <w:pPr>
              <w:jc w:val="right"/>
            </w:pPr>
            <w:r>
              <w:rPr>
                <w:color w:val="000000"/>
                <w:sz w:val="24"/>
              </w:rPr>
              <w:t>4,495,382.99</w:t>
            </w:r>
          </w:p>
        </w:tc>
        <w:tc>
          <w:tcPr>
            <w:tcW w:w="3170" w:type="dxa"/>
            <w:vAlign w:val="center"/>
          </w:tcPr>
          <w:p w:rsidR="00087B3E" w:rsidRDefault="00D86034">
            <w:pPr>
              <w:jc w:val="right"/>
            </w:pPr>
            <w:r>
              <w:rPr>
                <w:color w:val="000000"/>
                <w:sz w:val="24"/>
              </w:rPr>
              <w:t>3.87</w:t>
            </w:r>
          </w:p>
        </w:tc>
      </w:tr>
      <w:tr w:rsidR="00087B3E">
        <w:trPr>
          <w:jc w:val="center"/>
        </w:trPr>
        <w:tc>
          <w:tcPr>
            <w:tcW w:w="2484" w:type="dxa"/>
            <w:vAlign w:val="center"/>
          </w:tcPr>
          <w:p w:rsidR="00087B3E" w:rsidRDefault="00D86034">
            <w:pPr>
              <w:jc w:val="left"/>
            </w:pPr>
            <w:r>
              <w:rPr>
                <w:color w:val="000000"/>
                <w:sz w:val="24"/>
              </w:rPr>
              <w:t>加拿大</w:t>
            </w:r>
          </w:p>
        </w:tc>
        <w:tc>
          <w:tcPr>
            <w:tcW w:w="3214" w:type="dxa"/>
            <w:vAlign w:val="center"/>
          </w:tcPr>
          <w:p w:rsidR="00087B3E" w:rsidRDefault="00D86034">
            <w:pPr>
              <w:jc w:val="right"/>
            </w:pPr>
            <w:r>
              <w:rPr>
                <w:color w:val="000000"/>
                <w:sz w:val="24"/>
              </w:rPr>
              <w:t>3,333,454.38</w:t>
            </w:r>
          </w:p>
        </w:tc>
        <w:tc>
          <w:tcPr>
            <w:tcW w:w="3170" w:type="dxa"/>
            <w:vAlign w:val="center"/>
          </w:tcPr>
          <w:p w:rsidR="00087B3E" w:rsidRDefault="00D86034">
            <w:pPr>
              <w:jc w:val="right"/>
            </w:pPr>
            <w:r>
              <w:rPr>
                <w:color w:val="000000"/>
                <w:sz w:val="24"/>
              </w:rPr>
              <w:t>2.87</w:t>
            </w:r>
          </w:p>
        </w:tc>
      </w:tr>
      <w:tr w:rsidR="00087B3E">
        <w:trPr>
          <w:jc w:val="center"/>
        </w:trPr>
        <w:tc>
          <w:tcPr>
            <w:tcW w:w="2484" w:type="dxa"/>
            <w:vAlign w:val="center"/>
          </w:tcPr>
          <w:p w:rsidR="00087B3E" w:rsidRDefault="00D86034">
            <w:pPr>
              <w:jc w:val="left"/>
            </w:pPr>
            <w:r>
              <w:rPr>
                <w:color w:val="000000"/>
                <w:sz w:val="24"/>
              </w:rPr>
              <w:t>英国</w:t>
            </w:r>
          </w:p>
        </w:tc>
        <w:tc>
          <w:tcPr>
            <w:tcW w:w="3214" w:type="dxa"/>
            <w:vAlign w:val="center"/>
          </w:tcPr>
          <w:p w:rsidR="00087B3E" w:rsidRDefault="00D86034">
            <w:pPr>
              <w:jc w:val="right"/>
            </w:pPr>
            <w:r>
              <w:rPr>
                <w:color w:val="000000"/>
                <w:sz w:val="24"/>
              </w:rPr>
              <w:t>1,813,192.82</w:t>
            </w:r>
          </w:p>
        </w:tc>
        <w:tc>
          <w:tcPr>
            <w:tcW w:w="3170" w:type="dxa"/>
            <w:vAlign w:val="center"/>
          </w:tcPr>
          <w:p w:rsidR="00087B3E" w:rsidRDefault="00D86034">
            <w:pPr>
              <w:jc w:val="right"/>
            </w:pPr>
            <w:r>
              <w:rPr>
                <w:color w:val="000000"/>
                <w:sz w:val="24"/>
              </w:rPr>
              <w:t>1.56</w:t>
            </w:r>
          </w:p>
        </w:tc>
      </w:tr>
      <w:tr w:rsidR="00087B3E">
        <w:trPr>
          <w:jc w:val="center"/>
        </w:trPr>
        <w:tc>
          <w:tcPr>
            <w:tcW w:w="2484" w:type="dxa"/>
            <w:vAlign w:val="center"/>
          </w:tcPr>
          <w:p w:rsidR="00087B3E" w:rsidRDefault="00D86034">
            <w:pPr>
              <w:jc w:val="left"/>
            </w:pPr>
            <w:r>
              <w:rPr>
                <w:color w:val="000000"/>
                <w:sz w:val="24"/>
              </w:rPr>
              <w:t>德国</w:t>
            </w:r>
          </w:p>
        </w:tc>
        <w:tc>
          <w:tcPr>
            <w:tcW w:w="3214" w:type="dxa"/>
            <w:vAlign w:val="center"/>
          </w:tcPr>
          <w:p w:rsidR="00087B3E" w:rsidRDefault="00D86034">
            <w:pPr>
              <w:jc w:val="right"/>
            </w:pPr>
            <w:r>
              <w:rPr>
                <w:color w:val="000000"/>
                <w:sz w:val="24"/>
              </w:rPr>
              <w:t>1,652,751.88</w:t>
            </w:r>
          </w:p>
        </w:tc>
        <w:tc>
          <w:tcPr>
            <w:tcW w:w="3170" w:type="dxa"/>
            <w:vAlign w:val="center"/>
          </w:tcPr>
          <w:p w:rsidR="00087B3E" w:rsidRDefault="00D86034">
            <w:pPr>
              <w:jc w:val="right"/>
            </w:pPr>
            <w:r>
              <w:rPr>
                <w:color w:val="000000"/>
                <w:sz w:val="24"/>
              </w:rPr>
              <w:t>1.42</w:t>
            </w:r>
          </w:p>
        </w:tc>
      </w:tr>
      <w:tr w:rsidR="00087B3E">
        <w:trPr>
          <w:jc w:val="center"/>
        </w:trPr>
        <w:tc>
          <w:tcPr>
            <w:tcW w:w="2484" w:type="dxa"/>
            <w:vAlign w:val="center"/>
          </w:tcPr>
          <w:p w:rsidR="00087B3E" w:rsidRDefault="00D86034">
            <w:pPr>
              <w:jc w:val="left"/>
            </w:pPr>
            <w:r>
              <w:rPr>
                <w:color w:val="000000"/>
                <w:sz w:val="24"/>
              </w:rPr>
              <w:t>荷兰</w:t>
            </w:r>
          </w:p>
        </w:tc>
        <w:tc>
          <w:tcPr>
            <w:tcW w:w="3214" w:type="dxa"/>
            <w:vAlign w:val="center"/>
          </w:tcPr>
          <w:p w:rsidR="00087B3E" w:rsidRDefault="00D86034">
            <w:pPr>
              <w:jc w:val="right"/>
            </w:pPr>
            <w:r>
              <w:rPr>
                <w:color w:val="000000"/>
                <w:sz w:val="24"/>
              </w:rPr>
              <w:t>1,020,078.83</w:t>
            </w:r>
          </w:p>
        </w:tc>
        <w:tc>
          <w:tcPr>
            <w:tcW w:w="3170" w:type="dxa"/>
            <w:vAlign w:val="center"/>
          </w:tcPr>
          <w:p w:rsidR="00087B3E" w:rsidRDefault="00D86034">
            <w:pPr>
              <w:jc w:val="right"/>
            </w:pPr>
            <w:r>
              <w:rPr>
                <w:color w:val="000000"/>
                <w:sz w:val="24"/>
              </w:rPr>
              <w:t>0.88</w:t>
            </w:r>
          </w:p>
        </w:tc>
      </w:tr>
      <w:tr w:rsidR="00087B3E">
        <w:trPr>
          <w:jc w:val="center"/>
        </w:trPr>
        <w:tc>
          <w:tcPr>
            <w:tcW w:w="2484" w:type="dxa"/>
            <w:vAlign w:val="center"/>
          </w:tcPr>
          <w:p w:rsidR="00087B3E" w:rsidRDefault="00D86034">
            <w:pPr>
              <w:jc w:val="left"/>
            </w:pPr>
            <w:r>
              <w:rPr>
                <w:color w:val="000000"/>
                <w:sz w:val="24"/>
              </w:rPr>
              <w:t>澳大利亚</w:t>
            </w:r>
          </w:p>
        </w:tc>
        <w:tc>
          <w:tcPr>
            <w:tcW w:w="3214" w:type="dxa"/>
            <w:vAlign w:val="center"/>
          </w:tcPr>
          <w:p w:rsidR="00087B3E" w:rsidRDefault="00D86034">
            <w:pPr>
              <w:jc w:val="right"/>
            </w:pPr>
            <w:r>
              <w:rPr>
                <w:color w:val="000000"/>
                <w:sz w:val="24"/>
              </w:rPr>
              <w:t>1,001,195.93</w:t>
            </w:r>
          </w:p>
        </w:tc>
        <w:tc>
          <w:tcPr>
            <w:tcW w:w="3170" w:type="dxa"/>
            <w:vAlign w:val="center"/>
          </w:tcPr>
          <w:p w:rsidR="00087B3E" w:rsidRDefault="00D86034">
            <w:pPr>
              <w:jc w:val="right"/>
            </w:pPr>
            <w:r>
              <w:rPr>
                <w:color w:val="000000"/>
                <w:sz w:val="24"/>
              </w:rPr>
              <w:t>0.86</w:t>
            </w:r>
          </w:p>
        </w:tc>
      </w:tr>
      <w:tr w:rsidR="00087B3E">
        <w:trPr>
          <w:jc w:val="center"/>
        </w:trPr>
        <w:tc>
          <w:tcPr>
            <w:tcW w:w="2484" w:type="dxa"/>
            <w:vAlign w:val="center"/>
          </w:tcPr>
          <w:p w:rsidR="00087B3E" w:rsidRDefault="00D86034">
            <w:pPr>
              <w:jc w:val="left"/>
            </w:pPr>
            <w:r>
              <w:rPr>
                <w:color w:val="000000"/>
                <w:sz w:val="24"/>
              </w:rPr>
              <w:t>巴西</w:t>
            </w:r>
          </w:p>
        </w:tc>
        <w:tc>
          <w:tcPr>
            <w:tcW w:w="3214" w:type="dxa"/>
            <w:vAlign w:val="center"/>
          </w:tcPr>
          <w:p w:rsidR="00087B3E" w:rsidRDefault="00D86034">
            <w:pPr>
              <w:jc w:val="right"/>
            </w:pPr>
            <w:r>
              <w:rPr>
                <w:color w:val="000000"/>
                <w:sz w:val="24"/>
              </w:rPr>
              <w:t>772,371.84</w:t>
            </w:r>
          </w:p>
        </w:tc>
        <w:tc>
          <w:tcPr>
            <w:tcW w:w="3170" w:type="dxa"/>
            <w:vAlign w:val="center"/>
          </w:tcPr>
          <w:p w:rsidR="00087B3E" w:rsidRDefault="00D86034">
            <w:pPr>
              <w:jc w:val="right"/>
            </w:pPr>
            <w:r>
              <w:rPr>
                <w:color w:val="000000"/>
                <w:sz w:val="24"/>
              </w:rPr>
              <w:t>0.67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105,133,393.57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90.56</w:t>
            </w:r>
          </w:p>
        </w:tc>
      </w:tr>
    </w:tbl>
    <w:p w:rsidR="00087B3E" w:rsidRDefault="00D86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lastRenderedPageBreak/>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a"/>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D86034">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D86034" w:rsidRPr="008640AE" w:rsidTr="00D86034">
        <w:trPr>
          <w:jc w:val="center"/>
        </w:trPr>
        <w:tc>
          <w:tcPr>
            <w:tcW w:w="2904" w:type="dxa"/>
            <w:vAlign w:val="bottom"/>
          </w:tcPr>
          <w:p w:rsidR="00D86034" w:rsidRPr="00D86034" w:rsidRDefault="00D86034" w:rsidP="00D86034">
            <w:pPr>
              <w:jc w:val="left"/>
              <w:rPr>
                <w:color w:val="000000"/>
                <w:sz w:val="24"/>
              </w:rPr>
            </w:pPr>
            <w:bookmarkStart w:id="0" w:name="_GoBack" w:colFirst="0" w:colLast="2"/>
            <w:r w:rsidRPr="00D86034">
              <w:rPr>
                <w:rFonts w:hint="eastAsia"/>
                <w:color w:val="000000"/>
                <w:sz w:val="24"/>
              </w:rPr>
              <w:t>保健</w:t>
            </w:r>
          </w:p>
        </w:tc>
        <w:tc>
          <w:tcPr>
            <w:tcW w:w="2657" w:type="dxa"/>
            <w:vAlign w:val="bottom"/>
          </w:tcPr>
          <w:p w:rsidR="00D86034" w:rsidRPr="00D86034" w:rsidRDefault="00D86034" w:rsidP="00D86034">
            <w:pPr>
              <w:rPr>
                <w:rFonts w:hint="eastAsia"/>
                <w:color w:val="000000"/>
                <w:sz w:val="24"/>
              </w:rPr>
            </w:pPr>
            <w:r w:rsidRPr="00D86034">
              <w:rPr>
                <w:rFonts w:hint="eastAsia"/>
                <w:color w:val="000000"/>
                <w:sz w:val="24"/>
              </w:rPr>
              <w:t xml:space="preserve">     17,156,226.86 </w:t>
            </w:r>
          </w:p>
        </w:tc>
        <w:tc>
          <w:tcPr>
            <w:tcW w:w="3307" w:type="dxa"/>
            <w:vAlign w:val="bottom"/>
          </w:tcPr>
          <w:p w:rsidR="00D86034" w:rsidRPr="00D86034" w:rsidRDefault="00D86034" w:rsidP="00D86034">
            <w:pPr>
              <w:jc w:val="right"/>
              <w:rPr>
                <w:rFonts w:hint="eastAsia"/>
                <w:color w:val="000000"/>
                <w:sz w:val="24"/>
              </w:rPr>
            </w:pPr>
            <w:r w:rsidRPr="00D86034">
              <w:rPr>
                <w:rFonts w:hint="eastAsia"/>
                <w:color w:val="000000"/>
                <w:sz w:val="24"/>
              </w:rPr>
              <w:t>14.78</w:t>
            </w:r>
          </w:p>
        </w:tc>
      </w:tr>
      <w:bookmarkEnd w:id="0"/>
      <w:tr w:rsidR="00087B3E">
        <w:trPr>
          <w:jc w:val="center"/>
        </w:trPr>
        <w:tc>
          <w:tcPr>
            <w:tcW w:w="2904" w:type="dxa"/>
            <w:vAlign w:val="center"/>
          </w:tcPr>
          <w:p w:rsidR="00087B3E" w:rsidRDefault="00D86034">
            <w:pPr>
              <w:jc w:val="left"/>
            </w:pPr>
            <w:r>
              <w:rPr>
                <w:color w:val="000000"/>
                <w:sz w:val="24"/>
              </w:rPr>
              <w:t>信息技术</w:t>
            </w:r>
          </w:p>
        </w:tc>
        <w:tc>
          <w:tcPr>
            <w:tcW w:w="2657" w:type="dxa"/>
            <w:vAlign w:val="center"/>
          </w:tcPr>
          <w:p w:rsidR="00087B3E" w:rsidRDefault="00D86034">
            <w:pPr>
              <w:jc w:val="right"/>
            </w:pPr>
            <w:r>
              <w:rPr>
                <w:color w:val="000000"/>
                <w:sz w:val="24"/>
              </w:rPr>
              <w:t>15,384,112.58</w:t>
            </w:r>
          </w:p>
        </w:tc>
        <w:tc>
          <w:tcPr>
            <w:tcW w:w="3307" w:type="dxa"/>
            <w:vAlign w:val="center"/>
          </w:tcPr>
          <w:p w:rsidR="00087B3E" w:rsidRDefault="00D86034">
            <w:pPr>
              <w:jc w:val="right"/>
            </w:pPr>
            <w:r>
              <w:rPr>
                <w:color w:val="000000"/>
                <w:sz w:val="24"/>
              </w:rPr>
              <w:t>13.25</w:t>
            </w:r>
          </w:p>
        </w:tc>
      </w:tr>
      <w:tr w:rsidR="00087B3E">
        <w:trPr>
          <w:jc w:val="center"/>
        </w:trPr>
        <w:tc>
          <w:tcPr>
            <w:tcW w:w="2904" w:type="dxa"/>
            <w:vAlign w:val="center"/>
          </w:tcPr>
          <w:p w:rsidR="00087B3E" w:rsidRDefault="00D86034">
            <w:pPr>
              <w:jc w:val="left"/>
            </w:pPr>
            <w:r>
              <w:rPr>
                <w:color w:val="000000"/>
                <w:sz w:val="24"/>
              </w:rPr>
              <w:t>金融</w:t>
            </w:r>
          </w:p>
        </w:tc>
        <w:tc>
          <w:tcPr>
            <w:tcW w:w="2657" w:type="dxa"/>
            <w:vAlign w:val="center"/>
          </w:tcPr>
          <w:p w:rsidR="00087B3E" w:rsidRDefault="00D86034">
            <w:pPr>
              <w:jc w:val="right"/>
            </w:pPr>
            <w:r>
              <w:rPr>
                <w:color w:val="000000"/>
                <w:sz w:val="24"/>
              </w:rPr>
              <w:t>15,075,589.06</w:t>
            </w:r>
          </w:p>
        </w:tc>
        <w:tc>
          <w:tcPr>
            <w:tcW w:w="3307" w:type="dxa"/>
            <w:vAlign w:val="center"/>
          </w:tcPr>
          <w:p w:rsidR="00087B3E" w:rsidRDefault="00D86034">
            <w:pPr>
              <w:jc w:val="right"/>
            </w:pPr>
            <w:r>
              <w:rPr>
                <w:color w:val="000000"/>
                <w:sz w:val="24"/>
              </w:rPr>
              <w:t>12.99</w:t>
            </w:r>
          </w:p>
        </w:tc>
      </w:tr>
      <w:tr w:rsidR="00087B3E">
        <w:trPr>
          <w:jc w:val="center"/>
        </w:trPr>
        <w:tc>
          <w:tcPr>
            <w:tcW w:w="2904" w:type="dxa"/>
            <w:vAlign w:val="center"/>
          </w:tcPr>
          <w:p w:rsidR="00087B3E" w:rsidRDefault="00D86034">
            <w:pPr>
              <w:jc w:val="left"/>
            </w:pPr>
            <w:r>
              <w:rPr>
                <w:color w:val="000000"/>
                <w:sz w:val="24"/>
              </w:rPr>
              <w:t>电信服务</w:t>
            </w:r>
          </w:p>
        </w:tc>
        <w:tc>
          <w:tcPr>
            <w:tcW w:w="2657" w:type="dxa"/>
            <w:vAlign w:val="center"/>
          </w:tcPr>
          <w:p w:rsidR="00087B3E" w:rsidRDefault="00D86034">
            <w:pPr>
              <w:jc w:val="right"/>
            </w:pPr>
            <w:r>
              <w:rPr>
                <w:color w:val="000000"/>
                <w:sz w:val="24"/>
              </w:rPr>
              <w:t>12,607,363.42</w:t>
            </w:r>
          </w:p>
        </w:tc>
        <w:tc>
          <w:tcPr>
            <w:tcW w:w="3307" w:type="dxa"/>
            <w:vAlign w:val="center"/>
          </w:tcPr>
          <w:p w:rsidR="00087B3E" w:rsidRDefault="00D86034">
            <w:pPr>
              <w:jc w:val="right"/>
            </w:pPr>
            <w:r>
              <w:rPr>
                <w:color w:val="000000"/>
                <w:sz w:val="24"/>
              </w:rPr>
              <w:t>10.86</w:t>
            </w:r>
          </w:p>
        </w:tc>
      </w:tr>
      <w:tr w:rsidR="00087B3E">
        <w:trPr>
          <w:jc w:val="center"/>
        </w:trPr>
        <w:tc>
          <w:tcPr>
            <w:tcW w:w="2904" w:type="dxa"/>
            <w:vAlign w:val="center"/>
          </w:tcPr>
          <w:p w:rsidR="00087B3E" w:rsidRDefault="00D86034">
            <w:pPr>
              <w:jc w:val="left"/>
            </w:pPr>
            <w:r>
              <w:rPr>
                <w:color w:val="000000"/>
                <w:sz w:val="24"/>
              </w:rPr>
              <w:t>工业</w:t>
            </w:r>
          </w:p>
        </w:tc>
        <w:tc>
          <w:tcPr>
            <w:tcW w:w="2657" w:type="dxa"/>
            <w:vAlign w:val="center"/>
          </w:tcPr>
          <w:p w:rsidR="00087B3E" w:rsidRDefault="00D86034">
            <w:pPr>
              <w:jc w:val="right"/>
            </w:pPr>
            <w:r>
              <w:rPr>
                <w:color w:val="000000"/>
                <w:sz w:val="24"/>
              </w:rPr>
              <w:t>11,473,615.52</w:t>
            </w:r>
          </w:p>
        </w:tc>
        <w:tc>
          <w:tcPr>
            <w:tcW w:w="3307" w:type="dxa"/>
            <w:vAlign w:val="center"/>
          </w:tcPr>
          <w:p w:rsidR="00087B3E" w:rsidRDefault="00D86034">
            <w:pPr>
              <w:jc w:val="right"/>
            </w:pPr>
            <w:r>
              <w:rPr>
                <w:color w:val="000000"/>
                <w:sz w:val="24"/>
              </w:rPr>
              <w:t>9.88</w:t>
            </w:r>
          </w:p>
        </w:tc>
      </w:tr>
      <w:tr w:rsidR="00087B3E">
        <w:trPr>
          <w:jc w:val="center"/>
        </w:trPr>
        <w:tc>
          <w:tcPr>
            <w:tcW w:w="2904" w:type="dxa"/>
            <w:vAlign w:val="center"/>
          </w:tcPr>
          <w:p w:rsidR="00087B3E" w:rsidRDefault="00D86034">
            <w:pPr>
              <w:jc w:val="left"/>
            </w:pPr>
            <w:r>
              <w:rPr>
                <w:color w:val="000000"/>
                <w:sz w:val="24"/>
              </w:rPr>
              <w:t>非必需消费品</w:t>
            </w:r>
          </w:p>
        </w:tc>
        <w:tc>
          <w:tcPr>
            <w:tcW w:w="2657" w:type="dxa"/>
            <w:vAlign w:val="center"/>
          </w:tcPr>
          <w:p w:rsidR="00087B3E" w:rsidRDefault="00D86034">
            <w:pPr>
              <w:jc w:val="right"/>
            </w:pPr>
            <w:r>
              <w:rPr>
                <w:color w:val="000000"/>
                <w:sz w:val="24"/>
              </w:rPr>
              <w:t>10,601,299.38</w:t>
            </w:r>
          </w:p>
        </w:tc>
        <w:tc>
          <w:tcPr>
            <w:tcW w:w="3307" w:type="dxa"/>
            <w:vAlign w:val="center"/>
          </w:tcPr>
          <w:p w:rsidR="00087B3E" w:rsidRDefault="00D86034">
            <w:pPr>
              <w:jc w:val="right"/>
            </w:pPr>
            <w:r>
              <w:rPr>
                <w:color w:val="000000"/>
                <w:sz w:val="24"/>
              </w:rPr>
              <w:t>9.13</w:t>
            </w:r>
          </w:p>
        </w:tc>
      </w:tr>
      <w:tr w:rsidR="00087B3E">
        <w:trPr>
          <w:jc w:val="center"/>
        </w:trPr>
        <w:tc>
          <w:tcPr>
            <w:tcW w:w="2904" w:type="dxa"/>
            <w:vAlign w:val="center"/>
          </w:tcPr>
          <w:p w:rsidR="00087B3E" w:rsidRDefault="00D86034">
            <w:pPr>
              <w:jc w:val="left"/>
            </w:pPr>
            <w:r>
              <w:rPr>
                <w:color w:val="000000"/>
                <w:sz w:val="24"/>
              </w:rPr>
              <w:t>必需消费品</w:t>
            </w:r>
          </w:p>
        </w:tc>
        <w:tc>
          <w:tcPr>
            <w:tcW w:w="2657" w:type="dxa"/>
            <w:vAlign w:val="center"/>
          </w:tcPr>
          <w:p w:rsidR="00087B3E" w:rsidRDefault="00D86034">
            <w:pPr>
              <w:jc w:val="right"/>
            </w:pPr>
            <w:r>
              <w:rPr>
                <w:color w:val="000000"/>
                <w:sz w:val="24"/>
              </w:rPr>
              <w:t>9,595,243.97</w:t>
            </w:r>
          </w:p>
        </w:tc>
        <w:tc>
          <w:tcPr>
            <w:tcW w:w="3307" w:type="dxa"/>
            <w:vAlign w:val="center"/>
          </w:tcPr>
          <w:p w:rsidR="00087B3E" w:rsidRDefault="00D86034">
            <w:pPr>
              <w:jc w:val="right"/>
            </w:pPr>
            <w:r>
              <w:rPr>
                <w:color w:val="000000"/>
                <w:sz w:val="24"/>
              </w:rPr>
              <w:t>8.27</w:t>
            </w:r>
          </w:p>
        </w:tc>
      </w:tr>
      <w:tr w:rsidR="00087B3E">
        <w:trPr>
          <w:jc w:val="center"/>
        </w:trPr>
        <w:tc>
          <w:tcPr>
            <w:tcW w:w="2904" w:type="dxa"/>
            <w:vAlign w:val="center"/>
          </w:tcPr>
          <w:p w:rsidR="00087B3E" w:rsidRDefault="00D86034">
            <w:pPr>
              <w:jc w:val="left"/>
            </w:pPr>
            <w:r>
              <w:rPr>
                <w:color w:val="000000"/>
                <w:sz w:val="24"/>
              </w:rPr>
              <w:t>材料</w:t>
            </w:r>
          </w:p>
        </w:tc>
        <w:tc>
          <w:tcPr>
            <w:tcW w:w="2657" w:type="dxa"/>
            <w:vAlign w:val="center"/>
          </w:tcPr>
          <w:p w:rsidR="00087B3E" w:rsidRDefault="00D86034">
            <w:pPr>
              <w:jc w:val="right"/>
            </w:pPr>
            <w:r>
              <w:rPr>
                <w:color w:val="000000"/>
                <w:sz w:val="24"/>
              </w:rPr>
              <w:t>4,688,191.10</w:t>
            </w:r>
          </w:p>
        </w:tc>
        <w:tc>
          <w:tcPr>
            <w:tcW w:w="3307" w:type="dxa"/>
            <w:vAlign w:val="center"/>
          </w:tcPr>
          <w:p w:rsidR="00087B3E" w:rsidRDefault="00D86034">
            <w:pPr>
              <w:jc w:val="right"/>
            </w:pPr>
            <w:r>
              <w:rPr>
                <w:color w:val="000000"/>
                <w:sz w:val="24"/>
              </w:rPr>
              <w:t>4.04</w:t>
            </w:r>
          </w:p>
        </w:tc>
      </w:tr>
      <w:tr w:rsidR="00087B3E">
        <w:trPr>
          <w:jc w:val="center"/>
        </w:trPr>
        <w:tc>
          <w:tcPr>
            <w:tcW w:w="2904" w:type="dxa"/>
            <w:vAlign w:val="center"/>
          </w:tcPr>
          <w:p w:rsidR="00087B3E" w:rsidRDefault="00D86034">
            <w:pPr>
              <w:jc w:val="left"/>
            </w:pPr>
            <w:r>
              <w:rPr>
                <w:color w:val="000000"/>
                <w:sz w:val="24"/>
              </w:rPr>
              <w:t>能源</w:t>
            </w:r>
          </w:p>
        </w:tc>
        <w:tc>
          <w:tcPr>
            <w:tcW w:w="2657" w:type="dxa"/>
            <w:vAlign w:val="center"/>
          </w:tcPr>
          <w:p w:rsidR="00087B3E" w:rsidRDefault="00D86034">
            <w:pPr>
              <w:jc w:val="right"/>
            </w:pPr>
            <w:r>
              <w:rPr>
                <w:color w:val="000000"/>
                <w:sz w:val="24"/>
              </w:rPr>
              <w:t>4,319,033.49</w:t>
            </w:r>
          </w:p>
        </w:tc>
        <w:tc>
          <w:tcPr>
            <w:tcW w:w="3307" w:type="dxa"/>
            <w:vAlign w:val="center"/>
          </w:tcPr>
          <w:p w:rsidR="00087B3E" w:rsidRDefault="00D86034">
            <w:pPr>
              <w:jc w:val="right"/>
            </w:pPr>
            <w:r>
              <w:rPr>
                <w:color w:val="000000"/>
                <w:sz w:val="24"/>
              </w:rPr>
              <w:t>3.72</w:t>
            </w:r>
          </w:p>
        </w:tc>
      </w:tr>
      <w:tr w:rsidR="00087B3E">
        <w:trPr>
          <w:jc w:val="center"/>
        </w:trPr>
        <w:tc>
          <w:tcPr>
            <w:tcW w:w="2904" w:type="dxa"/>
            <w:vAlign w:val="center"/>
          </w:tcPr>
          <w:p w:rsidR="00087B3E" w:rsidRDefault="00D86034">
            <w:pPr>
              <w:jc w:val="left"/>
            </w:pPr>
            <w:r>
              <w:rPr>
                <w:color w:val="000000"/>
                <w:sz w:val="24"/>
              </w:rPr>
              <w:t>房地产</w:t>
            </w:r>
          </w:p>
        </w:tc>
        <w:tc>
          <w:tcPr>
            <w:tcW w:w="2657" w:type="dxa"/>
            <w:vAlign w:val="center"/>
          </w:tcPr>
          <w:p w:rsidR="00087B3E" w:rsidRDefault="00D86034">
            <w:pPr>
              <w:jc w:val="right"/>
            </w:pPr>
            <w:r>
              <w:rPr>
                <w:color w:val="000000"/>
                <w:sz w:val="24"/>
              </w:rPr>
              <w:t>4,232,718.19</w:t>
            </w:r>
          </w:p>
        </w:tc>
        <w:tc>
          <w:tcPr>
            <w:tcW w:w="3307" w:type="dxa"/>
            <w:vAlign w:val="center"/>
          </w:tcPr>
          <w:p w:rsidR="00087B3E" w:rsidRDefault="00D86034">
            <w:pPr>
              <w:jc w:val="right"/>
            </w:pPr>
            <w:r>
              <w:rPr>
                <w:color w:val="000000"/>
                <w:sz w:val="24"/>
              </w:rPr>
              <w:t>3.65</w:t>
            </w:r>
          </w:p>
        </w:tc>
      </w:tr>
      <w:tr w:rsidR="00C37E98" w:rsidRPr="008640AE" w:rsidTr="00D86034">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105,133,393.57</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90.56</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a"/>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87B3E">
        <w:trPr>
          <w:jc w:val="center"/>
        </w:trPr>
        <w:tc>
          <w:tcPr>
            <w:tcW w:w="1243" w:type="dxa"/>
            <w:vAlign w:val="center"/>
          </w:tcPr>
          <w:p w:rsidR="00087B3E" w:rsidRDefault="00D86034">
            <w:pPr>
              <w:jc w:val="center"/>
            </w:pPr>
            <w:r>
              <w:rPr>
                <w:color w:val="000000"/>
                <w:sz w:val="24"/>
              </w:rPr>
              <w:t>1</w:t>
            </w:r>
          </w:p>
        </w:tc>
        <w:tc>
          <w:tcPr>
            <w:tcW w:w="971" w:type="dxa"/>
            <w:vAlign w:val="center"/>
          </w:tcPr>
          <w:p w:rsidR="00087B3E" w:rsidRDefault="00D86034">
            <w:pPr>
              <w:jc w:val="center"/>
            </w:pPr>
            <w:r>
              <w:rPr>
                <w:color w:val="000000"/>
                <w:sz w:val="24"/>
              </w:rPr>
              <w:t>Danaher Corporation</w:t>
            </w:r>
          </w:p>
        </w:tc>
        <w:tc>
          <w:tcPr>
            <w:tcW w:w="993" w:type="dxa"/>
            <w:vAlign w:val="center"/>
          </w:tcPr>
          <w:p w:rsidR="00087B3E" w:rsidRDefault="00D86034">
            <w:pPr>
              <w:jc w:val="center"/>
            </w:pPr>
            <w:r>
              <w:rPr>
                <w:color w:val="000000"/>
                <w:sz w:val="24"/>
              </w:rPr>
              <w:t>丹纳赫</w:t>
            </w:r>
          </w:p>
        </w:tc>
        <w:tc>
          <w:tcPr>
            <w:tcW w:w="725" w:type="dxa"/>
            <w:vAlign w:val="center"/>
          </w:tcPr>
          <w:p w:rsidR="00087B3E" w:rsidRDefault="00D86034">
            <w:pPr>
              <w:jc w:val="center"/>
            </w:pPr>
            <w:r>
              <w:rPr>
                <w:color w:val="000000"/>
                <w:sz w:val="24"/>
              </w:rPr>
              <w:t>DHR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3,322</w:t>
            </w:r>
          </w:p>
        </w:tc>
        <w:tc>
          <w:tcPr>
            <w:tcW w:w="975" w:type="dxa"/>
            <w:vAlign w:val="center"/>
          </w:tcPr>
          <w:p w:rsidR="00087B3E" w:rsidRDefault="00D86034">
            <w:pPr>
              <w:jc w:val="right"/>
            </w:pPr>
            <w:r>
              <w:rPr>
                <w:color w:val="000000"/>
                <w:sz w:val="24"/>
              </w:rPr>
              <w:t>2,953,114.06</w:t>
            </w:r>
          </w:p>
        </w:tc>
        <w:tc>
          <w:tcPr>
            <w:tcW w:w="1175" w:type="dxa"/>
            <w:vAlign w:val="center"/>
          </w:tcPr>
          <w:p w:rsidR="00087B3E" w:rsidRDefault="00D86034">
            <w:pPr>
              <w:jc w:val="right"/>
            </w:pPr>
            <w:r>
              <w:rPr>
                <w:color w:val="000000"/>
                <w:sz w:val="24"/>
              </w:rPr>
              <w:t>2.54</w:t>
            </w:r>
          </w:p>
        </w:tc>
      </w:tr>
      <w:tr w:rsidR="00087B3E">
        <w:trPr>
          <w:jc w:val="center"/>
        </w:trPr>
        <w:tc>
          <w:tcPr>
            <w:tcW w:w="1243" w:type="dxa"/>
            <w:vAlign w:val="center"/>
          </w:tcPr>
          <w:p w:rsidR="00087B3E" w:rsidRDefault="00D86034">
            <w:pPr>
              <w:jc w:val="center"/>
            </w:pPr>
            <w:r>
              <w:rPr>
                <w:color w:val="000000"/>
                <w:sz w:val="24"/>
              </w:rPr>
              <w:t>2</w:t>
            </w:r>
          </w:p>
        </w:tc>
        <w:tc>
          <w:tcPr>
            <w:tcW w:w="971" w:type="dxa"/>
            <w:vAlign w:val="center"/>
          </w:tcPr>
          <w:p w:rsidR="00087B3E" w:rsidRDefault="00D86034">
            <w:pPr>
              <w:jc w:val="center"/>
            </w:pPr>
            <w:r>
              <w:rPr>
                <w:color w:val="000000"/>
                <w:sz w:val="24"/>
              </w:rPr>
              <w:t>Alphabet Inc</w:t>
            </w:r>
          </w:p>
        </w:tc>
        <w:tc>
          <w:tcPr>
            <w:tcW w:w="993" w:type="dxa"/>
            <w:vAlign w:val="center"/>
          </w:tcPr>
          <w:p w:rsidR="00087B3E" w:rsidRDefault="00D86034">
            <w:pPr>
              <w:jc w:val="center"/>
            </w:pPr>
            <w:r>
              <w:rPr>
                <w:color w:val="000000"/>
                <w:sz w:val="24"/>
              </w:rPr>
              <w:t>Alphabet</w:t>
            </w:r>
            <w:r>
              <w:rPr>
                <w:color w:val="000000"/>
                <w:sz w:val="24"/>
              </w:rPr>
              <w:t>公司</w:t>
            </w:r>
          </w:p>
        </w:tc>
        <w:tc>
          <w:tcPr>
            <w:tcW w:w="725" w:type="dxa"/>
            <w:vAlign w:val="center"/>
          </w:tcPr>
          <w:p w:rsidR="00087B3E" w:rsidRDefault="00D86034">
            <w:pPr>
              <w:jc w:val="center"/>
            </w:pPr>
            <w:r>
              <w:rPr>
                <w:color w:val="000000"/>
                <w:sz w:val="24"/>
              </w:rPr>
              <w:t>GOOGL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365</w:t>
            </w:r>
          </w:p>
        </w:tc>
        <w:tc>
          <w:tcPr>
            <w:tcW w:w="975" w:type="dxa"/>
            <w:vAlign w:val="center"/>
          </w:tcPr>
          <w:p w:rsidR="00087B3E" w:rsidRDefault="00D86034">
            <w:pPr>
              <w:jc w:val="right"/>
            </w:pPr>
            <w:r>
              <w:rPr>
                <w:color w:val="000000"/>
                <w:sz w:val="24"/>
              </w:rPr>
              <w:t>2,892,474.92</w:t>
            </w:r>
          </w:p>
        </w:tc>
        <w:tc>
          <w:tcPr>
            <w:tcW w:w="1175" w:type="dxa"/>
            <w:vAlign w:val="center"/>
          </w:tcPr>
          <w:p w:rsidR="00087B3E" w:rsidRDefault="00D86034">
            <w:pPr>
              <w:jc w:val="right"/>
            </w:pPr>
            <w:r>
              <w:rPr>
                <w:color w:val="000000"/>
                <w:sz w:val="24"/>
              </w:rPr>
              <w:t>2.49</w:t>
            </w:r>
          </w:p>
        </w:tc>
      </w:tr>
      <w:tr w:rsidR="00087B3E">
        <w:trPr>
          <w:jc w:val="center"/>
        </w:trPr>
        <w:tc>
          <w:tcPr>
            <w:tcW w:w="1243" w:type="dxa"/>
            <w:vAlign w:val="center"/>
          </w:tcPr>
          <w:p w:rsidR="00087B3E" w:rsidRDefault="00D86034">
            <w:pPr>
              <w:jc w:val="center"/>
            </w:pPr>
            <w:r>
              <w:rPr>
                <w:color w:val="000000"/>
                <w:sz w:val="24"/>
              </w:rPr>
              <w:t>3</w:t>
            </w:r>
          </w:p>
        </w:tc>
        <w:tc>
          <w:tcPr>
            <w:tcW w:w="971" w:type="dxa"/>
            <w:vAlign w:val="center"/>
          </w:tcPr>
          <w:p w:rsidR="00087B3E" w:rsidRDefault="00D86034">
            <w:pPr>
              <w:jc w:val="center"/>
            </w:pPr>
            <w:r>
              <w:rPr>
                <w:color w:val="000000"/>
                <w:sz w:val="24"/>
              </w:rPr>
              <w:t>the</w:t>
            </w:r>
            <w:r>
              <w:rPr>
                <w:color w:val="000000"/>
                <w:sz w:val="24"/>
              </w:rPr>
              <w:t xml:space="preserve"> Nestlé Group</w:t>
            </w:r>
          </w:p>
        </w:tc>
        <w:tc>
          <w:tcPr>
            <w:tcW w:w="993" w:type="dxa"/>
            <w:vAlign w:val="center"/>
          </w:tcPr>
          <w:p w:rsidR="00087B3E" w:rsidRDefault="00D86034">
            <w:pPr>
              <w:jc w:val="center"/>
            </w:pPr>
            <w:r>
              <w:rPr>
                <w:color w:val="000000"/>
                <w:sz w:val="24"/>
              </w:rPr>
              <w:t>雀巢集团</w:t>
            </w:r>
          </w:p>
        </w:tc>
        <w:tc>
          <w:tcPr>
            <w:tcW w:w="725" w:type="dxa"/>
            <w:vAlign w:val="center"/>
          </w:tcPr>
          <w:p w:rsidR="00087B3E" w:rsidRDefault="00D86034">
            <w:pPr>
              <w:jc w:val="center"/>
            </w:pPr>
            <w:r>
              <w:rPr>
                <w:color w:val="000000"/>
                <w:sz w:val="24"/>
              </w:rPr>
              <w:t>NESN SW</w:t>
            </w:r>
          </w:p>
        </w:tc>
        <w:tc>
          <w:tcPr>
            <w:tcW w:w="747" w:type="dxa"/>
            <w:vAlign w:val="center"/>
          </w:tcPr>
          <w:p w:rsidR="00087B3E" w:rsidRDefault="00D86034">
            <w:pPr>
              <w:jc w:val="center"/>
            </w:pPr>
            <w:r>
              <w:rPr>
                <w:color w:val="000000"/>
                <w:sz w:val="24"/>
              </w:rPr>
              <w:t>瑞士证券交易</w:t>
            </w:r>
            <w:r>
              <w:rPr>
                <w:color w:val="000000"/>
                <w:sz w:val="24"/>
              </w:rPr>
              <w:lastRenderedPageBreak/>
              <w:t>所</w:t>
            </w:r>
          </w:p>
        </w:tc>
        <w:tc>
          <w:tcPr>
            <w:tcW w:w="975" w:type="dxa"/>
            <w:vAlign w:val="center"/>
          </w:tcPr>
          <w:p w:rsidR="00087B3E" w:rsidRDefault="00D86034">
            <w:pPr>
              <w:jc w:val="center"/>
            </w:pPr>
            <w:r>
              <w:rPr>
                <w:color w:val="000000"/>
                <w:sz w:val="24"/>
              </w:rPr>
              <w:lastRenderedPageBreak/>
              <w:t>瑞士</w:t>
            </w:r>
          </w:p>
        </w:tc>
        <w:tc>
          <w:tcPr>
            <w:tcW w:w="1175" w:type="dxa"/>
            <w:vAlign w:val="center"/>
          </w:tcPr>
          <w:p w:rsidR="00087B3E" w:rsidRDefault="00D86034">
            <w:pPr>
              <w:jc w:val="right"/>
            </w:pPr>
            <w:r>
              <w:rPr>
                <w:color w:val="000000"/>
                <w:sz w:val="24"/>
              </w:rPr>
              <w:t>4,295</w:t>
            </w:r>
          </w:p>
        </w:tc>
        <w:tc>
          <w:tcPr>
            <w:tcW w:w="975" w:type="dxa"/>
            <w:vAlign w:val="center"/>
          </w:tcPr>
          <w:p w:rsidR="00087B3E" w:rsidRDefault="00D86034">
            <w:pPr>
              <w:jc w:val="right"/>
            </w:pPr>
            <w:r>
              <w:rPr>
                <w:color w:val="000000"/>
                <w:sz w:val="24"/>
              </w:rPr>
              <w:t>2,754,973.57</w:t>
            </w:r>
          </w:p>
        </w:tc>
        <w:tc>
          <w:tcPr>
            <w:tcW w:w="1175" w:type="dxa"/>
            <w:vAlign w:val="center"/>
          </w:tcPr>
          <w:p w:rsidR="00087B3E" w:rsidRDefault="00D86034">
            <w:pPr>
              <w:jc w:val="right"/>
            </w:pPr>
            <w:r>
              <w:rPr>
                <w:color w:val="000000"/>
                <w:sz w:val="24"/>
              </w:rPr>
              <w:t>2.37</w:t>
            </w:r>
          </w:p>
        </w:tc>
      </w:tr>
      <w:tr w:rsidR="00087B3E">
        <w:trPr>
          <w:jc w:val="center"/>
        </w:trPr>
        <w:tc>
          <w:tcPr>
            <w:tcW w:w="1243" w:type="dxa"/>
            <w:vAlign w:val="center"/>
          </w:tcPr>
          <w:p w:rsidR="00087B3E" w:rsidRDefault="00D86034">
            <w:pPr>
              <w:jc w:val="center"/>
            </w:pPr>
            <w:r>
              <w:rPr>
                <w:color w:val="000000"/>
                <w:sz w:val="24"/>
              </w:rPr>
              <w:t>4</w:t>
            </w:r>
          </w:p>
        </w:tc>
        <w:tc>
          <w:tcPr>
            <w:tcW w:w="971" w:type="dxa"/>
            <w:vAlign w:val="center"/>
          </w:tcPr>
          <w:p w:rsidR="00087B3E" w:rsidRDefault="00D86034">
            <w:pPr>
              <w:jc w:val="center"/>
            </w:pPr>
            <w:r>
              <w:rPr>
                <w:color w:val="000000"/>
                <w:sz w:val="24"/>
              </w:rPr>
              <w:t>Visa Inc</w:t>
            </w:r>
          </w:p>
        </w:tc>
        <w:tc>
          <w:tcPr>
            <w:tcW w:w="993" w:type="dxa"/>
            <w:vAlign w:val="center"/>
          </w:tcPr>
          <w:p w:rsidR="00087B3E" w:rsidRDefault="00D86034">
            <w:pPr>
              <w:jc w:val="center"/>
            </w:pPr>
            <w:r>
              <w:rPr>
                <w:color w:val="000000"/>
                <w:sz w:val="24"/>
              </w:rPr>
              <w:t>维萨公司</w:t>
            </w:r>
          </w:p>
        </w:tc>
        <w:tc>
          <w:tcPr>
            <w:tcW w:w="725" w:type="dxa"/>
            <w:vAlign w:val="center"/>
          </w:tcPr>
          <w:p w:rsidR="00087B3E" w:rsidRDefault="00D86034">
            <w:pPr>
              <w:jc w:val="center"/>
            </w:pPr>
            <w:r>
              <w:rPr>
                <w:color w:val="000000"/>
                <w:sz w:val="24"/>
              </w:rPr>
              <w:t>V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2,480</w:t>
            </w:r>
          </w:p>
        </w:tc>
        <w:tc>
          <w:tcPr>
            <w:tcW w:w="975" w:type="dxa"/>
            <w:vAlign w:val="center"/>
          </w:tcPr>
          <w:p w:rsidR="00087B3E" w:rsidRDefault="00D86034">
            <w:pPr>
              <w:jc w:val="right"/>
            </w:pPr>
            <w:r>
              <w:rPr>
                <w:color w:val="000000"/>
                <w:sz w:val="24"/>
              </w:rPr>
              <w:t>2,608,229.31</w:t>
            </w:r>
          </w:p>
        </w:tc>
        <w:tc>
          <w:tcPr>
            <w:tcW w:w="1175" w:type="dxa"/>
            <w:vAlign w:val="center"/>
          </w:tcPr>
          <w:p w:rsidR="00087B3E" w:rsidRDefault="00D86034">
            <w:pPr>
              <w:jc w:val="right"/>
            </w:pPr>
            <w:r>
              <w:rPr>
                <w:color w:val="000000"/>
                <w:sz w:val="24"/>
              </w:rPr>
              <w:t>2.25</w:t>
            </w:r>
          </w:p>
        </w:tc>
      </w:tr>
      <w:tr w:rsidR="00087B3E">
        <w:trPr>
          <w:jc w:val="center"/>
        </w:trPr>
        <w:tc>
          <w:tcPr>
            <w:tcW w:w="1243" w:type="dxa"/>
            <w:vAlign w:val="center"/>
          </w:tcPr>
          <w:p w:rsidR="00087B3E" w:rsidRDefault="00D86034">
            <w:pPr>
              <w:jc w:val="center"/>
            </w:pPr>
            <w:r>
              <w:rPr>
                <w:color w:val="000000"/>
                <w:sz w:val="24"/>
              </w:rPr>
              <w:t>5</w:t>
            </w:r>
          </w:p>
        </w:tc>
        <w:tc>
          <w:tcPr>
            <w:tcW w:w="971" w:type="dxa"/>
            <w:vAlign w:val="center"/>
          </w:tcPr>
          <w:p w:rsidR="00087B3E" w:rsidRDefault="00D86034">
            <w:pPr>
              <w:jc w:val="center"/>
            </w:pPr>
            <w:r>
              <w:rPr>
                <w:color w:val="000000"/>
                <w:sz w:val="24"/>
              </w:rPr>
              <w:t>Amazon.Com Inc</w:t>
            </w:r>
          </w:p>
        </w:tc>
        <w:tc>
          <w:tcPr>
            <w:tcW w:w="993" w:type="dxa"/>
            <w:vAlign w:val="center"/>
          </w:tcPr>
          <w:p w:rsidR="00087B3E" w:rsidRDefault="00D86034">
            <w:pPr>
              <w:jc w:val="center"/>
            </w:pPr>
            <w:r>
              <w:rPr>
                <w:color w:val="000000"/>
                <w:sz w:val="24"/>
              </w:rPr>
              <w:t>亚马逊公司</w:t>
            </w:r>
          </w:p>
        </w:tc>
        <w:tc>
          <w:tcPr>
            <w:tcW w:w="725" w:type="dxa"/>
            <w:vAlign w:val="center"/>
          </w:tcPr>
          <w:p w:rsidR="00087B3E" w:rsidRDefault="00D86034">
            <w:pPr>
              <w:jc w:val="center"/>
            </w:pPr>
            <w:r>
              <w:rPr>
                <w:color w:val="000000"/>
                <w:sz w:val="24"/>
              </w:rPr>
              <w:t>AMZN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216</w:t>
            </w:r>
          </w:p>
        </w:tc>
        <w:tc>
          <w:tcPr>
            <w:tcW w:w="975" w:type="dxa"/>
            <w:vAlign w:val="center"/>
          </w:tcPr>
          <w:p w:rsidR="00087B3E" w:rsidRDefault="00D86034">
            <w:pPr>
              <w:jc w:val="right"/>
            </w:pPr>
            <w:r>
              <w:rPr>
                <w:color w:val="000000"/>
                <w:sz w:val="24"/>
              </w:rPr>
              <w:t>2,589,986.91</w:t>
            </w:r>
          </w:p>
        </w:tc>
        <w:tc>
          <w:tcPr>
            <w:tcW w:w="1175" w:type="dxa"/>
            <w:vAlign w:val="center"/>
          </w:tcPr>
          <w:p w:rsidR="00087B3E" w:rsidRDefault="00D86034">
            <w:pPr>
              <w:jc w:val="right"/>
            </w:pPr>
            <w:r>
              <w:rPr>
                <w:color w:val="000000"/>
                <w:sz w:val="24"/>
              </w:rPr>
              <w:t>2.23</w:t>
            </w:r>
          </w:p>
        </w:tc>
      </w:tr>
      <w:tr w:rsidR="00087B3E">
        <w:trPr>
          <w:jc w:val="center"/>
        </w:trPr>
        <w:tc>
          <w:tcPr>
            <w:tcW w:w="1243" w:type="dxa"/>
            <w:vAlign w:val="center"/>
          </w:tcPr>
          <w:p w:rsidR="00087B3E" w:rsidRDefault="00D86034">
            <w:pPr>
              <w:jc w:val="center"/>
            </w:pPr>
            <w:r>
              <w:rPr>
                <w:color w:val="000000"/>
                <w:sz w:val="24"/>
              </w:rPr>
              <w:t>6</w:t>
            </w:r>
          </w:p>
        </w:tc>
        <w:tc>
          <w:tcPr>
            <w:tcW w:w="971" w:type="dxa"/>
            <w:vAlign w:val="center"/>
          </w:tcPr>
          <w:p w:rsidR="00087B3E" w:rsidRDefault="00D86034">
            <w:pPr>
              <w:jc w:val="center"/>
            </w:pPr>
            <w:r>
              <w:rPr>
                <w:color w:val="000000"/>
                <w:sz w:val="24"/>
              </w:rPr>
              <w:t>Comcast Corporation</w:t>
            </w:r>
          </w:p>
        </w:tc>
        <w:tc>
          <w:tcPr>
            <w:tcW w:w="993" w:type="dxa"/>
            <w:vAlign w:val="center"/>
          </w:tcPr>
          <w:p w:rsidR="00087B3E" w:rsidRDefault="00D86034">
            <w:pPr>
              <w:jc w:val="center"/>
            </w:pPr>
            <w:r>
              <w:rPr>
                <w:color w:val="000000"/>
                <w:sz w:val="24"/>
              </w:rPr>
              <w:t>康卡斯特公司</w:t>
            </w:r>
          </w:p>
        </w:tc>
        <w:tc>
          <w:tcPr>
            <w:tcW w:w="725" w:type="dxa"/>
            <w:vAlign w:val="center"/>
          </w:tcPr>
          <w:p w:rsidR="00087B3E" w:rsidRDefault="00D86034">
            <w:pPr>
              <w:jc w:val="center"/>
            </w:pPr>
            <w:r>
              <w:rPr>
                <w:color w:val="000000"/>
                <w:sz w:val="24"/>
              </w:rPr>
              <w:t>CMCSA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9,246</w:t>
            </w:r>
          </w:p>
        </w:tc>
        <w:tc>
          <w:tcPr>
            <w:tcW w:w="975" w:type="dxa"/>
            <w:vAlign w:val="center"/>
          </w:tcPr>
          <w:p w:rsidR="00087B3E" w:rsidRDefault="00D86034">
            <w:pPr>
              <w:jc w:val="right"/>
            </w:pPr>
            <w:r>
              <w:rPr>
                <w:color w:val="000000"/>
                <w:sz w:val="24"/>
              </w:rPr>
              <w:t>2,489,072.48</w:t>
            </w:r>
          </w:p>
        </w:tc>
        <w:tc>
          <w:tcPr>
            <w:tcW w:w="1175" w:type="dxa"/>
            <w:vAlign w:val="center"/>
          </w:tcPr>
          <w:p w:rsidR="00087B3E" w:rsidRDefault="00D86034">
            <w:pPr>
              <w:jc w:val="right"/>
            </w:pPr>
            <w:r>
              <w:rPr>
                <w:color w:val="000000"/>
                <w:sz w:val="24"/>
              </w:rPr>
              <w:t>2.14</w:t>
            </w:r>
          </w:p>
        </w:tc>
      </w:tr>
      <w:tr w:rsidR="00087B3E">
        <w:trPr>
          <w:jc w:val="center"/>
        </w:trPr>
        <w:tc>
          <w:tcPr>
            <w:tcW w:w="1243" w:type="dxa"/>
            <w:vAlign w:val="center"/>
          </w:tcPr>
          <w:p w:rsidR="00087B3E" w:rsidRDefault="00D86034">
            <w:pPr>
              <w:jc w:val="center"/>
            </w:pPr>
            <w:r>
              <w:rPr>
                <w:color w:val="000000"/>
                <w:sz w:val="24"/>
              </w:rPr>
              <w:t>7</w:t>
            </w:r>
          </w:p>
        </w:tc>
        <w:tc>
          <w:tcPr>
            <w:tcW w:w="971" w:type="dxa"/>
            <w:vAlign w:val="center"/>
          </w:tcPr>
          <w:p w:rsidR="00087B3E" w:rsidRDefault="00D86034">
            <w:pPr>
              <w:jc w:val="center"/>
            </w:pPr>
            <w:r>
              <w:rPr>
                <w:color w:val="000000"/>
                <w:sz w:val="24"/>
              </w:rPr>
              <w:t>Unitedhealth Group Inc</w:t>
            </w:r>
          </w:p>
        </w:tc>
        <w:tc>
          <w:tcPr>
            <w:tcW w:w="993" w:type="dxa"/>
            <w:vAlign w:val="center"/>
          </w:tcPr>
          <w:p w:rsidR="00087B3E" w:rsidRDefault="00D86034">
            <w:pPr>
              <w:jc w:val="center"/>
            </w:pPr>
            <w:r>
              <w:rPr>
                <w:color w:val="000000"/>
                <w:sz w:val="24"/>
              </w:rPr>
              <w:t>美国联合健康集团</w:t>
            </w:r>
          </w:p>
        </w:tc>
        <w:tc>
          <w:tcPr>
            <w:tcW w:w="725" w:type="dxa"/>
            <w:vAlign w:val="center"/>
          </w:tcPr>
          <w:p w:rsidR="00087B3E" w:rsidRDefault="00D86034">
            <w:pPr>
              <w:jc w:val="center"/>
            </w:pPr>
            <w:r>
              <w:rPr>
                <w:color w:val="000000"/>
                <w:sz w:val="24"/>
              </w:rPr>
              <w:t>UNH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1,406</w:t>
            </w:r>
          </w:p>
        </w:tc>
        <w:tc>
          <w:tcPr>
            <w:tcW w:w="975" w:type="dxa"/>
            <w:vAlign w:val="center"/>
          </w:tcPr>
          <w:p w:rsidR="00087B3E" w:rsidRDefault="00D86034">
            <w:pPr>
              <w:jc w:val="right"/>
            </w:pPr>
            <w:r>
              <w:rPr>
                <w:color w:val="000000"/>
                <w:sz w:val="24"/>
              </w:rPr>
              <w:t>2,340,884.85</w:t>
            </w:r>
          </w:p>
        </w:tc>
        <w:tc>
          <w:tcPr>
            <w:tcW w:w="1175" w:type="dxa"/>
            <w:vAlign w:val="center"/>
          </w:tcPr>
          <w:p w:rsidR="00087B3E" w:rsidRDefault="00D86034">
            <w:pPr>
              <w:jc w:val="right"/>
            </w:pPr>
            <w:r>
              <w:rPr>
                <w:color w:val="000000"/>
                <w:sz w:val="24"/>
              </w:rPr>
              <w:t>2.02</w:t>
            </w:r>
          </w:p>
        </w:tc>
      </w:tr>
      <w:tr w:rsidR="00087B3E">
        <w:trPr>
          <w:jc w:val="center"/>
        </w:trPr>
        <w:tc>
          <w:tcPr>
            <w:tcW w:w="1243" w:type="dxa"/>
            <w:vAlign w:val="center"/>
          </w:tcPr>
          <w:p w:rsidR="00087B3E" w:rsidRDefault="00D86034">
            <w:pPr>
              <w:jc w:val="center"/>
            </w:pPr>
            <w:r>
              <w:rPr>
                <w:color w:val="000000"/>
                <w:sz w:val="24"/>
              </w:rPr>
              <w:t>8</w:t>
            </w:r>
          </w:p>
        </w:tc>
        <w:tc>
          <w:tcPr>
            <w:tcW w:w="971" w:type="dxa"/>
            <w:vAlign w:val="center"/>
          </w:tcPr>
          <w:p w:rsidR="00087B3E" w:rsidRDefault="00D86034">
            <w:pPr>
              <w:jc w:val="center"/>
            </w:pPr>
            <w:r>
              <w:rPr>
                <w:color w:val="000000"/>
                <w:sz w:val="24"/>
              </w:rPr>
              <w:t>Bank of America Corporation</w:t>
            </w:r>
          </w:p>
        </w:tc>
        <w:tc>
          <w:tcPr>
            <w:tcW w:w="993" w:type="dxa"/>
            <w:vAlign w:val="center"/>
          </w:tcPr>
          <w:p w:rsidR="00087B3E" w:rsidRDefault="00D86034">
            <w:pPr>
              <w:jc w:val="center"/>
            </w:pPr>
            <w:r>
              <w:rPr>
                <w:color w:val="000000"/>
                <w:sz w:val="24"/>
              </w:rPr>
              <w:t>美国银行</w:t>
            </w:r>
          </w:p>
        </w:tc>
        <w:tc>
          <w:tcPr>
            <w:tcW w:w="725" w:type="dxa"/>
            <w:vAlign w:val="center"/>
          </w:tcPr>
          <w:p w:rsidR="00087B3E" w:rsidRDefault="00D86034">
            <w:pPr>
              <w:jc w:val="center"/>
            </w:pPr>
            <w:r>
              <w:rPr>
                <w:color w:val="000000"/>
                <w:sz w:val="24"/>
              </w:rPr>
              <w:t>BAC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12,478</w:t>
            </w:r>
          </w:p>
        </w:tc>
        <w:tc>
          <w:tcPr>
            <w:tcW w:w="975" w:type="dxa"/>
            <w:vAlign w:val="center"/>
          </w:tcPr>
          <w:p w:rsidR="00087B3E" w:rsidRDefault="00D86034">
            <w:pPr>
              <w:jc w:val="right"/>
            </w:pPr>
            <w:r>
              <w:rPr>
                <w:color w:val="000000"/>
                <w:sz w:val="24"/>
              </w:rPr>
              <w:t>2,318,128.71</w:t>
            </w:r>
          </w:p>
        </w:tc>
        <w:tc>
          <w:tcPr>
            <w:tcW w:w="1175" w:type="dxa"/>
            <w:vAlign w:val="center"/>
          </w:tcPr>
          <w:p w:rsidR="00087B3E" w:rsidRDefault="00D86034">
            <w:pPr>
              <w:jc w:val="right"/>
            </w:pPr>
            <w:r>
              <w:rPr>
                <w:color w:val="000000"/>
                <w:sz w:val="24"/>
              </w:rPr>
              <w:t>2.00</w:t>
            </w:r>
          </w:p>
        </w:tc>
      </w:tr>
      <w:tr w:rsidR="00087B3E">
        <w:trPr>
          <w:jc w:val="center"/>
        </w:trPr>
        <w:tc>
          <w:tcPr>
            <w:tcW w:w="1243" w:type="dxa"/>
            <w:vAlign w:val="center"/>
          </w:tcPr>
          <w:p w:rsidR="00087B3E" w:rsidRDefault="00D86034">
            <w:pPr>
              <w:jc w:val="center"/>
            </w:pPr>
            <w:r>
              <w:rPr>
                <w:color w:val="000000"/>
                <w:sz w:val="24"/>
              </w:rPr>
              <w:t>9</w:t>
            </w:r>
          </w:p>
        </w:tc>
        <w:tc>
          <w:tcPr>
            <w:tcW w:w="971" w:type="dxa"/>
            <w:vAlign w:val="center"/>
          </w:tcPr>
          <w:p w:rsidR="00087B3E" w:rsidRDefault="00D86034">
            <w:pPr>
              <w:jc w:val="center"/>
            </w:pPr>
            <w:r>
              <w:rPr>
                <w:color w:val="000000"/>
                <w:sz w:val="24"/>
              </w:rPr>
              <w:t>Novartis AG</w:t>
            </w:r>
          </w:p>
        </w:tc>
        <w:tc>
          <w:tcPr>
            <w:tcW w:w="993" w:type="dxa"/>
            <w:vAlign w:val="center"/>
          </w:tcPr>
          <w:p w:rsidR="00087B3E" w:rsidRDefault="00D86034">
            <w:pPr>
              <w:jc w:val="center"/>
            </w:pPr>
            <w:r>
              <w:rPr>
                <w:color w:val="000000"/>
                <w:sz w:val="24"/>
              </w:rPr>
              <w:t>诺华公司</w:t>
            </w:r>
          </w:p>
        </w:tc>
        <w:tc>
          <w:tcPr>
            <w:tcW w:w="725" w:type="dxa"/>
            <w:vAlign w:val="center"/>
          </w:tcPr>
          <w:p w:rsidR="00087B3E" w:rsidRDefault="00D86034">
            <w:pPr>
              <w:jc w:val="center"/>
            </w:pPr>
            <w:r>
              <w:rPr>
                <w:color w:val="000000"/>
                <w:sz w:val="24"/>
              </w:rPr>
              <w:t>NOVN SW</w:t>
            </w:r>
          </w:p>
        </w:tc>
        <w:tc>
          <w:tcPr>
            <w:tcW w:w="747" w:type="dxa"/>
            <w:vAlign w:val="center"/>
          </w:tcPr>
          <w:p w:rsidR="00087B3E" w:rsidRDefault="00D86034">
            <w:pPr>
              <w:jc w:val="center"/>
            </w:pPr>
            <w:r>
              <w:rPr>
                <w:color w:val="000000"/>
                <w:sz w:val="24"/>
              </w:rPr>
              <w:t>瑞士证券交易所</w:t>
            </w:r>
          </w:p>
        </w:tc>
        <w:tc>
          <w:tcPr>
            <w:tcW w:w="975" w:type="dxa"/>
            <w:vAlign w:val="center"/>
          </w:tcPr>
          <w:p w:rsidR="00087B3E" w:rsidRDefault="00D86034">
            <w:pPr>
              <w:jc w:val="center"/>
            </w:pPr>
            <w:r>
              <w:rPr>
                <w:color w:val="000000"/>
                <w:sz w:val="24"/>
              </w:rPr>
              <w:t>瑞士</w:t>
            </w:r>
          </w:p>
        </w:tc>
        <w:tc>
          <w:tcPr>
            <w:tcW w:w="1175" w:type="dxa"/>
            <w:vAlign w:val="center"/>
          </w:tcPr>
          <w:p w:rsidR="00087B3E" w:rsidRDefault="00D86034">
            <w:pPr>
              <w:jc w:val="right"/>
            </w:pPr>
            <w:r>
              <w:rPr>
                <w:color w:val="000000"/>
                <w:sz w:val="24"/>
              </w:rPr>
              <w:t>3,357</w:t>
            </w:r>
          </w:p>
        </w:tc>
        <w:tc>
          <w:tcPr>
            <w:tcW w:w="975" w:type="dxa"/>
            <w:vAlign w:val="center"/>
          </w:tcPr>
          <w:p w:rsidR="00087B3E" w:rsidRDefault="00D86034">
            <w:pPr>
              <w:jc w:val="right"/>
            </w:pPr>
            <w:r>
              <w:rPr>
                <w:color w:val="000000"/>
                <w:sz w:val="24"/>
              </w:rPr>
              <w:t>2,173,272.73</w:t>
            </w:r>
          </w:p>
        </w:tc>
        <w:tc>
          <w:tcPr>
            <w:tcW w:w="1175" w:type="dxa"/>
            <w:vAlign w:val="center"/>
          </w:tcPr>
          <w:p w:rsidR="00087B3E" w:rsidRDefault="00D86034">
            <w:pPr>
              <w:jc w:val="right"/>
            </w:pPr>
            <w:r>
              <w:rPr>
                <w:color w:val="000000"/>
                <w:sz w:val="24"/>
              </w:rPr>
              <w:t>1.87</w:t>
            </w:r>
          </w:p>
        </w:tc>
      </w:tr>
      <w:tr w:rsidR="00087B3E">
        <w:trPr>
          <w:jc w:val="center"/>
        </w:trPr>
        <w:tc>
          <w:tcPr>
            <w:tcW w:w="1243" w:type="dxa"/>
            <w:vAlign w:val="center"/>
          </w:tcPr>
          <w:p w:rsidR="00087B3E" w:rsidRDefault="00D86034">
            <w:pPr>
              <w:jc w:val="center"/>
            </w:pPr>
            <w:r>
              <w:rPr>
                <w:color w:val="000000"/>
                <w:sz w:val="24"/>
              </w:rPr>
              <w:t>10</w:t>
            </w:r>
          </w:p>
        </w:tc>
        <w:tc>
          <w:tcPr>
            <w:tcW w:w="971" w:type="dxa"/>
            <w:vAlign w:val="center"/>
          </w:tcPr>
          <w:p w:rsidR="00087B3E" w:rsidRDefault="00D86034">
            <w:pPr>
              <w:jc w:val="center"/>
            </w:pPr>
            <w:r>
              <w:rPr>
                <w:color w:val="000000"/>
                <w:sz w:val="24"/>
              </w:rPr>
              <w:t>Union Pacific Corp</w:t>
            </w:r>
          </w:p>
        </w:tc>
        <w:tc>
          <w:tcPr>
            <w:tcW w:w="993" w:type="dxa"/>
            <w:vAlign w:val="center"/>
          </w:tcPr>
          <w:p w:rsidR="00087B3E" w:rsidRDefault="00D86034">
            <w:pPr>
              <w:jc w:val="center"/>
            </w:pPr>
            <w:r>
              <w:rPr>
                <w:color w:val="000000"/>
                <w:sz w:val="24"/>
              </w:rPr>
              <w:t>联合太平洋公司</w:t>
            </w:r>
          </w:p>
        </w:tc>
        <w:tc>
          <w:tcPr>
            <w:tcW w:w="725" w:type="dxa"/>
            <w:vAlign w:val="center"/>
          </w:tcPr>
          <w:p w:rsidR="00087B3E" w:rsidRDefault="00D86034">
            <w:pPr>
              <w:jc w:val="center"/>
            </w:pPr>
            <w:r>
              <w:rPr>
                <w:color w:val="000000"/>
                <w:sz w:val="24"/>
              </w:rPr>
              <w:t>UNP US</w:t>
            </w:r>
          </w:p>
        </w:tc>
        <w:tc>
          <w:tcPr>
            <w:tcW w:w="747" w:type="dxa"/>
            <w:vAlign w:val="center"/>
          </w:tcPr>
          <w:p w:rsidR="00087B3E" w:rsidRDefault="00D86034">
            <w:pPr>
              <w:jc w:val="center"/>
            </w:pPr>
            <w:r>
              <w:rPr>
                <w:color w:val="000000"/>
                <w:sz w:val="24"/>
              </w:rPr>
              <w:t>美国证券交易所</w:t>
            </w:r>
          </w:p>
        </w:tc>
        <w:tc>
          <w:tcPr>
            <w:tcW w:w="975" w:type="dxa"/>
            <w:vAlign w:val="center"/>
          </w:tcPr>
          <w:p w:rsidR="00087B3E" w:rsidRDefault="00D86034">
            <w:pPr>
              <w:jc w:val="center"/>
            </w:pPr>
            <w:r>
              <w:rPr>
                <w:color w:val="000000"/>
                <w:sz w:val="24"/>
              </w:rPr>
              <w:t>美国</w:t>
            </w:r>
          </w:p>
        </w:tc>
        <w:tc>
          <w:tcPr>
            <w:tcW w:w="1175" w:type="dxa"/>
            <w:vAlign w:val="center"/>
          </w:tcPr>
          <w:p w:rsidR="00087B3E" w:rsidRDefault="00D86034">
            <w:pPr>
              <w:jc w:val="right"/>
            </w:pPr>
            <w:r>
              <w:rPr>
                <w:color w:val="000000"/>
                <w:sz w:val="24"/>
              </w:rPr>
              <w:t>1,908</w:t>
            </w:r>
          </w:p>
        </w:tc>
        <w:tc>
          <w:tcPr>
            <w:tcW w:w="975" w:type="dxa"/>
            <w:vAlign w:val="center"/>
          </w:tcPr>
          <w:p w:rsidR="00087B3E" w:rsidRDefault="00D86034">
            <w:pPr>
              <w:jc w:val="right"/>
            </w:pPr>
            <w:r>
              <w:rPr>
                <w:color w:val="000000"/>
                <w:sz w:val="24"/>
              </w:rPr>
              <w:t>2,148,105.01</w:t>
            </w:r>
          </w:p>
        </w:tc>
        <w:tc>
          <w:tcPr>
            <w:tcW w:w="1175" w:type="dxa"/>
            <w:vAlign w:val="center"/>
          </w:tcPr>
          <w:p w:rsidR="00087B3E" w:rsidRDefault="00D86034">
            <w:pPr>
              <w:jc w:val="right"/>
            </w:pPr>
            <w:r>
              <w:rPr>
                <w:color w:val="000000"/>
                <w:sz w:val="24"/>
              </w:rPr>
              <w:t>1.85</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a"/>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960,794.97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169,641.67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1,033.49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206,958.47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1,338,428.60</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62,907,239.77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3,809,186.68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5,224,281.39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61,492,145.06</w:t>
            </w:r>
          </w:p>
        </w:tc>
      </w:tr>
    </w:tbl>
    <w:p w:rsidR="00087B3E" w:rsidRDefault="00D8603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w:t>
      </w:r>
      <w:r w:rsidRPr="008640AE">
        <w:rPr>
          <w:color w:val="000000"/>
          <w:sz w:val="24"/>
        </w:rPr>
        <w:t>27,024,464.49</w:t>
      </w:r>
      <w:r w:rsidRPr="008640AE">
        <w:rPr>
          <w:color w:val="000000"/>
          <w:sz w:val="24"/>
        </w:rPr>
        <w:t>份，占本基金期末总份额的</w:t>
      </w:r>
      <w:r w:rsidRPr="008640AE">
        <w:rPr>
          <w:color w:val="000000"/>
          <w:sz w:val="24"/>
        </w:rPr>
        <w:t>43.95%</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87B3E">
        <w:tc>
          <w:tcPr>
            <w:tcW w:w="992" w:type="dxa"/>
            <w:vMerge w:val="restart"/>
          </w:tcPr>
          <w:p w:rsidR="00087B3E" w:rsidRDefault="00087B3E"/>
          <w:p w:rsidR="00087B3E" w:rsidRDefault="00D86034">
            <w:r>
              <w:rPr>
                <w:rFonts w:ascii="宋体" w:hAnsi="宋体" w:hint="eastAsia"/>
                <w:bCs/>
                <w:color w:val="000000"/>
                <w:kern w:val="0"/>
                <w:szCs w:val="21"/>
              </w:rPr>
              <w:t>机构</w:t>
            </w:r>
          </w:p>
        </w:tc>
        <w:tc>
          <w:tcPr>
            <w:tcW w:w="991" w:type="dxa"/>
            <w:vAlign w:val="center"/>
          </w:tcPr>
          <w:p w:rsidR="00087B3E" w:rsidRDefault="00D86034">
            <w:pPr>
              <w:jc w:val="center"/>
            </w:pPr>
            <w:r>
              <w:rPr>
                <w:rFonts w:ascii="宋体" w:hAnsi="宋体" w:hint="eastAsia"/>
                <w:color w:val="000000"/>
                <w:kern w:val="0"/>
                <w:szCs w:val="21"/>
              </w:rPr>
              <w:t>1</w:t>
            </w:r>
          </w:p>
        </w:tc>
        <w:tc>
          <w:tcPr>
            <w:tcW w:w="1843" w:type="dxa"/>
            <w:vAlign w:val="center"/>
          </w:tcPr>
          <w:p w:rsidR="00087B3E" w:rsidRDefault="00D86034">
            <w:pPr>
              <w:jc w:val="center"/>
            </w:pPr>
            <w:r>
              <w:rPr>
                <w:rFonts w:ascii="宋体" w:hAnsi="宋体" w:hint="eastAsia"/>
                <w:color w:val="000000"/>
                <w:kern w:val="0"/>
                <w:szCs w:val="21"/>
              </w:rPr>
              <w:t>2019/1/1-2019/3/31</w:t>
            </w:r>
          </w:p>
        </w:tc>
        <w:tc>
          <w:tcPr>
            <w:tcW w:w="851" w:type="dxa"/>
            <w:vAlign w:val="center"/>
          </w:tcPr>
          <w:p w:rsidR="00087B3E" w:rsidRDefault="00D86034">
            <w:pPr>
              <w:jc w:val="center"/>
            </w:pPr>
            <w:r>
              <w:rPr>
                <w:rFonts w:ascii="宋体" w:hAnsi="宋体" w:hint="eastAsia"/>
                <w:color w:val="000000"/>
                <w:kern w:val="0"/>
                <w:szCs w:val="21"/>
              </w:rPr>
              <w:t>27,024,464.49</w:t>
            </w:r>
          </w:p>
        </w:tc>
        <w:tc>
          <w:tcPr>
            <w:tcW w:w="850" w:type="dxa"/>
            <w:vAlign w:val="center"/>
          </w:tcPr>
          <w:p w:rsidR="00087B3E" w:rsidRDefault="00D86034">
            <w:pPr>
              <w:jc w:val="center"/>
            </w:pPr>
            <w:r>
              <w:rPr>
                <w:rFonts w:ascii="宋体" w:hAnsi="宋体" w:hint="eastAsia"/>
                <w:color w:val="000000"/>
                <w:kern w:val="0"/>
                <w:szCs w:val="21"/>
              </w:rPr>
              <w:t>-</w:t>
            </w:r>
          </w:p>
        </w:tc>
        <w:tc>
          <w:tcPr>
            <w:tcW w:w="1134" w:type="dxa"/>
            <w:vAlign w:val="center"/>
          </w:tcPr>
          <w:p w:rsidR="00087B3E" w:rsidRDefault="00D86034">
            <w:pPr>
              <w:jc w:val="center"/>
            </w:pPr>
            <w:r>
              <w:rPr>
                <w:rFonts w:ascii="宋体" w:hAnsi="宋体" w:hint="eastAsia"/>
                <w:color w:val="000000"/>
                <w:kern w:val="0"/>
                <w:szCs w:val="21"/>
              </w:rPr>
              <w:t>-</w:t>
            </w:r>
          </w:p>
        </w:tc>
        <w:tc>
          <w:tcPr>
            <w:tcW w:w="1419" w:type="dxa"/>
            <w:vAlign w:val="center"/>
          </w:tcPr>
          <w:p w:rsidR="00087B3E" w:rsidRDefault="00D86034">
            <w:pPr>
              <w:jc w:val="center"/>
            </w:pPr>
            <w:r>
              <w:rPr>
                <w:rFonts w:ascii="宋体" w:hAnsi="宋体" w:hint="eastAsia"/>
                <w:color w:val="000000"/>
                <w:kern w:val="0"/>
                <w:szCs w:val="21"/>
              </w:rPr>
              <w:t>27,024,464.49</w:t>
            </w:r>
          </w:p>
        </w:tc>
        <w:tc>
          <w:tcPr>
            <w:tcW w:w="1130" w:type="dxa"/>
            <w:vAlign w:val="center"/>
          </w:tcPr>
          <w:p w:rsidR="00087B3E" w:rsidRDefault="00D86034">
            <w:pPr>
              <w:jc w:val="center"/>
            </w:pPr>
            <w:r>
              <w:rPr>
                <w:rFonts w:ascii="宋体" w:hAnsi="宋体" w:hint="eastAsia"/>
                <w:color w:val="000000"/>
                <w:kern w:val="0"/>
                <w:szCs w:val="21"/>
              </w:rPr>
              <w:t>43.95%</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087B3E" w:rsidRDefault="00D86034">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087B3E" w:rsidRDefault="00D86034">
      <w:pPr>
        <w:spacing w:before="29" w:line="288" w:lineRule="auto"/>
        <w:ind w:firstLineChars="200" w:firstLine="480"/>
        <w:rPr>
          <w:color w:val="000000"/>
          <w:sz w:val="24"/>
        </w:rPr>
      </w:pPr>
      <w:r>
        <w:rPr>
          <w:color w:val="000000"/>
          <w:sz w:val="24"/>
        </w:rPr>
        <w:lastRenderedPageBreak/>
        <w:t>2</w:t>
      </w:r>
      <w:r>
        <w:rPr>
          <w:color w:val="000000"/>
          <w:sz w:val="24"/>
        </w:rPr>
        <w:t>、《交银施罗德环球精选价值证券投资基金基金合同》；</w:t>
      </w:r>
    </w:p>
    <w:p w:rsidR="00087B3E" w:rsidRDefault="00D86034">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087B3E" w:rsidRDefault="00D86034">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087B3E" w:rsidRDefault="00D8603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87B3E" w:rsidRDefault="00D8603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087B3E" w:rsidRDefault="00D8603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w:t>
      </w:r>
      <w:r>
        <w:rPr>
          <w:color w:val="000000"/>
          <w:sz w:val="24"/>
        </w:rPr>
        <w:t>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8F6" w:rsidRDefault="008278F6">
      <w:r>
        <w:separator/>
      </w:r>
    </w:p>
  </w:endnote>
  <w:endnote w:type="continuationSeparator" w:id="0">
    <w:p w:rsidR="008278F6" w:rsidRDefault="0082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41" w:rsidRDefault="00BB30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92" w:rsidRPr="001D0DB0" w:rsidRDefault="007D1292" w:rsidP="00B918B8">
    <w:pPr>
      <w:pStyle w:val="a7"/>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D86034">
      <w:rPr>
        <w:noProof/>
        <w:kern w:val="0"/>
        <w:szCs w:val="21"/>
      </w:rPr>
      <w:t>9</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D86034">
      <w:rPr>
        <w:noProof/>
        <w:kern w:val="0"/>
        <w:szCs w:val="21"/>
      </w:rPr>
      <w:t>13</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41" w:rsidRDefault="00BB30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9C" w:rsidRDefault="00DB2A0D">
    <w:pPr>
      <w:pStyle w:val="a7"/>
      <w:framePr w:wrap="around" w:vAnchor="text" w:hAnchor="margin" w:xAlign="center" w:y="1"/>
      <w:rPr>
        <w:rStyle w:val="a8"/>
      </w:rPr>
    </w:pPr>
    <w:r>
      <w:rPr>
        <w:rStyle w:val="a8"/>
      </w:rPr>
      <w:fldChar w:fldCharType="begin"/>
    </w:r>
    <w:r w:rsidR="00547D9C">
      <w:rPr>
        <w:rStyle w:val="a8"/>
      </w:rPr>
      <w:instrText xml:space="preserve">PAGE  </w:instrText>
    </w:r>
    <w:r>
      <w:rPr>
        <w:rStyle w:val="a8"/>
      </w:rPr>
      <w:fldChar w:fldCharType="end"/>
    </w:r>
  </w:p>
  <w:p w:rsidR="00547D9C" w:rsidRDefault="00547D9C">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58" w:rsidRDefault="00750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8F6" w:rsidRDefault="008278F6">
      <w:r>
        <w:separator/>
      </w:r>
    </w:p>
  </w:footnote>
  <w:footnote w:type="continuationSeparator" w:id="0">
    <w:p w:rsidR="008278F6" w:rsidRDefault="0082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41" w:rsidRDefault="00BB30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56" w:rsidRPr="00C6069A" w:rsidRDefault="00C6069A" w:rsidP="00C6069A">
    <w:pPr>
      <w:pStyle w:val="aa"/>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41" w:rsidRDefault="00BB3041">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58" w:rsidRDefault="00750358">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58" w:rsidRDefault="007503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B3E"/>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034"/>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14:docId w14:val="3D12BCD7"/>
  <w15:docId w15:val="{BD391E9B-637D-475D-84AB-51F03E5A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rsid w:val="00C503D3"/>
    <w:rPr>
      <w:kern w:val="2"/>
      <w:sz w:val="24"/>
    </w:rPr>
  </w:style>
  <w:style w:type="character" w:styleId="afb">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76917033">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104</TotalTime>
  <Pages>13</Pages>
  <Words>1133</Words>
  <Characters>6464</Characters>
  <Application>Microsoft Office Word</Application>
  <DocSecurity>0</DocSecurity>
  <Lines>53</Lines>
  <Paragraphs>15</Paragraphs>
  <ScaleCrop>false</ScaleCrop>
  <Company>TRT. Ltd. Co.</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241</cp:revision>
  <cp:lastPrinted>2007-07-19T00:46:00Z</cp:lastPrinted>
  <dcterms:created xsi:type="dcterms:W3CDTF">2013-08-01T05:26:00Z</dcterms:created>
  <dcterms:modified xsi:type="dcterms:W3CDTF">2019-04-11T05:15:00Z</dcterms:modified>
</cp:coreProperties>
</file>