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交银施罗德核心资产混合型证券投资基金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71DD7" w:rsidRDefault="00A82F7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交银核心资产混合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006202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006202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18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519,732,927.87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本基金主要投资于具有核心资产的上市公司，在合理控制风险并保持基金资产良好流动性的前提下，力争实现基金资产的长期稳定增值。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恒生指数收益率</w:t>
            </w:r>
            <w:r w:rsidRPr="00414345">
              <w:rPr>
                <w:color w:val="000000"/>
                <w:kern w:val="0"/>
                <w:sz w:val="24"/>
                <w:szCs w:val="24"/>
              </w:rPr>
              <w:t>×30%+</w:t>
            </w:r>
            <w:r w:rsidRPr="00414345">
              <w:rPr>
                <w:color w:val="000000"/>
                <w:kern w:val="0"/>
                <w:sz w:val="24"/>
                <w:szCs w:val="24"/>
              </w:rPr>
              <w:t>中证综合债券指数收益率</w:t>
            </w:r>
            <w:r w:rsidRPr="00414345">
              <w:rPr>
                <w:color w:val="000000"/>
                <w:kern w:val="0"/>
                <w:sz w:val="24"/>
                <w:szCs w:val="24"/>
              </w:rPr>
              <w:t>×20%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371DD7" w:rsidRDefault="00A82F75">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82F75" w:rsidRPr="00414345" w:rsidTr="00A82F7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日（基金合同生效日）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A82F75" w:rsidRPr="00414345" w:rsidTr="00A82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5,212,937.56</w:t>
            </w:r>
          </w:p>
        </w:tc>
      </w:tr>
      <w:tr w:rsidR="00A82F75" w:rsidRPr="00414345" w:rsidTr="00A82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30,870,112.03</w:t>
            </w:r>
          </w:p>
        </w:tc>
      </w:tr>
      <w:tr w:rsidR="00A82F75" w:rsidRPr="00414345" w:rsidTr="00A82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A82F75">
            <w:pPr>
              <w:adjustRightInd w:val="0"/>
              <w:spacing w:before="29" w:line="288" w:lineRule="auto"/>
              <w:ind w:left="17"/>
              <w:jc w:val="right"/>
              <w:rPr>
                <w:color w:val="000000"/>
                <w:sz w:val="24"/>
                <w:szCs w:val="24"/>
              </w:rPr>
            </w:pPr>
            <w:r w:rsidRPr="00414345">
              <w:rPr>
                <w:color w:val="000000"/>
                <w:sz w:val="24"/>
                <w:szCs w:val="24"/>
              </w:rPr>
              <w:t>0.047</w:t>
            </w:r>
            <w:r w:rsidR="00A82F75">
              <w:rPr>
                <w:color w:val="000000"/>
                <w:sz w:val="24"/>
                <w:szCs w:val="24"/>
              </w:rPr>
              <w:t>9</w:t>
            </w:r>
          </w:p>
        </w:tc>
      </w:tr>
      <w:tr w:rsidR="00A82F75" w:rsidRPr="00414345" w:rsidTr="00A82F7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547,881,564.70</w:t>
            </w:r>
          </w:p>
        </w:tc>
      </w:tr>
      <w:tr w:rsidR="00A82F75" w:rsidRPr="00414345" w:rsidTr="00A82F7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1.0542</w:t>
            </w:r>
          </w:p>
        </w:tc>
      </w:tr>
    </w:tbl>
    <w:p w:rsidR="00371DD7" w:rsidRDefault="00A82F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Default="004061AC" w:rsidP="00E91B37">
      <w:pPr>
        <w:autoSpaceDE w:val="0"/>
        <w:autoSpaceDN w:val="0"/>
        <w:adjustRightInd w:val="0"/>
        <w:spacing w:before="29" w:line="288" w:lineRule="auto"/>
        <w:ind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E91B37" w:rsidRPr="00E91B37" w:rsidRDefault="00E91B37" w:rsidP="00E91B37">
      <w:pPr>
        <w:autoSpaceDE w:val="0"/>
        <w:autoSpaceDN w:val="0"/>
        <w:adjustRightInd w:val="0"/>
        <w:spacing w:before="29" w:line="288" w:lineRule="auto"/>
        <w:ind w:firstLine="480"/>
        <w:jc w:val="left"/>
        <w:rPr>
          <w:rFonts w:hint="eastAsia"/>
          <w:color w:val="000000"/>
          <w:sz w:val="24"/>
          <w:szCs w:val="24"/>
        </w:rPr>
      </w:pPr>
      <w:r w:rsidRPr="00E91B37">
        <w:rPr>
          <w:rFonts w:hint="eastAsia"/>
          <w:color w:val="000000"/>
          <w:sz w:val="24"/>
          <w:szCs w:val="24"/>
        </w:rPr>
        <w:t>3</w:t>
      </w:r>
      <w:r w:rsidRPr="00E91B37">
        <w:rPr>
          <w:rFonts w:hint="eastAsia"/>
          <w:color w:val="000000"/>
          <w:sz w:val="24"/>
          <w:szCs w:val="24"/>
        </w:rPr>
        <w:t>、本基金合同生效日为</w:t>
      </w:r>
      <w:r w:rsidRPr="00E91B37">
        <w:rPr>
          <w:rFonts w:hint="eastAsia"/>
          <w:color w:val="000000"/>
          <w:sz w:val="24"/>
          <w:szCs w:val="24"/>
        </w:rPr>
        <w:t>2019</w:t>
      </w:r>
      <w:r w:rsidRPr="00E91B37">
        <w:rPr>
          <w:rFonts w:hint="eastAsia"/>
          <w:color w:val="000000"/>
          <w:sz w:val="24"/>
          <w:szCs w:val="24"/>
        </w:rPr>
        <w:t>年</w:t>
      </w:r>
      <w:r w:rsidRPr="00E91B37">
        <w:rPr>
          <w:rFonts w:hint="eastAsia"/>
          <w:color w:val="000000"/>
          <w:sz w:val="24"/>
          <w:szCs w:val="24"/>
        </w:rPr>
        <w:t>1</w:t>
      </w:r>
      <w:r w:rsidRPr="00E91B37">
        <w:rPr>
          <w:rFonts w:hint="eastAsia"/>
          <w:color w:val="000000"/>
          <w:sz w:val="24"/>
          <w:szCs w:val="24"/>
        </w:rPr>
        <w:t>月</w:t>
      </w:r>
      <w:r w:rsidRPr="00E91B37">
        <w:rPr>
          <w:rFonts w:hint="eastAsia"/>
          <w:color w:val="000000"/>
          <w:sz w:val="24"/>
          <w:szCs w:val="24"/>
        </w:rPr>
        <w:t>18</w:t>
      </w:r>
      <w:r w:rsidRPr="00E91B37">
        <w:rPr>
          <w:rFonts w:hint="eastAsia"/>
          <w:color w:val="000000"/>
          <w:sz w:val="24"/>
          <w:szCs w:val="24"/>
        </w:rPr>
        <w:t>日，基金合同生效日至本报告期期末，本基金运作时间未满三个月。</w:t>
      </w:r>
      <w:bookmarkStart w:id="0" w:name="_GoBack"/>
      <w:bookmarkEnd w:id="0"/>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71DD7">
        <w:trPr>
          <w:jc w:val="center"/>
        </w:trPr>
        <w:tc>
          <w:tcPr>
            <w:tcW w:w="1701" w:type="dxa"/>
            <w:vAlign w:val="center"/>
          </w:tcPr>
          <w:p w:rsidR="00371DD7" w:rsidRDefault="00A82F75">
            <w:pPr>
              <w:jc w:val="left"/>
            </w:pPr>
            <w:r>
              <w:rPr>
                <w:color w:val="000000"/>
                <w:sz w:val="24"/>
                <w:szCs w:val="24"/>
              </w:rPr>
              <w:t>过去三个月</w:t>
            </w:r>
          </w:p>
        </w:tc>
        <w:tc>
          <w:tcPr>
            <w:tcW w:w="1045" w:type="dxa"/>
            <w:vAlign w:val="center"/>
          </w:tcPr>
          <w:p w:rsidR="00371DD7" w:rsidRDefault="00A82F75">
            <w:pPr>
              <w:jc w:val="center"/>
            </w:pPr>
            <w:r>
              <w:rPr>
                <w:color w:val="000000"/>
                <w:sz w:val="24"/>
                <w:szCs w:val="24"/>
              </w:rPr>
              <w:t>5.42%</w:t>
            </w:r>
          </w:p>
        </w:tc>
        <w:tc>
          <w:tcPr>
            <w:tcW w:w="1344" w:type="dxa"/>
            <w:vAlign w:val="center"/>
          </w:tcPr>
          <w:p w:rsidR="00371DD7" w:rsidRDefault="00A82F75" w:rsidP="00A82F75">
            <w:pPr>
              <w:jc w:val="center"/>
            </w:pPr>
            <w:r>
              <w:rPr>
                <w:color w:val="000000"/>
                <w:sz w:val="24"/>
                <w:szCs w:val="24"/>
              </w:rPr>
              <w:t>0.67%</w:t>
            </w:r>
          </w:p>
        </w:tc>
        <w:tc>
          <w:tcPr>
            <w:tcW w:w="1194" w:type="dxa"/>
            <w:vAlign w:val="center"/>
          </w:tcPr>
          <w:p w:rsidR="00371DD7" w:rsidRDefault="00A82F75">
            <w:pPr>
              <w:jc w:val="center"/>
            </w:pPr>
            <w:r>
              <w:rPr>
                <w:color w:val="000000"/>
                <w:sz w:val="24"/>
                <w:szCs w:val="24"/>
              </w:rPr>
              <w:t>14.62%</w:t>
            </w:r>
          </w:p>
        </w:tc>
        <w:tc>
          <w:tcPr>
            <w:tcW w:w="1492" w:type="dxa"/>
            <w:vAlign w:val="center"/>
          </w:tcPr>
          <w:p w:rsidR="00371DD7" w:rsidRDefault="00A82F75" w:rsidP="00A82F75">
            <w:pPr>
              <w:jc w:val="center"/>
            </w:pPr>
            <w:r>
              <w:rPr>
                <w:color w:val="000000"/>
                <w:sz w:val="24"/>
                <w:szCs w:val="24"/>
              </w:rPr>
              <w:t>1.03%</w:t>
            </w:r>
          </w:p>
        </w:tc>
        <w:tc>
          <w:tcPr>
            <w:tcW w:w="1194" w:type="dxa"/>
            <w:vAlign w:val="center"/>
          </w:tcPr>
          <w:p w:rsidR="00371DD7" w:rsidRDefault="00A82F75">
            <w:pPr>
              <w:jc w:val="center"/>
            </w:pPr>
            <w:r>
              <w:rPr>
                <w:color w:val="000000"/>
                <w:sz w:val="24"/>
                <w:szCs w:val="24"/>
              </w:rPr>
              <w:t>-9.20%</w:t>
            </w:r>
          </w:p>
        </w:tc>
        <w:tc>
          <w:tcPr>
            <w:tcW w:w="898" w:type="dxa"/>
            <w:vAlign w:val="center"/>
          </w:tcPr>
          <w:p w:rsidR="00371DD7" w:rsidRDefault="00A82F75">
            <w:pPr>
              <w:jc w:val="center"/>
            </w:pPr>
            <w:r>
              <w:rPr>
                <w:color w:val="000000"/>
                <w:sz w:val="24"/>
                <w:szCs w:val="24"/>
              </w:rPr>
              <w:t>-0.36%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交银施罗德核心资产混合型证券投资基金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18</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71DD7">
        <w:trPr>
          <w:jc w:val="center"/>
        </w:trPr>
        <w:tc>
          <w:tcPr>
            <w:tcW w:w="846" w:type="dxa"/>
            <w:vAlign w:val="center"/>
          </w:tcPr>
          <w:p w:rsidR="00371DD7" w:rsidRDefault="00A82F75">
            <w:pPr>
              <w:jc w:val="center"/>
            </w:pPr>
            <w:r>
              <w:rPr>
                <w:color w:val="000000"/>
                <w:sz w:val="24"/>
                <w:szCs w:val="24"/>
              </w:rPr>
              <w:t>陈俊华</w:t>
            </w:r>
          </w:p>
        </w:tc>
        <w:tc>
          <w:tcPr>
            <w:tcW w:w="845" w:type="dxa"/>
            <w:vAlign w:val="center"/>
          </w:tcPr>
          <w:p w:rsidR="00371DD7" w:rsidRDefault="00A82F75">
            <w:pPr>
              <w:jc w:val="center"/>
            </w:pPr>
            <w:r>
              <w:rPr>
                <w:color w:val="000000"/>
                <w:sz w:val="24"/>
                <w:szCs w:val="24"/>
              </w:rPr>
              <w:t>交银环球精选混合</w:t>
            </w:r>
            <w:r>
              <w:rPr>
                <w:color w:val="000000"/>
                <w:sz w:val="24"/>
                <w:szCs w:val="24"/>
              </w:rPr>
              <w:t>(QDII)</w:t>
            </w:r>
            <w:r>
              <w:rPr>
                <w:color w:val="000000"/>
                <w:sz w:val="24"/>
                <w:szCs w:val="24"/>
              </w:rPr>
              <w:t>、交银全球资源混合</w:t>
            </w:r>
            <w:r>
              <w:rPr>
                <w:color w:val="000000"/>
                <w:sz w:val="24"/>
                <w:szCs w:val="24"/>
              </w:rPr>
              <w:t>(QDII)</w:t>
            </w:r>
            <w:r>
              <w:rPr>
                <w:color w:val="000000"/>
                <w:sz w:val="24"/>
                <w:szCs w:val="24"/>
              </w:rPr>
              <w:t>、交银沪港深价值精选混合、交银核心资产混合的基金经理，公司跨境投资副总监</w:t>
            </w:r>
          </w:p>
        </w:tc>
        <w:tc>
          <w:tcPr>
            <w:tcW w:w="1549" w:type="dxa"/>
            <w:vAlign w:val="center"/>
          </w:tcPr>
          <w:p w:rsidR="00371DD7" w:rsidRDefault="00A82F75">
            <w:pPr>
              <w:jc w:val="center"/>
            </w:pPr>
            <w:r>
              <w:rPr>
                <w:color w:val="000000"/>
                <w:sz w:val="24"/>
                <w:szCs w:val="24"/>
              </w:rPr>
              <w:t>2019-01-18</w:t>
            </w:r>
          </w:p>
        </w:tc>
        <w:tc>
          <w:tcPr>
            <w:tcW w:w="1548" w:type="dxa"/>
            <w:vAlign w:val="center"/>
          </w:tcPr>
          <w:p w:rsidR="00371DD7" w:rsidRDefault="00A82F75">
            <w:pPr>
              <w:jc w:val="center"/>
            </w:pPr>
            <w:r>
              <w:rPr>
                <w:color w:val="000000"/>
                <w:sz w:val="24"/>
                <w:szCs w:val="24"/>
              </w:rPr>
              <w:t>-</w:t>
            </w:r>
          </w:p>
        </w:tc>
        <w:tc>
          <w:tcPr>
            <w:tcW w:w="1407" w:type="dxa"/>
            <w:vAlign w:val="center"/>
          </w:tcPr>
          <w:p w:rsidR="00371DD7" w:rsidRDefault="00A82F75">
            <w:pPr>
              <w:jc w:val="center"/>
            </w:pPr>
            <w:r>
              <w:rPr>
                <w:color w:val="000000"/>
                <w:sz w:val="24"/>
                <w:szCs w:val="24"/>
              </w:rPr>
              <w:t>14</w:t>
            </w:r>
            <w:r>
              <w:rPr>
                <w:color w:val="000000"/>
                <w:sz w:val="24"/>
                <w:szCs w:val="24"/>
              </w:rPr>
              <w:t>年</w:t>
            </w:r>
          </w:p>
        </w:tc>
        <w:tc>
          <w:tcPr>
            <w:tcW w:w="2673" w:type="dxa"/>
            <w:vAlign w:val="center"/>
          </w:tcPr>
          <w:p w:rsidR="00371DD7" w:rsidRDefault="00A82F75">
            <w:r>
              <w:rPr>
                <w:color w:val="000000"/>
                <w:sz w:val="24"/>
                <w:szCs w:val="24"/>
              </w:rPr>
              <w:t>陈俊华女士，中国国籍，上海交通大学金融学硕士。历任国泰君安证券研究部研究员、中国国际金融有限公司研究部公用事业组负责人。</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71DD7" w:rsidRDefault="00A82F7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71DD7" w:rsidRDefault="00A82F7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71DD7" w:rsidRDefault="00A82F7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371DD7" w:rsidRDefault="00A82F75">
      <w:pPr>
        <w:spacing w:before="29" w:line="288" w:lineRule="auto"/>
        <w:ind w:firstLineChars="200" w:firstLine="480"/>
        <w:rPr>
          <w:color w:val="000000"/>
          <w:sz w:val="24"/>
          <w:szCs w:val="24"/>
        </w:rPr>
      </w:pPr>
      <w:r>
        <w:rPr>
          <w:color w:val="000000"/>
          <w:sz w:val="24"/>
          <w:szCs w:val="24"/>
        </w:rPr>
        <w:t>2019</w:t>
      </w:r>
      <w:r>
        <w:rPr>
          <w:color w:val="000000"/>
          <w:sz w:val="24"/>
          <w:szCs w:val="24"/>
        </w:rPr>
        <w:t>年一季度，获益于流动性的边际改善，全球股市快速上涨，新兴市场股市更是获得大量资金海外流入。从结构来看，</w:t>
      </w:r>
      <w:r>
        <w:rPr>
          <w:color w:val="000000"/>
          <w:sz w:val="24"/>
          <w:szCs w:val="24"/>
        </w:rPr>
        <w:t>A</w:t>
      </w:r>
      <w:r>
        <w:rPr>
          <w:color w:val="000000"/>
          <w:sz w:val="24"/>
          <w:szCs w:val="24"/>
        </w:rPr>
        <w:t>股的投资机会较港股更多，一方面，消费龙头受到了海外投资者的偏好，北上资金持续增配相关标的，部分个股的外资持股比例达到历史新高。另一方面，伴随科创板创立的临近，科技、</w:t>
      </w:r>
      <w:r>
        <w:rPr>
          <w:color w:val="000000"/>
          <w:sz w:val="24"/>
          <w:szCs w:val="24"/>
        </w:rPr>
        <w:t>5G</w:t>
      </w:r>
      <w:r>
        <w:rPr>
          <w:color w:val="000000"/>
          <w:sz w:val="24"/>
          <w:szCs w:val="24"/>
        </w:rPr>
        <w:t>以及人工智能等板块的股票活跃度显著增强。港股方面，作为离岸、配置型投资市场，投资者更关注基本面因素，在盈利预期尚未得到验证之前，交易量仍呈平稳，并未出现太多结构性机会。回顾一季度的表现，部分符合我们的预期（</w:t>
      </w:r>
      <w:r>
        <w:rPr>
          <w:color w:val="000000"/>
          <w:sz w:val="24"/>
          <w:szCs w:val="24"/>
        </w:rPr>
        <w:t>A</w:t>
      </w:r>
      <w:r>
        <w:rPr>
          <w:color w:val="000000"/>
          <w:sz w:val="24"/>
          <w:szCs w:val="24"/>
        </w:rPr>
        <w:t>股表现优于港股，机会大于挑战），但</w:t>
      </w:r>
      <w:r>
        <w:rPr>
          <w:color w:val="000000"/>
          <w:sz w:val="24"/>
          <w:szCs w:val="24"/>
        </w:rPr>
        <w:t>A</w:t>
      </w:r>
      <w:r>
        <w:rPr>
          <w:color w:val="000000"/>
          <w:sz w:val="24"/>
          <w:szCs w:val="24"/>
        </w:rPr>
        <w:t>股消费和科技股的股价的剧烈波动、市场活跃度的提升入速度超出了我们的预期，这给我们的建仓增添了一定的压力，也值得我们深刻思考。</w:t>
      </w:r>
    </w:p>
    <w:p w:rsidR="00371DD7" w:rsidRDefault="00A82F75">
      <w:pPr>
        <w:spacing w:before="29" w:line="288" w:lineRule="auto"/>
        <w:ind w:firstLineChars="200" w:firstLine="480"/>
        <w:rPr>
          <w:color w:val="000000"/>
          <w:sz w:val="24"/>
          <w:szCs w:val="24"/>
        </w:rPr>
      </w:pPr>
      <w:r>
        <w:rPr>
          <w:color w:val="000000"/>
          <w:sz w:val="24"/>
          <w:szCs w:val="24"/>
        </w:rPr>
        <w:t>回顾一季度，在剧烈波动的市场中，我们试图在回撤和收益之间寻找平衡，我们逐步加快的建仓的节奏，在地产、消费、金融和科技板块配置了龙头个股。</w:t>
      </w:r>
    </w:p>
    <w:p w:rsidR="00371DD7" w:rsidRDefault="00A82F75">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年二季度，我们认为市场对于基本面的关注度会提升。我们继续看好</w:t>
      </w:r>
      <w:r>
        <w:rPr>
          <w:color w:val="000000"/>
          <w:sz w:val="24"/>
          <w:szCs w:val="24"/>
        </w:rPr>
        <w:t>A</w:t>
      </w:r>
      <w:r>
        <w:rPr>
          <w:color w:val="000000"/>
          <w:sz w:val="24"/>
          <w:szCs w:val="24"/>
        </w:rPr>
        <w:t>股的消费和科技板块细分龙头的机会，对地产板块转为谨慎乐观。此外，我们认为港股的结构性机会会增多。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相较于一季度，全球流动性放缓的边际效应在减弱，三月，美联储已明确了加息放缓计划和缩表暂停的时间，未来一段时期，短期流动性波动更多来自国内因素。而基本面方面，已经进入年报和一季报阶段，在经济总体平稳的环境下，我们认为，各行业内的公司分化在加剧，基本面难以体现普遍性向好趋势。我们对港股较年初更为乐观。港股的医药、科技板块经过持续的调整，估值仍在低位，而部分细分子行业的基本面开始出现改善，我们认为未来的投资机会会逐步增多。我们将一如既往，认真总结，积极调整，勤勉尽责地积极调研，努力为投资人赚取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392,198,275.66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67.88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392,198,275.66</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67.88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28,852,100.00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28,852,100.00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4.99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152,906,490.14</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26.47</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3,808,097.30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0.66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577,764,963.10</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129,714,869.05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17,280,000.00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10,553,712.29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49,253,008.00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33,144,000.00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26,363,450.80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18,590,000.00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284,899,040.14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52.00</w:t>
            </w:r>
          </w:p>
        </w:tc>
      </w:tr>
    </w:tbl>
    <w:p w:rsidR="00DF7713" w:rsidRDefault="00DF7713" w:rsidP="00DF7713">
      <w:pPr>
        <w:ind w:firstLineChars="50" w:firstLine="120"/>
        <w:jc w:val="left"/>
        <w:rPr>
          <w:rFonts w:asciiTheme="minorEastAsia" w:eastAsiaTheme="minorEastAsia" w:hAnsiTheme="minorEastAsia"/>
          <w:b/>
          <w:bCs/>
          <w:color w:val="000000" w:themeColor="text1"/>
          <w:kern w:val="0"/>
          <w:sz w:val="24"/>
        </w:rPr>
      </w:pPr>
    </w:p>
    <w:p w:rsidR="00F51C4E" w:rsidRPr="00DF7713" w:rsidRDefault="00F51C4E" w:rsidP="00DF7713">
      <w:pPr>
        <w:autoSpaceDE w:val="0"/>
        <w:autoSpaceDN w:val="0"/>
        <w:adjustRightInd w:val="0"/>
        <w:spacing w:before="29" w:line="288" w:lineRule="auto"/>
        <w:jc w:val="left"/>
        <w:rPr>
          <w:b/>
          <w:bCs/>
          <w:color w:val="000000"/>
          <w:kern w:val="0"/>
          <w:sz w:val="24"/>
          <w:szCs w:val="24"/>
        </w:rPr>
      </w:pPr>
      <w:r w:rsidRPr="00DF7713">
        <w:rPr>
          <w:rFonts w:hint="eastAsia"/>
          <w:b/>
          <w:bCs/>
          <w:color w:val="000000"/>
          <w:kern w:val="0"/>
          <w:sz w:val="24"/>
          <w:szCs w:val="24"/>
        </w:rPr>
        <w:t>5.2.2</w:t>
      </w:r>
      <w:r w:rsidRPr="00DF7713">
        <w:rPr>
          <w:rFonts w:hint="eastAsia"/>
          <w:b/>
          <w:bCs/>
          <w:color w:val="000000"/>
          <w:kern w:val="0"/>
          <w:sz w:val="24"/>
          <w:szCs w:val="24"/>
        </w:rPr>
        <w:t>报告期末按行业分类的</w:t>
      </w:r>
      <w:r w:rsidR="00EE49FE" w:rsidRPr="00DF7713">
        <w:rPr>
          <w:rFonts w:hint="eastAsia"/>
          <w:b/>
          <w:bCs/>
          <w:color w:val="000000"/>
          <w:kern w:val="0"/>
          <w:sz w:val="24"/>
          <w:szCs w:val="24"/>
        </w:rPr>
        <w:t>港股通</w:t>
      </w:r>
      <w:r w:rsidRPr="00DF7713">
        <w:rPr>
          <w:rFonts w:hint="eastAsia"/>
          <w:b/>
          <w:bCs/>
          <w:color w:val="000000"/>
          <w:kern w:val="0"/>
          <w:sz w:val="24"/>
          <w:szCs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371DD7">
        <w:trPr>
          <w:jc w:val="center"/>
        </w:trPr>
        <w:tc>
          <w:tcPr>
            <w:tcW w:w="2397" w:type="dxa"/>
            <w:vAlign w:val="center"/>
          </w:tcPr>
          <w:p w:rsidR="00371DD7" w:rsidRDefault="00A82F75">
            <w:pPr>
              <w:jc w:val="center"/>
            </w:pPr>
            <w:r>
              <w:rPr>
                <w:color w:val="000000"/>
                <w:sz w:val="24"/>
              </w:rPr>
              <w:t>房地产</w:t>
            </w:r>
          </w:p>
        </w:tc>
        <w:tc>
          <w:tcPr>
            <w:tcW w:w="3119" w:type="dxa"/>
            <w:vAlign w:val="center"/>
          </w:tcPr>
          <w:p w:rsidR="00371DD7" w:rsidRDefault="00A82F75">
            <w:pPr>
              <w:jc w:val="center"/>
            </w:pPr>
            <w:r>
              <w:rPr>
                <w:color w:val="000000"/>
                <w:sz w:val="24"/>
              </w:rPr>
              <w:t>40,080,237.75</w:t>
            </w:r>
          </w:p>
        </w:tc>
        <w:tc>
          <w:tcPr>
            <w:tcW w:w="3118" w:type="dxa"/>
            <w:vAlign w:val="center"/>
          </w:tcPr>
          <w:p w:rsidR="00371DD7" w:rsidRDefault="00A82F75">
            <w:pPr>
              <w:jc w:val="center"/>
            </w:pPr>
            <w:r>
              <w:rPr>
                <w:color w:val="000000"/>
                <w:sz w:val="24"/>
              </w:rPr>
              <w:t>7.32</w:t>
            </w:r>
          </w:p>
        </w:tc>
      </w:tr>
      <w:tr w:rsidR="00371DD7">
        <w:trPr>
          <w:jc w:val="center"/>
        </w:trPr>
        <w:tc>
          <w:tcPr>
            <w:tcW w:w="2397" w:type="dxa"/>
            <w:vAlign w:val="center"/>
          </w:tcPr>
          <w:p w:rsidR="00371DD7" w:rsidRDefault="00A82F75">
            <w:pPr>
              <w:jc w:val="center"/>
            </w:pPr>
            <w:r>
              <w:rPr>
                <w:color w:val="000000"/>
                <w:sz w:val="24"/>
              </w:rPr>
              <w:t>金融</w:t>
            </w:r>
          </w:p>
        </w:tc>
        <w:tc>
          <w:tcPr>
            <w:tcW w:w="3119" w:type="dxa"/>
            <w:vAlign w:val="center"/>
          </w:tcPr>
          <w:p w:rsidR="00371DD7" w:rsidRDefault="00A82F75">
            <w:pPr>
              <w:jc w:val="center"/>
            </w:pPr>
            <w:r>
              <w:rPr>
                <w:color w:val="000000"/>
                <w:sz w:val="24"/>
              </w:rPr>
              <w:t>33,572,185.02</w:t>
            </w:r>
          </w:p>
        </w:tc>
        <w:tc>
          <w:tcPr>
            <w:tcW w:w="3118" w:type="dxa"/>
            <w:vAlign w:val="center"/>
          </w:tcPr>
          <w:p w:rsidR="00371DD7" w:rsidRDefault="00A82F75">
            <w:pPr>
              <w:jc w:val="center"/>
            </w:pPr>
            <w:r>
              <w:rPr>
                <w:color w:val="000000"/>
                <w:sz w:val="24"/>
              </w:rPr>
              <w:t>6.13</w:t>
            </w:r>
          </w:p>
        </w:tc>
      </w:tr>
      <w:tr w:rsidR="00371DD7">
        <w:trPr>
          <w:jc w:val="center"/>
        </w:trPr>
        <w:tc>
          <w:tcPr>
            <w:tcW w:w="2397" w:type="dxa"/>
            <w:vAlign w:val="center"/>
          </w:tcPr>
          <w:p w:rsidR="00371DD7" w:rsidRDefault="00A82F75">
            <w:pPr>
              <w:jc w:val="center"/>
            </w:pPr>
            <w:r>
              <w:rPr>
                <w:color w:val="000000"/>
                <w:sz w:val="24"/>
              </w:rPr>
              <w:t>通讯服务</w:t>
            </w:r>
          </w:p>
        </w:tc>
        <w:tc>
          <w:tcPr>
            <w:tcW w:w="3119" w:type="dxa"/>
            <w:vAlign w:val="center"/>
          </w:tcPr>
          <w:p w:rsidR="00371DD7" w:rsidRDefault="00A82F75">
            <w:pPr>
              <w:jc w:val="center"/>
            </w:pPr>
            <w:r>
              <w:rPr>
                <w:color w:val="000000"/>
                <w:sz w:val="24"/>
              </w:rPr>
              <w:t>28,821,744.00</w:t>
            </w:r>
          </w:p>
        </w:tc>
        <w:tc>
          <w:tcPr>
            <w:tcW w:w="3118" w:type="dxa"/>
            <w:vAlign w:val="center"/>
          </w:tcPr>
          <w:p w:rsidR="00371DD7" w:rsidRDefault="00A82F75">
            <w:pPr>
              <w:jc w:val="center"/>
            </w:pPr>
            <w:r>
              <w:rPr>
                <w:color w:val="000000"/>
                <w:sz w:val="24"/>
              </w:rPr>
              <w:t>5.26</w:t>
            </w:r>
          </w:p>
        </w:tc>
      </w:tr>
      <w:tr w:rsidR="00371DD7">
        <w:trPr>
          <w:jc w:val="center"/>
        </w:trPr>
        <w:tc>
          <w:tcPr>
            <w:tcW w:w="2397" w:type="dxa"/>
            <w:vAlign w:val="center"/>
          </w:tcPr>
          <w:p w:rsidR="00371DD7" w:rsidRDefault="00A82F75">
            <w:pPr>
              <w:jc w:val="center"/>
            </w:pPr>
            <w:r>
              <w:rPr>
                <w:color w:val="000000"/>
                <w:sz w:val="24"/>
              </w:rPr>
              <w:t>信息技术</w:t>
            </w:r>
          </w:p>
        </w:tc>
        <w:tc>
          <w:tcPr>
            <w:tcW w:w="3119" w:type="dxa"/>
            <w:vAlign w:val="center"/>
          </w:tcPr>
          <w:p w:rsidR="00371DD7" w:rsidRDefault="00A82F75">
            <w:pPr>
              <w:jc w:val="center"/>
            </w:pPr>
            <w:r>
              <w:rPr>
                <w:color w:val="000000"/>
                <w:sz w:val="24"/>
              </w:rPr>
              <w:t>4,825,068.75</w:t>
            </w:r>
          </w:p>
        </w:tc>
        <w:tc>
          <w:tcPr>
            <w:tcW w:w="3118" w:type="dxa"/>
            <w:vAlign w:val="center"/>
          </w:tcPr>
          <w:p w:rsidR="00371DD7" w:rsidRDefault="00A82F75">
            <w:pPr>
              <w:jc w:val="center"/>
            </w:pPr>
            <w:r>
              <w:rPr>
                <w:color w:val="000000"/>
                <w:sz w:val="24"/>
              </w:rPr>
              <w:t>0.88</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107,299,235.52</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19.58</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71DD7">
        <w:trPr>
          <w:jc w:val="center"/>
        </w:trPr>
        <w:tc>
          <w:tcPr>
            <w:tcW w:w="855" w:type="dxa"/>
            <w:vAlign w:val="center"/>
          </w:tcPr>
          <w:p w:rsidR="00371DD7" w:rsidRDefault="00A82F75">
            <w:pPr>
              <w:jc w:val="center"/>
            </w:pPr>
            <w:r>
              <w:rPr>
                <w:color w:val="000000"/>
                <w:sz w:val="24"/>
                <w:szCs w:val="24"/>
              </w:rPr>
              <w:t>1</w:t>
            </w:r>
          </w:p>
        </w:tc>
        <w:tc>
          <w:tcPr>
            <w:tcW w:w="1334" w:type="dxa"/>
            <w:vAlign w:val="center"/>
          </w:tcPr>
          <w:p w:rsidR="00371DD7" w:rsidRDefault="00A82F75">
            <w:pPr>
              <w:jc w:val="center"/>
            </w:pPr>
            <w:r>
              <w:rPr>
                <w:color w:val="000000"/>
                <w:sz w:val="24"/>
                <w:szCs w:val="24"/>
              </w:rPr>
              <w:t>002475</w:t>
            </w:r>
          </w:p>
        </w:tc>
        <w:tc>
          <w:tcPr>
            <w:tcW w:w="1777" w:type="dxa"/>
            <w:vAlign w:val="center"/>
          </w:tcPr>
          <w:p w:rsidR="00371DD7" w:rsidRDefault="00A82F75">
            <w:pPr>
              <w:jc w:val="center"/>
            </w:pPr>
            <w:r>
              <w:rPr>
                <w:color w:val="000000"/>
                <w:sz w:val="24"/>
                <w:szCs w:val="24"/>
              </w:rPr>
              <w:t>立讯精密</w:t>
            </w:r>
          </w:p>
        </w:tc>
        <w:tc>
          <w:tcPr>
            <w:tcW w:w="1334" w:type="dxa"/>
            <w:vAlign w:val="center"/>
          </w:tcPr>
          <w:p w:rsidR="00371DD7" w:rsidRDefault="00A82F75">
            <w:pPr>
              <w:jc w:val="right"/>
            </w:pPr>
            <w:r>
              <w:rPr>
                <w:color w:val="000000"/>
                <w:sz w:val="24"/>
                <w:szCs w:val="24"/>
              </w:rPr>
              <w:t>1,000,000</w:t>
            </w:r>
          </w:p>
        </w:tc>
        <w:tc>
          <w:tcPr>
            <w:tcW w:w="1924" w:type="dxa"/>
            <w:vAlign w:val="center"/>
          </w:tcPr>
          <w:p w:rsidR="00371DD7" w:rsidRDefault="00A82F75">
            <w:pPr>
              <w:jc w:val="right"/>
            </w:pPr>
            <w:r>
              <w:rPr>
                <w:color w:val="000000"/>
                <w:sz w:val="24"/>
                <w:szCs w:val="24"/>
              </w:rPr>
              <w:t>24,800,000.00</w:t>
            </w:r>
          </w:p>
        </w:tc>
        <w:tc>
          <w:tcPr>
            <w:tcW w:w="1644" w:type="dxa"/>
            <w:vAlign w:val="center"/>
          </w:tcPr>
          <w:p w:rsidR="00371DD7" w:rsidRDefault="00A82F75">
            <w:pPr>
              <w:jc w:val="right"/>
            </w:pPr>
            <w:r>
              <w:rPr>
                <w:color w:val="000000"/>
                <w:sz w:val="24"/>
                <w:szCs w:val="24"/>
              </w:rPr>
              <w:t>4.53</w:t>
            </w:r>
          </w:p>
        </w:tc>
      </w:tr>
      <w:tr w:rsidR="00371DD7">
        <w:trPr>
          <w:jc w:val="center"/>
        </w:trPr>
        <w:tc>
          <w:tcPr>
            <w:tcW w:w="855" w:type="dxa"/>
            <w:vAlign w:val="center"/>
          </w:tcPr>
          <w:p w:rsidR="00371DD7" w:rsidRDefault="00A82F75">
            <w:pPr>
              <w:jc w:val="center"/>
            </w:pPr>
            <w:r>
              <w:rPr>
                <w:color w:val="000000"/>
                <w:sz w:val="24"/>
                <w:szCs w:val="24"/>
              </w:rPr>
              <w:t>2</w:t>
            </w:r>
          </w:p>
        </w:tc>
        <w:tc>
          <w:tcPr>
            <w:tcW w:w="1334" w:type="dxa"/>
            <w:vAlign w:val="center"/>
          </w:tcPr>
          <w:p w:rsidR="00371DD7" w:rsidRDefault="00A82F75">
            <w:pPr>
              <w:jc w:val="center"/>
            </w:pPr>
            <w:r>
              <w:rPr>
                <w:color w:val="000000"/>
                <w:sz w:val="24"/>
                <w:szCs w:val="24"/>
              </w:rPr>
              <w:t>H01918</w:t>
            </w:r>
          </w:p>
        </w:tc>
        <w:tc>
          <w:tcPr>
            <w:tcW w:w="1777" w:type="dxa"/>
            <w:vAlign w:val="center"/>
          </w:tcPr>
          <w:p w:rsidR="00371DD7" w:rsidRDefault="00A82F75">
            <w:pPr>
              <w:jc w:val="center"/>
            </w:pPr>
            <w:r>
              <w:rPr>
                <w:color w:val="000000"/>
                <w:sz w:val="24"/>
                <w:szCs w:val="24"/>
              </w:rPr>
              <w:t>融创中国</w:t>
            </w:r>
          </w:p>
        </w:tc>
        <w:tc>
          <w:tcPr>
            <w:tcW w:w="1334" w:type="dxa"/>
            <w:vAlign w:val="center"/>
          </w:tcPr>
          <w:p w:rsidR="00371DD7" w:rsidRDefault="00A82F75">
            <w:pPr>
              <w:jc w:val="right"/>
            </w:pPr>
            <w:r>
              <w:rPr>
                <w:color w:val="000000"/>
                <w:sz w:val="24"/>
                <w:szCs w:val="24"/>
              </w:rPr>
              <w:t>700,000</w:t>
            </w:r>
          </w:p>
        </w:tc>
        <w:tc>
          <w:tcPr>
            <w:tcW w:w="1924" w:type="dxa"/>
            <w:vAlign w:val="center"/>
          </w:tcPr>
          <w:p w:rsidR="00371DD7" w:rsidRDefault="00A82F75">
            <w:pPr>
              <w:jc w:val="right"/>
            </w:pPr>
            <w:r>
              <w:rPr>
                <w:color w:val="000000"/>
                <w:sz w:val="24"/>
                <w:szCs w:val="24"/>
              </w:rPr>
              <w:t>23,477,712.30</w:t>
            </w:r>
          </w:p>
        </w:tc>
        <w:tc>
          <w:tcPr>
            <w:tcW w:w="1644" w:type="dxa"/>
            <w:vAlign w:val="center"/>
          </w:tcPr>
          <w:p w:rsidR="00371DD7" w:rsidRDefault="00A82F75">
            <w:pPr>
              <w:jc w:val="right"/>
            </w:pPr>
            <w:r>
              <w:rPr>
                <w:color w:val="000000"/>
                <w:sz w:val="24"/>
                <w:szCs w:val="24"/>
              </w:rPr>
              <w:t>4.29</w:t>
            </w:r>
          </w:p>
        </w:tc>
      </w:tr>
      <w:tr w:rsidR="00371DD7">
        <w:trPr>
          <w:jc w:val="center"/>
        </w:trPr>
        <w:tc>
          <w:tcPr>
            <w:tcW w:w="855" w:type="dxa"/>
            <w:vAlign w:val="center"/>
          </w:tcPr>
          <w:p w:rsidR="00371DD7" w:rsidRDefault="00A82F75">
            <w:pPr>
              <w:jc w:val="center"/>
            </w:pPr>
            <w:r>
              <w:rPr>
                <w:color w:val="000000"/>
                <w:sz w:val="24"/>
                <w:szCs w:val="24"/>
              </w:rPr>
              <w:t>3</w:t>
            </w:r>
          </w:p>
        </w:tc>
        <w:tc>
          <w:tcPr>
            <w:tcW w:w="1334" w:type="dxa"/>
            <w:vAlign w:val="center"/>
          </w:tcPr>
          <w:p w:rsidR="00371DD7" w:rsidRDefault="00A82F75">
            <w:pPr>
              <w:jc w:val="center"/>
            </w:pPr>
            <w:r>
              <w:rPr>
                <w:color w:val="000000"/>
                <w:sz w:val="24"/>
                <w:szCs w:val="24"/>
              </w:rPr>
              <w:t>001979</w:t>
            </w:r>
          </w:p>
        </w:tc>
        <w:tc>
          <w:tcPr>
            <w:tcW w:w="1777" w:type="dxa"/>
            <w:vAlign w:val="center"/>
          </w:tcPr>
          <w:p w:rsidR="00371DD7" w:rsidRDefault="00A82F75">
            <w:pPr>
              <w:jc w:val="center"/>
            </w:pPr>
            <w:r>
              <w:rPr>
                <w:color w:val="000000"/>
                <w:sz w:val="24"/>
                <w:szCs w:val="24"/>
              </w:rPr>
              <w:t>招商蛇口</w:t>
            </w:r>
          </w:p>
        </w:tc>
        <w:tc>
          <w:tcPr>
            <w:tcW w:w="1334" w:type="dxa"/>
            <w:vAlign w:val="center"/>
          </w:tcPr>
          <w:p w:rsidR="00371DD7" w:rsidRDefault="00A82F75">
            <w:pPr>
              <w:jc w:val="right"/>
            </w:pPr>
            <w:r>
              <w:rPr>
                <w:color w:val="000000"/>
                <w:sz w:val="24"/>
                <w:szCs w:val="24"/>
              </w:rPr>
              <w:t>900,000</w:t>
            </w:r>
          </w:p>
        </w:tc>
        <w:tc>
          <w:tcPr>
            <w:tcW w:w="1924" w:type="dxa"/>
            <w:vAlign w:val="center"/>
          </w:tcPr>
          <w:p w:rsidR="00371DD7" w:rsidRDefault="00A82F75">
            <w:pPr>
              <w:jc w:val="right"/>
            </w:pPr>
            <w:r>
              <w:rPr>
                <w:color w:val="000000"/>
                <w:sz w:val="24"/>
                <w:szCs w:val="24"/>
              </w:rPr>
              <w:t>20,736,000.00</w:t>
            </w:r>
          </w:p>
        </w:tc>
        <w:tc>
          <w:tcPr>
            <w:tcW w:w="1644" w:type="dxa"/>
            <w:vAlign w:val="center"/>
          </w:tcPr>
          <w:p w:rsidR="00371DD7" w:rsidRDefault="00A82F75">
            <w:pPr>
              <w:jc w:val="right"/>
            </w:pPr>
            <w:r>
              <w:rPr>
                <w:color w:val="000000"/>
                <w:sz w:val="24"/>
                <w:szCs w:val="24"/>
              </w:rPr>
              <w:t>3.78</w:t>
            </w:r>
          </w:p>
        </w:tc>
      </w:tr>
      <w:tr w:rsidR="00371DD7">
        <w:trPr>
          <w:jc w:val="center"/>
        </w:trPr>
        <w:tc>
          <w:tcPr>
            <w:tcW w:w="855" w:type="dxa"/>
            <w:vAlign w:val="center"/>
          </w:tcPr>
          <w:p w:rsidR="00371DD7" w:rsidRDefault="00A82F75">
            <w:pPr>
              <w:jc w:val="center"/>
            </w:pPr>
            <w:r>
              <w:rPr>
                <w:color w:val="000000"/>
                <w:sz w:val="24"/>
                <w:szCs w:val="24"/>
              </w:rPr>
              <w:t>4</w:t>
            </w:r>
          </w:p>
        </w:tc>
        <w:tc>
          <w:tcPr>
            <w:tcW w:w="1334" w:type="dxa"/>
            <w:vAlign w:val="center"/>
          </w:tcPr>
          <w:p w:rsidR="00371DD7" w:rsidRDefault="00A82F75">
            <w:pPr>
              <w:jc w:val="center"/>
            </w:pPr>
            <w:r>
              <w:rPr>
                <w:color w:val="000000"/>
                <w:sz w:val="24"/>
                <w:szCs w:val="24"/>
              </w:rPr>
              <w:t>600031</w:t>
            </w:r>
          </w:p>
        </w:tc>
        <w:tc>
          <w:tcPr>
            <w:tcW w:w="1777" w:type="dxa"/>
            <w:vAlign w:val="center"/>
          </w:tcPr>
          <w:p w:rsidR="00371DD7" w:rsidRDefault="00A82F75">
            <w:pPr>
              <w:jc w:val="center"/>
            </w:pPr>
            <w:r>
              <w:rPr>
                <w:color w:val="000000"/>
                <w:sz w:val="24"/>
                <w:szCs w:val="24"/>
              </w:rPr>
              <w:t>三一重工</w:t>
            </w:r>
          </w:p>
        </w:tc>
        <w:tc>
          <w:tcPr>
            <w:tcW w:w="1334" w:type="dxa"/>
            <w:vAlign w:val="center"/>
          </w:tcPr>
          <w:p w:rsidR="00371DD7" w:rsidRDefault="00A82F75">
            <w:pPr>
              <w:jc w:val="right"/>
            </w:pPr>
            <w:r>
              <w:rPr>
                <w:color w:val="000000"/>
                <w:sz w:val="24"/>
                <w:szCs w:val="24"/>
              </w:rPr>
              <w:t>1,500,000</w:t>
            </w:r>
          </w:p>
        </w:tc>
        <w:tc>
          <w:tcPr>
            <w:tcW w:w="1924" w:type="dxa"/>
            <w:vAlign w:val="center"/>
          </w:tcPr>
          <w:p w:rsidR="00371DD7" w:rsidRDefault="00A82F75">
            <w:pPr>
              <w:jc w:val="right"/>
            </w:pPr>
            <w:r>
              <w:rPr>
                <w:color w:val="000000"/>
                <w:sz w:val="24"/>
                <w:szCs w:val="24"/>
              </w:rPr>
              <w:t>19,170,000.00</w:t>
            </w:r>
          </w:p>
        </w:tc>
        <w:tc>
          <w:tcPr>
            <w:tcW w:w="1644" w:type="dxa"/>
            <w:vAlign w:val="center"/>
          </w:tcPr>
          <w:p w:rsidR="00371DD7" w:rsidRDefault="00A82F75">
            <w:pPr>
              <w:jc w:val="right"/>
            </w:pPr>
            <w:r>
              <w:rPr>
                <w:color w:val="000000"/>
                <w:sz w:val="24"/>
                <w:szCs w:val="24"/>
              </w:rPr>
              <w:t>3.50</w:t>
            </w:r>
          </w:p>
        </w:tc>
      </w:tr>
      <w:tr w:rsidR="00371DD7">
        <w:trPr>
          <w:jc w:val="center"/>
        </w:trPr>
        <w:tc>
          <w:tcPr>
            <w:tcW w:w="855" w:type="dxa"/>
            <w:vAlign w:val="center"/>
          </w:tcPr>
          <w:p w:rsidR="00371DD7" w:rsidRDefault="00A82F75">
            <w:pPr>
              <w:jc w:val="center"/>
            </w:pPr>
            <w:r>
              <w:rPr>
                <w:color w:val="000000"/>
                <w:sz w:val="24"/>
                <w:szCs w:val="24"/>
              </w:rPr>
              <w:t>5</w:t>
            </w:r>
          </w:p>
        </w:tc>
        <w:tc>
          <w:tcPr>
            <w:tcW w:w="1334" w:type="dxa"/>
            <w:vAlign w:val="center"/>
          </w:tcPr>
          <w:p w:rsidR="00371DD7" w:rsidRDefault="00A82F75">
            <w:pPr>
              <w:jc w:val="center"/>
            </w:pPr>
            <w:r>
              <w:rPr>
                <w:color w:val="000000"/>
                <w:sz w:val="24"/>
                <w:szCs w:val="24"/>
              </w:rPr>
              <w:t>H00388</w:t>
            </w:r>
          </w:p>
        </w:tc>
        <w:tc>
          <w:tcPr>
            <w:tcW w:w="1777" w:type="dxa"/>
            <w:vAlign w:val="center"/>
          </w:tcPr>
          <w:p w:rsidR="00371DD7" w:rsidRDefault="00A82F75">
            <w:pPr>
              <w:jc w:val="center"/>
            </w:pPr>
            <w:r>
              <w:rPr>
                <w:color w:val="000000"/>
                <w:sz w:val="24"/>
                <w:szCs w:val="24"/>
              </w:rPr>
              <w:t>香港交易所</w:t>
            </w:r>
          </w:p>
        </w:tc>
        <w:tc>
          <w:tcPr>
            <w:tcW w:w="1334" w:type="dxa"/>
            <w:vAlign w:val="center"/>
          </w:tcPr>
          <w:p w:rsidR="00371DD7" w:rsidRDefault="00A82F75">
            <w:pPr>
              <w:jc w:val="right"/>
            </w:pPr>
            <w:r>
              <w:rPr>
                <w:color w:val="000000"/>
                <w:sz w:val="24"/>
                <w:szCs w:val="24"/>
              </w:rPr>
              <w:t>80,000</w:t>
            </w:r>
          </w:p>
        </w:tc>
        <w:tc>
          <w:tcPr>
            <w:tcW w:w="1924" w:type="dxa"/>
            <w:vAlign w:val="center"/>
          </w:tcPr>
          <w:p w:rsidR="00371DD7" w:rsidRDefault="00A82F75">
            <w:pPr>
              <w:jc w:val="right"/>
            </w:pPr>
            <w:r>
              <w:rPr>
                <w:color w:val="000000"/>
                <w:sz w:val="24"/>
                <w:szCs w:val="24"/>
              </w:rPr>
              <w:t>18,775,307.52</w:t>
            </w:r>
          </w:p>
        </w:tc>
        <w:tc>
          <w:tcPr>
            <w:tcW w:w="1644" w:type="dxa"/>
            <w:vAlign w:val="center"/>
          </w:tcPr>
          <w:p w:rsidR="00371DD7" w:rsidRDefault="00A82F75">
            <w:pPr>
              <w:jc w:val="right"/>
            </w:pPr>
            <w:r>
              <w:rPr>
                <w:color w:val="000000"/>
                <w:sz w:val="24"/>
                <w:szCs w:val="24"/>
              </w:rPr>
              <w:t>3.43</w:t>
            </w:r>
          </w:p>
        </w:tc>
      </w:tr>
      <w:tr w:rsidR="00371DD7">
        <w:trPr>
          <w:jc w:val="center"/>
        </w:trPr>
        <w:tc>
          <w:tcPr>
            <w:tcW w:w="855" w:type="dxa"/>
            <w:vAlign w:val="center"/>
          </w:tcPr>
          <w:p w:rsidR="00371DD7" w:rsidRDefault="00A82F75">
            <w:pPr>
              <w:jc w:val="center"/>
            </w:pPr>
            <w:r>
              <w:rPr>
                <w:color w:val="000000"/>
                <w:sz w:val="24"/>
                <w:szCs w:val="24"/>
              </w:rPr>
              <w:t>6</w:t>
            </w:r>
          </w:p>
        </w:tc>
        <w:tc>
          <w:tcPr>
            <w:tcW w:w="1334" w:type="dxa"/>
            <w:vAlign w:val="center"/>
          </w:tcPr>
          <w:p w:rsidR="00371DD7" w:rsidRDefault="00A82F75">
            <w:pPr>
              <w:jc w:val="center"/>
            </w:pPr>
            <w:r>
              <w:rPr>
                <w:color w:val="000000"/>
                <w:sz w:val="24"/>
                <w:szCs w:val="24"/>
              </w:rPr>
              <w:t>002044</w:t>
            </w:r>
          </w:p>
        </w:tc>
        <w:tc>
          <w:tcPr>
            <w:tcW w:w="1777" w:type="dxa"/>
            <w:vAlign w:val="center"/>
          </w:tcPr>
          <w:p w:rsidR="00371DD7" w:rsidRDefault="00A82F75">
            <w:pPr>
              <w:jc w:val="center"/>
            </w:pPr>
            <w:r>
              <w:rPr>
                <w:color w:val="000000"/>
                <w:sz w:val="24"/>
                <w:szCs w:val="24"/>
              </w:rPr>
              <w:t>美年健康</w:t>
            </w:r>
          </w:p>
        </w:tc>
        <w:tc>
          <w:tcPr>
            <w:tcW w:w="1334" w:type="dxa"/>
            <w:vAlign w:val="center"/>
          </w:tcPr>
          <w:p w:rsidR="00371DD7" w:rsidRDefault="00A82F75">
            <w:pPr>
              <w:jc w:val="right"/>
            </w:pPr>
            <w:r>
              <w:rPr>
                <w:color w:val="000000"/>
                <w:sz w:val="24"/>
                <w:szCs w:val="24"/>
              </w:rPr>
              <w:t>1,000,000</w:t>
            </w:r>
          </w:p>
        </w:tc>
        <w:tc>
          <w:tcPr>
            <w:tcW w:w="1924" w:type="dxa"/>
            <w:vAlign w:val="center"/>
          </w:tcPr>
          <w:p w:rsidR="00371DD7" w:rsidRDefault="00A82F75">
            <w:pPr>
              <w:jc w:val="right"/>
            </w:pPr>
            <w:r>
              <w:rPr>
                <w:color w:val="000000"/>
                <w:sz w:val="24"/>
                <w:szCs w:val="24"/>
              </w:rPr>
              <w:t>18,590,000.00</w:t>
            </w:r>
          </w:p>
        </w:tc>
        <w:tc>
          <w:tcPr>
            <w:tcW w:w="1644" w:type="dxa"/>
            <w:vAlign w:val="center"/>
          </w:tcPr>
          <w:p w:rsidR="00371DD7" w:rsidRDefault="00A82F75">
            <w:pPr>
              <w:jc w:val="right"/>
            </w:pPr>
            <w:r>
              <w:rPr>
                <w:color w:val="000000"/>
                <w:sz w:val="24"/>
                <w:szCs w:val="24"/>
              </w:rPr>
              <w:t>3.39</w:t>
            </w:r>
          </w:p>
        </w:tc>
      </w:tr>
      <w:tr w:rsidR="00371DD7">
        <w:trPr>
          <w:jc w:val="center"/>
        </w:trPr>
        <w:tc>
          <w:tcPr>
            <w:tcW w:w="855" w:type="dxa"/>
            <w:vAlign w:val="center"/>
          </w:tcPr>
          <w:p w:rsidR="00371DD7" w:rsidRDefault="00A82F75">
            <w:pPr>
              <w:jc w:val="center"/>
            </w:pPr>
            <w:r>
              <w:rPr>
                <w:color w:val="000000"/>
                <w:sz w:val="24"/>
                <w:szCs w:val="24"/>
              </w:rPr>
              <w:t>7</w:t>
            </w:r>
          </w:p>
        </w:tc>
        <w:tc>
          <w:tcPr>
            <w:tcW w:w="1334" w:type="dxa"/>
            <w:vAlign w:val="center"/>
          </w:tcPr>
          <w:p w:rsidR="00371DD7" w:rsidRDefault="00A82F75">
            <w:pPr>
              <w:jc w:val="center"/>
            </w:pPr>
            <w:r>
              <w:rPr>
                <w:color w:val="000000"/>
                <w:sz w:val="24"/>
                <w:szCs w:val="24"/>
              </w:rPr>
              <w:t>H00700</w:t>
            </w:r>
          </w:p>
        </w:tc>
        <w:tc>
          <w:tcPr>
            <w:tcW w:w="1777" w:type="dxa"/>
            <w:vAlign w:val="center"/>
          </w:tcPr>
          <w:p w:rsidR="00371DD7" w:rsidRDefault="00A82F75">
            <w:pPr>
              <w:jc w:val="center"/>
            </w:pPr>
            <w:r>
              <w:rPr>
                <w:color w:val="000000"/>
                <w:sz w:val="24"/>
                <w:szCs w:val="24"/>
              </w:rPr>
              <w:t>腾讯控股</w:t>
            </w:r>
          </w:p>
        </w:tc>
        <w:tc>
          <w:tcPr>
            <w:tcW w:w="1334" w:type="dxa"/>
            <w:vAlign w:val="center"/>
          </w:tcPr>
          <w:p w:rsidR="00371DD7" w:rsidRDefault="00A82F75">
            <w:pPr>
              <w:jc w:val="right"/>
            </w:pPr>
            <w:r>
              <w:rPr>
                <w:color w:val="000000"/>
                <w:sz w:val="24"/>
                <w:szCs w:val="24"/>
              </w:rPr>
              <w:t>60,000</w:t>
            </w:r>
          </w:p>
        </w:tc>
        <w:tc>
          <w:tcPr>
            <w:tcW w:w="1924" w:type="dxa"/>
            <w:vAlign w:val="center"/>
          </w:tcPr>
          <w:p w:rsidR="00371DD7" w:rsidRDefault="00A82F75">
            <w:pPr>
              <w:jc w:val="right"/>
            </w:pPr>
            <w:r>
              <w:rPr>
                <w:color w:val="000000"/>
                <w:sz w:val="24"/>
                <w:szCs w:val="24"/>
              </w:rPr>
              <w:t>18,579,731.40</w:t>
            </w:r>
          </w:p>
        </w:tc>
        <w:tc>
          <w:tcPr>
            <w:tcW w:w="1644" w:type="dxa"/>
            <w:vAlign w:val="center"/>
          </w:tcPr>
          <w:p w:rsidR="00371DD7" w:rsidRDefault="00A82F75">
            <w:pPr>
              <w:jc w:val="right"/>
            </w:pPr>
            <w:r>
              <w:rPr>
                <w:color w:val="000000"/>
                <w:sz w:val="24"/>
                <w:szCs w:val="24"/>
              </w:rPr>
              <w:t>3.39</w:t>
            </w:r>
          </w:p>
        </w:tc>
      </w:tr>
      <w:tr w:rsidR="00371DD7">
        <w:trPr>
          <w:jc w:val="center"/>
        </w:trPr>
        <w:tc>
          <w:tcPr>
            <w:tcW w:w="855" w:type="dxa"/>
            <w:vAlign w:val="center"/>
          </w:tcPr>
          <w:p w:rsidR="00371DD7" w:rsidRDefault="00A82F75">
            <w:pPr>
              <w:jc w:val="center"/>
            </w:pPr>
            <w:r>
              <w:rPr>
                <w:color w:val="000000"/>
                <w:sz w:val="24"/>
                <w:szCs w:val="24"/>
              </w:rPr>
              <w:t>8</w:t>
            </w:r>
          </w:p>
        </w:tc>
        <w:tc>
          <w:tcPr>
            <w:tcW w:w="1334" w:type="dxa"/>
            <w:vAlign w:val="center"/>
          </w:tcPr>
          <w:p w:rsidR="00371DD7" w:rsidRDefault="00A82F75">
            <w:pPr>
              <w:jc w:val="center"/>
            </w:pPr>
            <w:r>
              <w:rPr>
                <w:color w:val="000000"/>
                <w:sz w:val="24"/>
                <w:szCs w:val="24"/>
              </w:rPr>
              <w:t>000338</w:t>
            </w:r>
          </w:p>
        </w:tc>
        <w:tc>
          <w:tcPr>
            <w:tcW w:w="1777" w:type="dxa"/>
            <w:vAlign w:val="center"/>
          </w:tcPr>
          <w:p w:rsidR="00371DD7" w:rsidRDefault="00A82F75">
            <w:pPr>
              <w:jc w:val="center"/>
            </w:pPr>
            <w:r>
              <w:rPr>
                <w:color w:val="000000"/>
                <w:sz w:val="24"/>
                <w:szCs w:val="24"/>
              </w:rPr>
              <w:t>潍柴动力</w:t>
            </w:r>
          </w:p>
        </w:tc>
        <w:tc>
          <w:tcPr>
            <w:tcW w:w="1334" w:type="dxa"/>
            <w:vAlign w:val="center"/>
          </w:tcPr>
          <w:p w:rsidR="00371DD7" w:rsidRDefault="00A82F75">
            <w:pPr>
              <w:jc w:val="right"/>
            </w:pPr>
            <w:r>
              <w:rPr>
                <w:color w:val="000000"/>
                <w:sz w:val="24"/>
                <w:szCs w:val="24"/>
              </w:rPr>
              <w:t>1,499,957</w:t>
            </w:r>
          </w:p>
        </w:tc>
        <w:tc>
          <w:tcPr>
            <w:tcW w:w="1924" w:type="dxa"/>
            <w:vAlign w:val="center"/>
          </w:tcPr>
          <w:p w:rsidR="00371DD7" w:rsidRDefault="00A82F75">
            <w:pPr>
              <w:jc w:val="right"/>
            </w:pPr>
            <w:r>
              <w:rPr>
                <w:color w:val="000000"/>
                <w:sz w:val="24"/>
                <w:szCs w:val="24"/>
              </w:rPr>
              <w:t>17,774,490.45</w:t>
            </w:r>
          </w:p>
        </w:tc>
        <w:tc>
          <w:tcPr>
            <w:tcW w:w="1644" w:type="dxa"/>
            <w:vAlign w:val="center"/>
          </w:tcPr>
          <w:p w:rsidR="00371DD7" w:rsidRDefault="00A82F75">
            <w:pPr>
              <w:jc w:val="right"/>
            </w:pPr>
            <w:r>
              <w:rPr>
                <w:color w:val="000000"/>
                <w:sz w:val="24"/>
                <w:szCs w:val="24"/>
              </w:rPr>
              <w:t>3.24</w:t>
            </w:r>
          </w:p>
        </w:tc>
      </w:tr>
      <w:tr w:rsidR="00371DD7">
        <w:trPr>
          <w:jc w:val="center"/>
        </w:trPr>
        <w:tc>
          <w:tcPr>
            <w:tcW w:w="855" w:type="dxa"/>
            <w:vAlign w:val="center"/>
          </w:tcPr>
          <w:p w:rsidR="00371DD7" w:rsidRDefault="00A82F75">
            <w:pPr>
              <w:jc w:val="center"/>
            </w:pPr>
            <w:r>
              <w:rPr>
                <w:color w:val="000000"/>
                <w:sz w:val="24"/>
                <w:szCs w:val="24"/>
              </w:rPr>
              <w:t>9</w:t>
            </w:r>
          </w:p>
        </w:tc>
        <w:tc>
          <w:tcPr>
            <w:tcW w:w="1334" w:type="dxa"/>
            <w:vAlign w:val="center"/>
          </w:tcPr>
          <w:p w:rsidR="00371DD7" w:rsidRDefault="00A82F75">
            <w:pPr>
              <w:jc w:val="center"/>
            </w:pPr>
            <w:r>
              <w:rPr>
                <w:color w:val="000000"/>
                <w:sz w:val="24"/>
                <w:szCs w:val="24"/>
              </w:rPr>
              <w:t>601933</w:t>
            </w:r>
          </w:p>
        </w:tc>
        <w:tc>
          <w:tcPr>
            <w:tcW w:w="1777" w:type="dxa"/>
            <w:vAlign w:val="center"/>
          </w:tcPr>
          <w:p w:rsidR="00371DD7" w:rsidRDefault="00A82F75">
            <w:pPr>
              <w:jc w:val="center"/>
            </w:pPr>
            <w:r>
              <w:rPr>
                <w:color w:val="000000"/>
                <w:sz w:val="24"/>
                <w:szCs w:val="24"/>
              </w:rPr>
              <w:t>永辉超市</w:t>
            </w:r>
          </w:p>
        </w:tc>
        <w:tc>
          <w:tcPr>
            <w:tcW w:w="1334" w:type="dxa"/>
            <w:vAlign w:val="center"/>
          </w:tcPr>
          <w:p w:rsidR="00371DD7" w:rsidRDefault="00A82F75">
            <w:pPr>
              <w:jc w:val="right"/>
            </w:pPr>
            <w:r>
              <w:rPr>
                <w:color w:val="000000"/>
                <w:sz w:val="24"/>
                <w:szCs w:val="24"/>
              </w:rPr>
              <w:t>2,000,000</w:t>
            </w:r>
          </w:p>
        </w:tc>
        <w:tc>
          <w:tcPr>
            <w:tcW w:w="1924" w:type="dxa"/>
            <w:vAlign w:val="center"/>
          </w:tcPr>
          <w:p w:rsidR="00371DD7" w:rsidRDefault="00A82F75">
            <w:pPr>
              <w:jc w:val="right"/>
            </w:pPr>
            <w:r>
              <w:rPr>
                <w:color w:val="000000"/>
                <w:sz w:val="24"/>
                <w:szCs w:val="24"/>
              </w:rPr>
              <w:t>17,280,000.00</w:t>
            </w:r>
          </w:p>
        </w:tc>
        <w:tc>
          <w:tcPr>
            <w:tcW w:w="1644" w:type="dxa"/>
            <w:vAlign w:val="center"/>
          </w:tcPr>
          <w:p w:rsidR="00371DD7" w:rsidRDefault="00A82F75">
            <w:pPr>
              <w:jc w:val="right"/>
            </w:pPr>
            <w:r>
              <w:rPr>
                <w:color w:val="000000"/>
                <w:sz w:val="24"/>
                <w:szCs w:val="24"/>
              </w:rPr>
              <w:t>3.15</w:t>
            </w:r>
          </w:p>
        </w:tc>
      </w:tr>
      <w:tr w:rsidR="00371DD7">
        <w:trPr>
          <w:jc w:val="center"/>
        </w:trPr>
        <w:tc>
          <w:tcPr>
            <w:tcW w:w="855" w:type="dxa"/>
            <w:vAlign w:val="center"/>
          </w:tcPr>
          <w:p w:rsidR="00371DD7" w:rsidRDefault="00A82F75">
            <w:pPr>
              <w:jc w:val="center"/>
            </w:pPr>
            <w:r>
              <w:rPr>
                <w:color w:val="000000"/>
                <w:sz w:val="24"/>
                <w:szCs w:val="24"/>
              </w:rPr>
              <w:t>10</w:t>
            </w:r>
          </w:p>
        </w:tc>
        <w:tc>
          <w:tcPr>
            <w:tcW w:w="1334" w:type="dxa"/>
            <w:vAlign w:val="center"/>
          </w:tcPr>
          <w:p w:rsidR="00371DD7" w:rsidRDefault="00A82F75">
            <w:pPr>
              <w:jc w:val="center"/>
            </w:pPr>
            <w:r>
              <w:rPr>
                <w:color w:val="000000"/>
                <w:sz w:val="24"/>
                <w:szCs w:val="24"/>
              </w:rPr>
              <w:t>600036</w:t>
            </w:r>
          </w:p>
        </w:tc>
        <w:tc>
          <w:tcPr>
            <w:tcW w:w="1777" w:type="dxa"/>
            <w:vAlign w:val="center"/>
          </w:tcPr>
          <w:p w:rsidR="00371DD7" w:rsidRDefault="00A82F75">
            <w:pPr>
              <w:jc w:val="center"/>
            </w:pPr>
            <w:r>
              <w:rPr>
                <w:color w:val="000000"/>
                <w:sz w:val="24"/>
                <w:szCs w:val="24"/>
              </w:rPr>
              <w:t>招商银行</w:t>
            </w:r>
          </w:p>
        </w:tc>
        <w:tc>
          <w:tcPr>
            <w:tcW w:w="1334" w:type="dxa"/>
            <w:vAlign w:val="center"/>
          </w:tcPr>
          <w:p w:rsidR="00371DD7" w:rsidRDefault="00A82F75">
            <w:pPr>
              <w:jc w:val="right"/>
            </w:pPr>
            <w:r>
              <w:rPr>
                <w:color w:val="000000"/>
                <w:sz w:val="24"/>
                <w:szCs w:val="24"/>
              </w:rPr>
              <w:t>507,400</w:t>
            </w:r>
          </w:p>
        </w:tc>
        <w:tc>
          <w:tcPr>
            <w:tcW w:w="1924" w:type="dxa"/>
            <w:vAlign w:val="center"/>
          </w:tcPr>
          <w:p w:rsidR="00371DD7" w:rsidRDefault="00A82F75">
            <w:pPr>
              <w:jc w:val="right"/>
            </w:pPr>
            <w:r>
              <w:rPr>
                <w:color w:val="000000"/>
                <w:sz w:val="24"/>
                <w:szCs w:val="24"/>
              </w:rPr>
              <w:t>17,211,008.00</w:t>
            </w:r>
          </w:p>
        </w:tc>
        <w:tc>
          <w:tcPr>
            <w:tcW w:w="1644" w:type="dxa"/>
            <w:vAlign w:val="center"/>
          </w:tcPr>
          <w:p w:rsidR="00371DD7" w:rsidRDefault="00A82F75">
            <w:pPr>
              <w:jc w:val="right"/>
            </w:pPr>
            <w:r>
              <w:rPr>
                <w:color w:val="000000"/>
                <w:sz w:val="24"/>
                <w:szCs w:val="24"/>
              </w:rPr>
              <w:t>3.14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28,852,100.00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28,852,100.00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71DD7">
        <w:trPr>
          <w:jc w:val="center"/>
        </w:trPr>
        <w:tc>
          <w:tcPr>
            <w:tcW w:w="850" w:type="dxa"/>
            <w:vAlign w:val="center"/>
          </w:tcPr>
          <w:p w:rsidR="00371DD7" w:rsidRDefault="00A82F75">
            <w:pPr>
              <w:jc w:val="center"/>
            </w:pPr>
            <w:r>
              <w:rPr>
                <w:color w:val="000000"/>
                <w:sz w:val="24"/>
                <w:szCs w:val="24"/>
              </w:rPr>
              <w:t>1</w:t>
            </w:r>
          </w:p>
        </w:tc>
        <w:tc>
          <w:tcPr>
            <w:tcW w:w="1475" w:type="dxa"/>
            <w:vAlign w:val="center"/>
          </w:tcPr>
          <w:p w:rsidR="00371DD7" w:rsidRDefault="00A82F75">
            <w:pPr>
              <w:jc w:val="center"/>
            </w:pPr>
            <w:r>
              <w:rPr>
                <w:color w:val="000000"/>
                <w:sz w:val="24"/>
                <w:szCs w:val="24"/>
              </w:rPr>
              <w:t>199908</w:t>
            </w:r>
          </w:p>
        </w:tc>
        <w:tc>
          <w:tcPr>
            <w:tcW w:w="1769" w:type="dxa"/>
            <w:vAlign w:val="center"/>
          </w:tcPr>
          <w:p w:rsidR="00371DD7" w:rsidRDefault="00A82F75">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371DD7" w:rsidRDefault="00A82F75">
            <w:pPr>
              <w:jc w:val="right"/>
            </w:pPr>
            <w:r>
              <w:rPr>
                <w:color w:val="000000"/>
                <w:sz w:val="24"/>
                <w:szCs w:val="24"/>
              </w:rPr>
              <w:t>290,000</w:t>
            </w:r>
          </w:p>
        </w:tc>
        <w:tc>
          <w:tcPr>
            <w:tcW w:w="2150" w:type="dxa"/>
            <w:vAlign w:val="center"/>
          </w:tcPr>
          <w:p w:rsidR="00371DD7" w:rsidRDefault="00A82F75">
            <w:pPr>
              <w:jc w:val="right"/>
            </w:pPr>
            <w:r>
              <w:rPr>
                <w:color w:val="000000"/>
                <w:sz w:val="24"/>
                <w:szCs w:val="24"/>
              </w:rPr>
              <w:t>28,852,100.00</w:t>
            </w:r>
          </w:p>
        </w:tc>
        <w:tc>
          <w:tcPr>
            <w:tcW w:w="1237" w:type="dxa"/>
            <w:vAlign w:val="center"/>
          </w:tcPr>
          <w:p w:rsidR="00371DD7" w:rsidRDefault="00A82F75">
            <w:pPr>
              <w:jc w:val="right"/>
            </w:pPr>
            <w:r>
              <w:rPr>
                <w:color w:val="000000"/>
                <w:sz w:val="24"/>
                <w:szCs w:val="24"/>
              </w:rPr>
              <w:t>5.27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601,085.28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82,827.46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3,124,184.56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3,808,097.30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780,567,196.69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55,112,296.77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基金合同生效日起至报告期期末</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315,946,565.59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基金合同生效日起至报告期期末</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519,732,927.87</w:t>
            </w:r>
          </w:p>
        </w:tc>
      </w:tr>
    </w:tbl>
    <w:p w:rsidR="00371DD7" w:rsidRDefault="00A82F7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 xml:space="preserve"> </w:t>
      </w: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71DD7" w:rsidRDefault="00A82F7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、中国证监会准予交银施罗德核心资产混合型证券投资基金募集注册的文件；</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、《交银施罗德核心资产混合型证券投资基金基金合同》；</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、《交银施罗德核心资产混合型证券投资基金招募说明书》；</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、《交银施罗德核心资产混合型证券投资基金托管协议》；</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、关于申请募集注册交银施罗德核心资产混合型证券投资基金的法律意见书；</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71DD7" w:rsidRDefault="00A82F7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、报告期内交银施罗德核心资产混合型证券投资基金在指定报刊上各项公告的原稿。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71DD7" w:rsidRDefault="00A82F7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4D6" w:rsidRDefault="001514D6" w:rsidP="00876D65">
      <w:r>
        <w:separator/>
      </w:r>
    </w:p>
  </w:endnote>
  <w:endnote w:type="continuationSeparator" w:id="0">
    <w:p w:rsidR="001514D6" w:rsidRDefault="001514D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91B37">
      <w:rPr>
        <w:noProof/>
        <w:kern w:val="0"/>
        <w:szCs w:val="21"/>
      </w:rPr>
      <w:t>3</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91B37">
      <w:rPr>
        <w:noProof/>
        <w:kern w:val="0"/>
        <w:szCs w:val="21"/>
      </w:rPr>
      <w:t>13</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4D6" w:rsidRDefault="001514D6" w:rsidP="00876D65">
      <w:r>
        <w:separator/>
      </w:r>
    </w:p>
  </w:footnote>
  <w:footnote w:type="continuationSeparator" w:id="0">
    <w:p w:rsidR="001514D6" w:rsidRDefault="001514D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交银施罗德核心资产混合型证券投资基金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14D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1DD7"/>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2F75"/>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DF771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91B37"/>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2A55F9F7-E528-4B3F-853A-BBAD4FD80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 w:type="paragraph" w:styleId="afc">
    <w:name w:val="Revision"/>
    <w:hidden/>
    <w:uiPriority w:val="99"/>
    <w:semiHidden/>
    <w:rsid w:val="00DF7713"/>
    <w:rPr>
      <w:rFonts w:ascii="Times New Roman" w:eastAsia="宋体"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E5AAB-B537-4BFE-A83F-0FD0AA768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1817</TotalTime>
  <Pages>13</Pages>
  <Words>1093</Words>
  <Characters>6231</Characters>
  <Application>Microsoft Office Word</Application>
  <DocSecurity>0</DocSecurity>
  <Lines>51</Lines>
  <Paragraphs>14</Paragraphs>
  <ScaleCrop>false</ScaleCrop>
  <Company/>
  <LinksUpToDate>false</LinksUpToDate>
  <CharactersWithSpaces>7310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581</cp:revision>
  <dcterms:created xsi:type="dcterms:W3CDTF">2012-10-16T06:07:00Z</dcterms:created>
  <dcterms:modified xsi:type="dcterms:W3CDTF">2019-04-18T01:41:00Z</dcterms:modified>
</cp:coreProperties>
</file>