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交银施罗德经济新动力混合型证券投资基金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2019年第1季度报告</w:t>
      </w:r>
    </w:p>
    <w:p w:rsidP="00C15CAC" w:rsidR="004061AC" w:rsidRDefault="00655CD8" w:rsidRPr="0081286B">
      <w:pPr>
        <w:spacing w:before="29" w:line="288" w:lineRule="auto"/>
        <w:jc w:val="center"/>
        <w:rPr>
          <w:b/>
          <w:sz w:val="36"/>
          <w:szCs w:val="36"/>
        </w:rPr>
      </w:pPr>
      <w:r w:rsidRPr="0081286B">
        <w:rPr>
          <w:b/>
          <w:sz w:val="36"/>
          <w:szCs w:val="36"/>
        </w:rPr>
        <w:t>2019年3月31日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二〇一九年四月二十日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2016年10月20日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519,708,628.38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(2019年1月1日-2019年3月31日)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6,053,557.35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82,468,771.99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0.3940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745,562,672.02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1.4346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45.20%</w:t>
            </w:r>
          </w:p>
        </w:tc>
        <w:tc>
          <w:tcPr>
            <w:vAlign w:val="center"/>
          </w:tcPr>
          <w:p>
            <w:pPr>
              <w:jc w:val="center"/>
            </w:pPr>
            <w:r>
              <w:rPr>
                <w:color w:val="000000"/>
                <w:sz w:val="24"/>
                <w:szCs w:val="24"/>
              </w:rPr>
              <w:t>1.68%</w:t>
            </w:r>
          </w:p>
        </w:tc>
        <w:tc>
          <w:tcPr>
            <w:vAlign w:val="center"/>
          </w:tcPr>
          <w:p>
            <w:pPr>
              <w:jc w:val="center"/>
            </w:pPr>
            <w:r>
              <w:rPr>
                <w:color w:val="000000"/>
                <w:sz w:val="24"/>
                <w:szCs w:val="24"/>
              </w:rPr>
              <w:t>17.14%</w:t>
            </w:r>
          </w:p>
        </w:tc>
        <w:tc>
          <w:tcPr>
            <w:vAlign w:val="center"/>
          </w:tcPr>
          <w:p>
            <w:pPr>
              <w:jc w:val="center"/>
            </w:pPr>
            <w:r>
              <w:rPr>
                <w:color w:val="000000"/>
                <w:sz w:val="24"/>
                <w:szCs w:val="24"/>
              </w:rPr>
              <w:t>0.93%</w:t>
            </w:r>
          </w:p>
        </w:tc>
        <w:tc>
          <w:tcPr>
            <w:vAlign w:val="center"/>
          </w:tcPr>
          <w:p>
            <w:pPr>
              <w:jc w:val="center"/>
            </w:pPr>
            <w:r>
              <w:rPr>
                <w:color w:val="000000"/>
                <w:sz w:val="24"/>
                <w:szCs w:val="24"/>
              </w:rPr>
              <w:t>28.06%</w:t>
            </w:r>
          </w:p>
        </w:tc>
        <w:tc>
          <w:tcPr>
            <w:vAlign w:val="center"/>
          </w:tcPr>
          <w:p>
            <w:pPr>
              <w:jc w:val="center"/>
            </w:pPr>
            <w:r>
              <w:rPr>
                <w:color w:val="000000"/>
                <w:sz w:val="24"/>
                <w:szCs w:val="24"/>
              </w:rPr>
              <w:t>0.75%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交银施罗德经济新动力混合型证券投资基金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2016年10月20日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交银成长30混合、交银经济新动力混合的基金经理</w:t>
            </w:r>
          </w:p>
        </w:tc>
        <w:tc>
          <w:tcPr>
            <w:vAlign w:val="center"/>
          </w:tcPr>
          <w:p>
            <w:pPr>
              <w:jc w:val="center"/>
            </w:pPr>
            <w:r>
              <w:rPr>
                <w:color w:val="000000"/>
                <w:sz w:val="24"/>
                <w:szCs w:val="24"/>
              </w:rPr>
              <w:t>2018-06-02</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2019年一季度，A股市场在全球风险偏好修复的大环境下迎来了久违的小阳春，较为宽松的货币环境以及优于预期的数据改善共同催生了“价值搭台、成长唱戏”的局面。</w:t>
      </w:r>
    </w:p>
    <w:p>
      <w:pPr>
        <w:spacing w:before="29" w:line="288" w:lineRule="auto"/>
        <w:ind w:firstLine="480" w:firstLineChars="200"/>
        <w:rPr>
          <w:color w:val="000000"/>
          <w:sz w:val="24"/>
          <w:szCs w:val="24"/>
        </w:rPr>
      </w:pPr>
      <w:r>
        <w:rPr>
          <w:color w:val="000000"/>
          <w:sz w:val="24"/>
          <w:szCs w:val="24"/>
        </w:rPr>
        <w:t>报告期内，本基金较早提升了仓位，重点配置了新能源汽车、智能装备、创新硬件、5G以及产业信息化等领域的成长股及以地产为代表的逆周期蓝筹品种。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二季度，我们认为市场机遇与风险并存，重点关注经济止跌企稳的预期何时会被证实或证伪。在日渐升温的市场热情下，我们仍看到一批估值具备吸引力的优质成长股的存在，它们或顺应产业爆发的趋势，或有望成长为细分行业的隐形冠军。同时，以地产为代表的逆周期蓝筹品种仍然具备配置的价值。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669,235,859.01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88.58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669,235,859.01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88.58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82,537,851.20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10.92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3,774,020.86</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0.50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755,547,731.07</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20,403,984.48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478,354,516.79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64.16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26,350,585.00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20,833,445.60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68,268,963.14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134,343.00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50,660,341.00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4,229,680.00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669,235,859.01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89.76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2,923,093</w:t>
            </w:r>
          </w:p>
        </w:tc>
        <w:tc>
          <w:tcPr>
            <w:vAlign w:val="center"/>
          </w:tcPr>
          <w:p>
            <w:pPr>
              <w:jc w:val="right"/>
            </w:pPr>
            <w:r>
              <w:rPr>
                <w:color w:val="000000"/>
                <w:sz w:val="24"/>
                <w:szCs w:val="24"/>
              </w:rPr>
              <w:t>71,265,007.34</w:t>
            </w:r>
          </w:p>
        </w:tc>
        <w:tc>
          <w:tcPr>
            <w:vAlign w:val="center"/>
          </w:tcPr>
          <w:p>
            <w:pPr>
              <w:jc w:val="right"/>
            </w:pPr>
            <w:r>
              <w:rPr>
                <w:color w:val="000000"/>
                <w:sz w:val="24"/>
                <w:szCs w:val="24"/>
              </w:rPr>
              <w:t>9.56</w:t>
            </w:r>
          </w:p>
        </w:tc>
      </w:tr>
      <w:tr>
        <w:tc>
          <w:tcPr>
            <w:vAlign w:val="center"/>
          </w:tcPr>
          <w:p>
            <w:pPr>
              <w:jc w:val="center"/>
            </w:pPr>
            <w:r>
              <w:rPr>
                <w:color w:val="000000"/>
                <w:sz w:val="24"/>
                <w:szCs w:val="24"/>
              </w:rPr>
              <w:t>2</w:t>
            </w:r>
          </w:p>
        </w:tc>
        <w:tc>
          <w:tcPr>
            <w:vAlign w:val="center"/>
          </w:tcPr>
          <w:p>
            <w:pPr>
              <w:jc w:val="center"/>
            </w:pPr>
            <w:r>
              <w:rPr>
                <w:color w:val="000000"/>
                <w:sz w:val="24"/>
                <w:szCs w:val="24"/>
              </w:rPr>
              <w:t>603666</w:t>
            </w:r>
          </w:p>
        </w:tc>
        <w:tc>
          <w:tcPr>
            <w:vAlign w:val="center"/>
          </w:tcPr>
          <w:p>
            <w:pPr>
              <w:jc w:val="center"/>
            </w:pPr>
            <w:r>
              <w:rPr>
                <w:color w:val="000000"/>
                <w:sz w:val="24"/>
                <w:szCs w:val="24"/>
              </w:rPr>
              <w:t>亿嘉和</w:t>
            </w:r>
          </w:p>
        </w:tc>
        <w:tc>
          <w:tcPr>
            <w:vAlign w:val="center"/>
          </w:tcPr>
          <w:p>
            <w:pPr>
              <w:jc w:val="right"/>
            </w:pPr>
            <w:r>
              <w:rPr>
                <w:color w:val="000000"/>
                <w:sz w:val="24"/>
                <w:szCs w:val="24"/>
              </w:rPr>
              <w:t>1,026,360</w:t>
            </w:r>
          </w:p>
        </w:tc>
        <w:tc>
          <w:tcPr>
            <w:vAlign w:val="center"/>
          </w:tcPr>
          <w:p>
            <w:pPr>
              <w:jc w:val="right"/>
            </w:pPr>
            <w:r>
              <w:rPr>
                <w:color w:val="000000"/>
                <w:sz w:val="24"/>
                <w:szCs w:val="24"/>
              </w:rPr>
              <w:t>69,402,463.20</w:t>
            </w:r>
          </w:p>
        </w:tc>
        <w:tc>
          <w:tcPr>
            <w:vAlign w:val="center"/>
          </w:tcPr>
          <w:p>
            <w:pPr>
              <w:jc w:val="right"/>
            </w:pPr>
            <w:r>
              <w:rPr>
                <w:color w:val="000000"/>
                <w:sz w:val="24"/>
                <w:szCs w:val="24"/>
              </w:rPr>
              <w:t>9.31</w:t>
            </w:r>
          </w:p>
        </w:tc>
      </w:tr>
      <w:tr>
        <w:tc>
          <w:tcPr>
            <w:vAlign w:val="center"/>
          </w:tcPr>
          <w:p>
            <w:pPr>
              <w:jc w:val="center"/>
            </w:pPr>
            <w:r>
              <w:rPr>
                <w:color w:val="000000"/>
                <w:sz w:val="24"/>
                <w:szCs w:val="24"/>
              </w:rPr>
              <w:t>3</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476,113</w:t>
            </w:r>
          </w:p>
        </w:tc>
        <w:tc>
          <w:tcPr>
            <w:vAlign w:val="center"/>
          </w:tcPr>
          <w:p>
            <w:pPr>
              <w:jc w:val="right"/>
            </w:pPr>
            <w:r>
              <w:rPr>
                <w:color w:val="000000"/>
                <w:sz w:val="24"/>
                <w:szCs w:val="24"/>
              </w:rPr>
              <w:t>49,420,529.40</w:t>
            </w:r>
          </w:p>
        </w:tc>
        <w:tc>
          <w:tcPr>
            <w:vAlign w:val="center"/>
          </w:tcPr>
          <w:p>
            <w:pPr>
              <w:jc w:val="right"/>
            </w:pPr>
            <w:r>
              <w:rPr>
                <w:color w:val="000000"/>
                <w:sz w:val="24"/>
                <w:szCs w:val="24"/>
              </w:rPr>
              <w:t>6.63</w:t>
            </w:r>
          </w:p>
        </w:tc>
      </w:tr>
      <w:tr>
        <w:tc>
          <w:tcPr>
            <w:vAlign w:val="center"/>
          </w:tcPr>
          <w:p>
            <w:pPr>
              <w:jc w:val="center"/>
            </w:pPr>
            <w:r>
              <w:rPr>
                <w:color w:val="000000"/>
                <w:sz w:val="24"/>
                <w:szCs w:val="24"/>
              </w:rPr>
              <w:t>4</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3,464,991</w:t>
            </w:r>
          </w:p>
        </w:tc>
        <w:tc>
          <w:tcPr>
            <w:vAlign w:val="center"/>
          </w:tcPr>
          <w:p>
            <w:pPr>
              <w:jc w:val="right"/>
            </w:pPr>
            <w:r>
              <w:rPr>
                <w:color w:val="000000"/>
                <w:sz w:val="24"/>
                <w:szCs w:val="24"/>
              </w:rPr>
              <w:t>41,268,042.81</w:t>
            </w:r>
          </w:p>
        </w:tc>
        <w:tc>
          <w:tcPr>
            <w:vAlign w:val="center"/>
          </w:tcPr>
          <w:p>
            <w:pPr>
              <w:jc w:val="right"/>
            </w:pPr>
            <w:r>
              <w:rPr>
                <w:color w:val="000000"/>
                <w:sz w:val="24"/>
                <w:szCs w:val="24"/>
              </w:rPr>
              <w:t>5.54</w:t>
            </w:r>
          </w:p>
        </w:tc>
      </w:tr>
      <w:tr>
        <w:tc>
          <w:tcPr>
            <w:vAlign w:val="center"/>
          </w:tcPr>
          <w:p>
            <w:pPr>
              <w:jc w:val="center"/>
            </w:pPr>
            <w:r>
              <w:rPr>
                <w:color w:val="000000"/>
                <w:sz w:val="24"/>
                <w:szCs w:val="24"/>
              </w:rPr>
              <w:t>5</w:t>
            </w:r>
          </w:p>
        </w:tc>
        <w:tc>
          <w:tcPr>
            <w:vAlign w:val="center"/>
          </w:tcPr>
          <w:p>
            <w:pPr>
              <w:jc w:val="center"/>
            </w:pPr>
            <w:r>
              <w:rPr>
                <w:color w:val="000000"/>
                <w:sz w:val="24"/>
                <w:szCs w:val="24"/>
              </w:rPr>
              <w:t>600480</w:t>
            </w:r>
          </w:p>
        </w:tc>
        <w:tc>
          <w:tcPr>
            <w:vAlign w:val="center"/>
          </w:tcPr>
          <w:p>
            <w:pPr>
              <w:jc w:val="center"/>
            </w:pPr>
            <w:r>
              <w:rPr>
                <w:color w:val="000000"/>
                <w:sz w:val="24"/>
                <w:szCs w:val="24"/>
              </w:rPr>
              <w:t>凌云股份</w:t>
            </w:r>
          </w:p>
        </w:tc>
        <w:tc>
          <w:tcPr>
            <w:vAlign w:val="center"/>
          </w:tcPr>
          <w:p>
            <w:pPr>
              <w:jc w:val="right"/>
            </w:pPr>
            <w:r>
              <w:rPr>
                <w:color w:val="000000"/>
                <w:sz w:val="24"/>
                <w:szCs w:val="24"/>
              </w:rPr>
              <w:t>3,269,964</w:t>
            </w:r>
          </w:p>
        </w:tc>
        <w:tc>
          <w:tcPr>
            <w:vAlign w:val="center"/>
          </w:tcPr>
          <w:p>
            <w:pPr>
              <w:jc w:val="right"/>
            </w:pPr>
            <w:r>
              <w:rPr>
                <w:color w:val="000000"/>
                <w:sz w:val="24"/>
                <w:szCs w:val="24"/>
              </w:rPr>
              <w:t>40,547,553.60</w:t>
            </w:r>
          </w:p>
        </w:tc>
        <w:tc>
          <w:tcPr>
            <w:vAlign w:val="center"/>
          </w:tcPr>
          <w:p>
            <w:pPr>
              <w:jc w:val="right"/>
            </w:pPr>
            <w:r>
              <w:rPr>
                <w:color w:val="000000"/>
                <w:sz w:val="24"/>
                <w:szCs w:val="24"/>
              </w:rPr>
              <w:t>5.44</w:t>
            </w:r>
          </w:p>
        </w:tc>
      </w:tr>
      <w:tr>
        <w:tc>
          <w:tcPr>
            <w:vAlign w:val="center"/>
          </w:tcPr>
          <w:p>
            <w:pPr>
              <w:jc w:val="center"/>
            </w:pPr>
            <w:r>
              <w:rPr>
                <w:color w:val="000000"/>
                <w:sz w:val="24"/>
                <w:szCs w:val="24"/>
              </w:rPr>
              <w:t>6</w:t>
            </w:r>
          </w:p>
        </w:tc>
        <w:tc>
          <w:tcPr>
            <w:vAlign w:val="center"/>
          </w:tcPr>
          <w:p>
            <w:pPr>
              <w:jc w:val="center"/>
            </w:pPr>
            <w:r>
              <w:rPr>
                <w:color w:val="000000"/>
                <w:sz w:val="24"/>
                <w:szCs w:val="24"/>
              </w:rPr>
              <w:t>000961</w:t>
            </w:r>
          </w:p>
        </w:tc>
        <w:tc>
          <w:tcPr>
            <w:vAlign w:val="center"/>
          </w:tcPr>
          <w:p>
            <w:pPr>
              <w:jc w:val="center"/>
            </w:pPr>
            <w:r>
              <w:rPr>
                <w:color w:val="000000"/>
                <w:sz w:val="24"/>
                <w:szCs w:val="24"/>
              </w:rPr>
              <w:t>中南建设</w:t>
            </w:r>
          </w:p>
        </w:tc>
        <w:tc>
          <w:tcPr>
            <w:vAlign w:val="center"/>
          </w:tcPr>
          <w:p>
            <w:pPr>
              <w:jc w:val="right"/>
            </w:pPr>
            <w:r>
              <w:rPr>
                <w:color w:val="000000"/>
                <w:sz w:val="24"/>
                <w:szCs w:val="24"/>
              </w:rPr>
              <w:t>3,404,300</w:t>
            </w:r>
          </w:p>
        </w:tc>
        <w:tc>
          <w:tcPr>
            <w:vAlign w:val="center"/>
          </w:tcPr>
          <w:p>
            <w:pPr>
              <w:jc w:val="right"/>
            </w:pPr>
            <w:r>
              <w:rPr>
                <w:color w:val="000000"/>
                <w:sz w:val="24"/>
                <w:szCs w:val="24"/>
              </w:rPr>
              <w:t>32,340,850.00</w:t>
            </w:r>
          </w:p>
        </w:tc>
        <w:tc>
          <w:tcPr>
            <w:vAlign w:val="center"/>
          </w:tcPr>
          <w:p>
            <w:pPr>
              <w:jc w:val="right"/>
            </w:pPr>
            <w:r>
              <w:rPr>
                <w:color w:val="000000"/>
                <w:sz w:val="24"/>
                <w:szCs w:val="24"/>
              </w:rPr>
              <w:t>4.34</w:t>
            </w:r>
          </w:p>
        </w:tc>
      </w:tr>
      <w:tr>
        <w:tc>
          <w:tcPr>
            <w:vAlign w:val="center"/>
          </w:tcPr>
          <w:p>
            <w:pPr>
              <w:jc w:val="center"/>
            </w:pPr>
            <w:r>
              <w:rPr>
                <w:color w:val="000000"/>
                <w:sz w:val="24"/>
                <w:szCs w:val="24"/>
              </w:rPr>
              <w:t>7</w:t>
            </w:r>
          </w:p>
        </w:tc>
        <w:tc>
          <w:tcPr>
            <w:vAlign w:val="center"/>
          </w:tcPr>
          <w:p>
            <w:pPr>
              <w:jc w:val="center"/>
            </w:pPr>
            <w:r>
              <w:rPr>
                <w:color w:val="000000"/>
                <w:sz w:val="24"/>
                <w:szCs w:val="24"/>
              </w:rPr>
              <w:t>300638</w:t>
            </w:r>
          </w:p>
        </w:tc>
        <w:tc>
          <w:tcPr>
            <w:vAlign w:val="center"/>
          </w:tcPr>
          <w:p>
            <w:pPr>
              <w:jc w:val="center"/>
            </w:pPr>
            <w:r>
              <w:rPr>
                <w:color w:val="000000"/>
                <w:sz w:val="24"/>
                <w:szCs w:val="24"/>
              </w:rPr>
              <w:t>广和通</w:t>
            </w:r>
          </w:p>
        </w:tc>
        <w:tc>
          <w:tcPr>
            <w:vAlign w:val="center"/>
          </w:tcPr>
          <w:p>
            <w:pPr>
              <w:jc w:val="right"/>
            </w:pPr>
            <w:r>
              <w:rPr>
                <w:color w:val="000000"/>
                <w:sz w:val="24"/>
                <w:szCs w:val="24"/>
              </w:rPr>
              <w:t>479,935</w:t>
            </w:r>
          </w:p>
        </w:tc>
        <w:tc>
          <w:tcPr>
            <w:vAlign w:val="center"/>
          </w:tcPr>
          <w:p>
            <w:pPr>
              <w:jc w:val="right"/>
            </w:pPr>
            <w:r>
              <w:rPr>
                <w:color w:val="000000"/>
                <w:sz w:val="24"/>
                <w:szCs w:val="24"/>
              </w:rPr>
              <w:t>28,796,100.00</w:t>
            </w:r>
          </w:p>
        </w:tc>
        <w:tc>
          <w:tcPr>
            <w:vAlign w:val="center"/>
          </w:tcPr>
          <w:p>
            <w:pPr>
              <w:jc w:val="right"/>
            </w:pPr>
            <w:r>
              <w:rPr>
                <w:color w:val="000000"/>
                <w:sz w:val="24"/>
                <w:szCs w:val="24"/>
              </w:rPr>
              <w:t>3.86</w:t>
            </w:r>
          </w:p>
        </w:tc>
      </w:tr>
      <w:tr>
        <w:tc>
          <w:tcPr>
            <w:vAlign w:val="center"/>
          </w:tcPr>
          <w:p>
            <w:pPr>
              <w:jc w:val="center"/>
            </w:pPr>
            <w:r>
              <w:rPr>
                <w:color w:val="000000"/>
                <w:sz w:val="24"/>
                <w:szCs w:val="24"/>
              </w:rPr>
              <w:t>8</w:t>
            </w:r>
          </w:p>
        </w:tc>
        <w:tc>
          <w:tcPr>
            <w:vAlign w:val="center"/>
          </w:tcPr>
          <w:p>
            <w:pPr>
              <w:jc w:val="center"/>
            </w:pPr>
            <w:r>
              <w:rPr>
                <w:color w:val="000000"/>
                <w:sz w:val="24"/>
                <w:szCs w:val="24"/>
              </w:rPr>
              <w:t>600131</w:t>
            </w:r>
          </w:p>
        </w:tc>
        <w:tc>
          <w:tcPr>
            <w:vAlign w:val="center"/>
          </w:tcPr>
          <w:p>
            <w:pPr>
              <w:jc w:val="center"/>
            </w:pPr>
            <w:r>
              <w:rPr>
                <w:color w:val="000000"/>
                <w:sz w:val="24"/>
                <w:szCs w:val="24"/>
              </w:rPr>
              <w:t>岷江水电</w:t>
            </w:r>
          </w:p>
        </w:tc>
        <w:tc>
          <w:tcPr>
            <w:vAlign w:val="center"/>
          </w:tcPr>
          <w:p>
            <w:pPr>
              <w:jc w:val="right"/>
            </w:pPr>
            <w:r>
              <w:rPr>
                <w:color w:val="000000"/>
                <w:sz w:val="24"/>
                <w:szCs w:val="24"/>
              </w:rPr>
              <w:t>1,412,900</w:t>
            </w:r>
          </w:p>
        </w:tc>
        <w:tc>
          <w:tcPr>
            <w:vAlign w:val="center"/>
          </w:tcPr>
          <w:p>
            <w:pPr>
              <w:jc w:val="right"/>
            </w:pPr>
            <w:r>
              <w:rPr>
                <w:color w:val="000000"/>
                <w:sz w:val="24"/>
                <w:szCs w:val="24"/>
              </w:rPr>
              <w:t>26,350,585.00</w:t>
            </w:r>
          </w:p>
        </w:tc>
        <w:tc>
          <w:tcPr>
            <w:vAlign w:val="center"/>
          </w:tcPr>
          <w:p>
            <w:pPr>
              <w:jc w:val="right"/>
            </w:pPr>
            <w:r>
              <w:rPr>
                <w:color w:val="000000"/>
                <w:sz w:val="24"/>
                <w:szCs w:val="24"/>
              </w:rPr>
              <w:t>3.53</w:t>
            </w:r>
          </w:p>
        </w:tc>
      </w:tr>
      <w:tr>
        <w:tc>
          <w:tcPr>
            <w:vAlign w:val="center"/>
          </w:tcPr>
          <w:p>
            <w:pPr>
              <w:jc w:val="center"/>
            </w:pPr>
            <w:r>
              <w:rPr>
                <w:color w:val="000000"/>
                <w:sz w:val="24"/>
                <w:szCs w:val="24"/>
              </w:rPr>
              <w:t>9</w:t>
            </w:r>
          </w:p>
        </w:tc>
        <w:tc>
          <w:tcPr>
            <w:vAlign w:val="center"/>
          </w:tcPr>
          <w:p>
            <w:pPr>
              <w:jc w:val="center"/>
            </w:pPr>
            <w:r>
              <w:rPr>
                <w:color w:val="000000"/>
                <w:sz w:val="24"/>
                <w:szCs w:val="24"/>
              </w:rPr>
              <w:t>601231</w:t>
            </w:r>
          </w:p>
        </w:tc>
        <w:tc>
          <w:tcPr>
            <w:vAlign w:val="center"/>
          </w:tcPr>
          <w:p>
            <w:pPr>
              <w:jc w:val="center"/>
            </w:pPr>
            <w:r>
              <w:rPr>
                <w:color w:val="000000"/>
                <w:sz w:val="24"/>
                <w:szCs w:val="24"/>
              </w:rPr>
              <w:t>环旭电子</w:t>
            </w:r>
          </w:p>
        </w:tc>
        <w:tc>
          <w:tcPr>
            <w:vAlign w:val="center"/>
          </w:tcPr>
          <w:p>
            <w:pPr>
              <w:jc w:val="right"/>
            </w:pPr>
            <w:r>
              <w:rPr>
                <w:color w:val="000000"/>
                <w:sz w:val="24"/>
                <w:szCs w:val="24"/>
              </w:rPr>
              <w:t>1,560,467</w:t>
            </w:r>
          </w:p>
        </w:tc>
        <w:tc>
          <w:tcPr>
            <w:vAlign w:val="center"/>
          </w:tcPr>
          <w:p>
            <w:pPr>
              <w:jc w:val="right"/>
            </w:pPr>
            <w:r>
              <w:rPr>
                <w:color w:val="000000"/>
                <w:sz w:val="24"/>
                <w:szCs w:val="24"/>
              </w:rPr>
              <w:t>24,031,191.80</w:t>
            </w:r>
          </w:p>
        </w:tc>
        <w:tc>
          <w:tcPr>
            <w:vAlign w:val="center"/>
          </w:tcPr>
          <w:p>
            <w:pPr>
              <w:jc w:val="right"/>
            </w:pPr>
            <w:r>
              <w:rPr>
                <w:color w:val="000000"/>
                <w:sz w:val="24"/>
                <w:szCs w:val="24"/>
              </w:rPr>
              <w:t>3.22</w:t>
            </w:r>
          </w:p>
        </w:tc>
      </w:tr>
      <w:tr>
        <w:tc>
          <w:tcPr>
            <w:vAlign w:val="center"/>
          </w:tcPr>
          <w:p>
            <w:pPr>
              <w:jc w:val="center"/>
            </w:pPr>
            <w:r>
              <w:rPr>
                <w:color w:val="000000"/>
                <w:sz w:val="24"/>
                <w:szCs w:val="24"/>
              </w:rPr>
              <w:t>10</w:t>
            </w:r>
          </w:p>
        </w:tc>
        <w:tc>
          <w:tcPr>
            <w:vAlign w:val="center"/>
          </w:tcPr>
          <w:p>
            <w:pPr>
              <w:jc w:val="center"/>
            </w:pPr>
            <w:r>
              <w:rPr>
                <w:color w:val="000000"/>
                <w:sz w:val="24"/>
                <w:szCs w:val="24"/>
              </w:rPr>
              <w:t>300682</w:t>
            </w:r>
          </w:p>
        </w:tc>
        <w:tc>
          <w:tcPr>
            <w:vAlign w:val="center"/>
          </w:tcPr>
          <w:p>
            <w:pPr>
              <w:jc w:val="center"/>
            </w:pPr>
            <w:r>
              <w:rPr>
                <w:color w:val="000000"/>
                <w:sz w:val="24"/>
                <w:szCs w:val="24"/>
              </w:rPr>
              <w:t>朗新科技</w:t>
            </w:r>
          </w:p>
        </w:tc>
        <w:tc>
          <w:tcPr>
            <w:vAlign w:val="center"/>
          </w:tcPr>
          <w:p>
            <w:pPr>
              <w:jc w:val="right"/>
            </w:pPr>
            <w:r>
              <w:rPr>
                <w:color w:val="000000"/>
                <w:sz w:val="24"/>
                <w:szCs w:val="24"/>
              </w:rPr>
              <w:t>917,400</w:t>
            </w:r>
          </w:p>
        </w:tc>
        <w:tc>
          <w:tcPr>
            <w:vAlign w:val="center"/>
          </w:tcPr>
          <w:p>
            <w:pPr>
              <w:jc w:val="right"/>
            </w:pPr>
            <w:r>
              <w:rPr>
                <w:color w:val="000000"/>
                <w:sz w:val="24"/>
                <w:szCs w:val="24"/>
              </w:rPr>
              <w:t>20,861,676.00</w:t>
            </w:r>
          </w:p>
        </w:tc>
        <w:tc>
          <w:tcPr>
            <w:vAlign w:val="center"/>
          </w:tcPr>
          <w:p>
            <w:pPr>
              <w:jc w:val="right"/>
            </w:pPr>
            <w:r>
              <w:rPr>
                <w:color w:val="000000"/>
                <w:sz w:val="24"/>
                <w:szCs w:val="24"/>
              </w:rPr>
              <w:t>2.80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87,897.67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26,132.09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3,659,991.10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3,774,020.86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119,801,450.91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450,190,382.00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50,283,204.53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519,708,628.38</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注：1、如果本报告期间发生转换入、份额类别调整、红利再投业务，则总申购份额中包含该业务；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2、如果本报告期间发生转换出、份额类别调整业务，则总赎回份额中包含该业务。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1、中国证监会准予交银施罗德经济新动力混合型证券投资基金募集注册的文件；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2、《交银施罗德经济新动力混合型证券投资基金基金合同》；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3、《交银施罗德经济新动力混合型证券投资基金招募说明书》；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4、《交银施罗德经济新动力混合型证券投资基金托管协议》；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5、关于申请募集注册交银施罗德经济新动力混合型证券投资基金的法律意见书；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8、报告期内交银施罗德经济新动力混合型证券投资基金在指定报刊上各项公告的原稿。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交银施罗德经济新动力混合型证券投资基金2019年第1季度报告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