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交银施罗德天鑫宝货币市场基金</w:t>
      </w:r>
    </w:p>
    <w:p w:rsidR="00B60E27" w:rsidRPr="001E1B20" w:rsidRDefault="00B60E27" w:rsidP="00281564">
      <w:pPr>
        <w:spacing w:before="29" w:line="288" w:lineRule="auto"/>
        <w:jc w:val="center"/>
        <w:rPr>
          <w:b/>
          <w:sz w:val="36"/>
          <w:szCs w:val="36"/>
        </w:rPr>
      </w:pPr>
      <w:r w:rsidRPr="001E1B20">
        <w:rPr>
          <w:b/>
          <w:sz w:val="36"/>
          <w:szCs w:val="36"/>
        </w:rPr>
        <w:t>2019</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2019</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兴业银行股份有限公司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default" r:id="rId8"/>
          <w:footerReference w:type="default" r:id="rId9"/>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二〇一九年四月二十日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AB137F" w:rsidRDefault="009B03A2">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B137F" w:rsidRDefault="009B03A2">
      <w:pPr>
        <w:adjustRightInd w:val="0"/>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2019</w:t>
      </w:r>
      <w:r>
        <w:rPr>
          <w:color w:val="000000"/>
          <w:sz w:val="24"/>
        </w:rPr>
        <w:t>年</w:t>
      </w:r>
      <w:r>
        <w:rPr>
          <w:color w:val="000000"/>
          <w:sz w:val="24"/>
        </w:rPr>
        <w:t>4</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B137F" w:rsidRDefault="009B03A2">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B137F" w:rsidRDefault="009B03A2">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AB137F" w:rsidRDefault="009B03A2">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2019</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交银天鑫宝货币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003482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10,278,422,015.62</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兴业银行股份有限公司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交银天鑫宝货币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交银天鑫宝货币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003482</w:t>
            </w:r>
          </w:p>
        </w:tc>
        <w:tc>
          <w:tcPr>
            <w:tcW w:w="2923" w:type="dxa"/>
            <w:vAlign w:val="center"/>
          </w:tcPr>
          <w:p w:rsidR="00A805BC" w:rsidRPr="000E4C40" w:rsidRDefault="00A805BC" w:rsidP="00281564">
            <w:pPr>
              <w:spacing w:before="29" w:line="288" w:lineRule="auto"/>
              <w:jc w:val="left"/>
              <w:rPr>
                <w:sz w:val="24"/>
              </w:rPr>
            </w:pPr>
            <w:r w:rsidRPr="000E4C40">
              <w:rPr>
                <w:sz w:val="24"/>
              </w:rPr>
              <w:t>003483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25,311,692.41</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10,253,110,323.21</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-2019</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交银天鑫宝货币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交银天鑫宝货币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192,090.22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107,936,664.29</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192,090.22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107,936,664.29</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25,311,692.41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10,253,110,323.21</w:t>
            </w:r>
          </w:p>
        </w:tc>
      </w:tr>
    </w:tbl>
    <w:p w:rsidR="00AB137F" w:rsidRDefault="009B03A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交银天鑫宝货币</w:t>
      </w:r>
      <w:r w:rsidR="00834F7F" w:rsidRPr="000E4C40">
        <w:rPr>
          <w:rFonts w:ascii="Times New Roman" w:hAnsi="Times New Roman"/>
          <w:b/>
          <w:color w:val="auto"/>
        </w:rPr>
        <w:t>A</w:t>
      </w:r>
      <w:r w:rsidR="00834F7F" w:rsidRPr="000E4C40">
        <w:rPr>
          <w:rFonts w:ascii="Times New Roman"/>
          <w:b/>
          <w:color w:val="auto"/>
        </w:rPr>
        <w:t>：</w:t>
      </w:r>
    </w:p>
    <w:tbl>
      <w:tblPr>
        <w:tblStyle w:val="ad"/>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AB137F">
        <w:trPr>
          <w:jc w:val="center"/>
        </w:trPr>
        <w:tc>
          <w:tcPr>
            <w:tcW w:w="1266" w:type="dxa"/>
            <w:vAlign w:val="center"/>
          </w:tcPr>
          <w:p w:rsidR="00AB137F" w:rsidRDefault="009B03A2">
            <w:pPr>
              <w:jc w:val="left"/>
            </w:pPr>
            <w:r>
              <w:rPr>
                <w:color w:val="000000"/>
              </w:rPr>
              <w:t>过去三个月</w:t>
            </w:r>
          </w:p>
        </w:tc>
        <w:tc>
          <w:tcPr>
            <w:tcW w:w="1267" w:type="dxa"/>
            <w:vAlign w:val="center"/>
          </w:tcPr>
          <w:p w:rsidR="00AB137F" w:rsidRDefault="009B03A2">
            <w:pPr>
              <w:jc w:val="center"/>
            </w:pPr>
            <w:r>
              <w:rPr>
                <w:color w:val="000000"/>
              </w:rPr>
              <w:t>0.6403%</w:t>
            </w:r>
          </w:p>
        </w:tc>
        <w:tc>
          <w:tcPr>
            <w:tcW w:w="1267" w:type="dxa"/>
            <w:vAlign w:val="center"/>
          </w:tcPr>
          <w:p w:rsidR="00AB137F" w:rsidRDefault="009B03A2">
            <w:pPr>
              <w:jc w:val="center"/>
            </w:pPr>
            <w:r>
              <w:rPr>
                <w:color w:val="000000"/>
              </w:rPr>
              <w:t>0.0008%</w:t>
            </w:r>
          </w:p>
        </w:tc>
        <w:tc>
          <w:tcPr>
            <w:tcW w:w="1267" w:type="dxa"/>
            <w:vAlign w:val="center"/>
          </w:tcPr>
          <w:p w:rsidR="00AB137F" w:rsidRDefault="009B03A2">
            <w:pPr>
              <w:jc w:val="center"/>
            </w:pPr>
            <w:r>
              <w:rPr>
                <w:color w:val="000000"/>
              </w:rPr>
              <w:t>0.0863%</w:t>
            </w:r>
          </w:p>
        </w:tc>
        <w:tc>
          <w:tcPr>
            <w:tcW w:w="1267" w:type="dxa"/>
            <w:vAlign w:val="center"/>
          </w:tcPr>
          <w:p w:rsidR="00AB137F" w:rsidRDefault="009B03A2">
            <w:pPr>
              <w:jc w:val="center"/>
            </w:pPr>
            <w:r>
              <w:rPr>
                <w:color w:val="000000"/>
              </w:rPr>
              <w:t>0.0000%</w:t>
            </w:r>
          </w:p>
        </w:tc>
        <w:tc>
          <w:tcPr>
            <w:tcW w:w="1267" w:type="dxa"/>
            <w:vAlign w:val="center"/>
          </w:tcPr>
          <w:p w:rsidR="00AB137F" w:rsidRDefault="009B03A2">
            <w:pPr>
              <w:jc w:val="center"/>
            </w:pPr>
            <w:r>
              <w:rPr>
                <w:color w:val="000000"/>
              </w:rPr>
              <w:t>0.5540%</w:t>
            </w:r>
          </w:p>
        </w:tc>
        <w:tc>
          <w:tcPr>
            <w:tcW w:w="1267" w:type="dxa"/>
            <w:vAlign w:val="center"/>
          </w:tcPr>
          <w:p w:rsidR="00AB137F" w:rsidRDefault="009B03A2">
            <w:pPr>
              <w:jc w:val="center"/>
            </w:pPr>
            <w:r>
              <w:rPr>
                <w:color w:val="000000"/>
              </w:rPr>
              <w:t>0.0008%</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交银天鑫宝货币</w:t>
      </w:r>
      <w:r w:rsidR="000B2044" w:rsidRPr="000E4C40">
        <w:rPr>
          <w:rFonts w:ascii="Times New Roman" w:hAnsi="Times New Roman"/>
          <w:b/>
          <w:color w:val="000000"/>
        </w:rPr>
        <w:t>E</w:t>
      </w:r>
      <w:r w:rsidR="000B2044" w:rsidRPr="000E4C40">
        <w:rPr>
          <w:rFonts w:ascii="Times New Roman"/>
          <w:b/>
          <w:color w:val="auto"/>
        </w:rPr>
        <w:t>：</w:t>
      </w:r>
    </w:p>
    <w:tbl>
      <w:tblPr>
        <w:tblStyle w:val="ad"/>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AB137F">
        <w:trPr>
          <w:jc w:val="center"/>
        </w:trPr>
        <w:tc>
          <w:tcPr>
            <w:tcW w:w="1266" w:type="dxa"/>
            <w:vAlign w:val="center"/>
          </w:tcPr>
          <w:p w:rsidR="00AB137F" w:rsidRDefault="009B03A2">
            <w:pPr>
              <w:jc w:val="left"/>
            </w:pPr>
            <w:r>
              <w:rPr>
                <w:color w:val="000000"/>
              </w:rPr>
              <w:t>过去三个月</w:t>
            </w:r>
          </w:p>
        </w:tc>
        <w:tc>
          <w:tcPr>
            <w:tcW w:w="1267" w:type="dxa"/>
            <w:vAlign w:val="center"/>
          </w:tcPr>
          <w:p w:rsidR="00AB137F" w:rsidRDefault="009B03A2">
            <w:pPr>
              <w:jc w:val="center"/>
            </w:pPr>
            <w:r>
              <w:rPr>
                <w:color w:val="000000"/>
              </w:rPr>
              <w:t>0.7002%</w:t>
            </w:r>
          </w:p>
        </w:tc>
        <w:tc>
          <w:tcPr>
            <w:tcW w:w="1267" w:type="dxa"/>
            <w:vAlign w:val="center"/>
          </w:tcPr>
          <w:p w:rsidR="00AB137F" w:rsidRDefault="009B03A2">
            <w:pPr>
              <w:jc w:val="center"/>
            </w:pPr>
            <w:r>
              <w:rPr>
                <w:color w:val="000000"/>
              </w:rPr>
              <w:t>0.0008%</w:t>
            </w:r>
          </w:p>
        </w:tc>
        <w:tc>
          <w:tcPr>
            <w:tcW w:w="1267" w:type="dxa"/>
            <w:vAlign w:val="center"/>
          </w:tcPr>
          <w:p w:rsidR="00AB137F" w:rsidRDefault="009B03A2">
            <w:pPr>
              <w:jc w:val="center"/>
            </w:pPr>
            <w:r>
              <w:rPr>
                <w:color w:val="000000"/>
              </w:rPr>
              <w:t>0.0863%</w:t>
            </w:r>
          </w:p>
        </w:tc>
        <w:tc>
          <w:tcPr>
            <w:tcW w:w="1267" w:type="dxa"/>
            <w:vAlign w:val="center"/>
          </w:tcPr>
          <w:p w:rsidR="00AB137F" w:rsidRDefault="009B03A2">
            <w:pPr>
              <w:jc w:val="center"/>
            </w:pPr>
            <w:r>
              <w:rPr>
                <w:color w:val="000000"/>
              </w:rPr>
              <w:t>0.0000%</w:t>
            </w:r>
          </w:p>
        </w:tc>
        <w:tc>
          <w:tcPr>
            <w:tcW w:w="1267" w:type="dxa"/>
            <w:vAlign w:val="center"/>
          </w:tcPr>
          <w:p w:rsidR="00AB137F" w:rsidRDefault="009B03A2">
            <w:pPr>
              <w:jc w:val="center"/>
            </w:pPr>
            <w:r>
              <w:rPr>
                <w:color w:val="000000"/>
              </w:rPr>
              <w:t>0.6139%</w:t>
            </w:r>
          </w:p>
        </w:tc>
        <w:tc>
          <w:tcPr>
            <w:tcW w:w="1267" w:type="dxa"/>
            <w:vAlign w:val="center"/>
          </w:tcPr>
          <w:p w:rsidR="00AB137F" w:rsidRDefault="009B03A2">
            <w:pPr>
              <w:jc w:val="center"/>
            </w:pPr>
            <w:r>
              <w:rPr>
                <w:color w:val="000000"/>
              </w:rPr>
              <w:t>0.0008%</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交银施罗德天鑫宝货币市场基金</w:t>
      </w:r>
    </w:p>
    <w:p w:rsidR="00E63B3D" w:rsidRPr="000E4C40" w:rsidRDefault="00E27752" w:rsidP="00281564">
      <w:pPr>
        <w:pStyle w:val="a7"/>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2019</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交银天鑫宝货币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交银天鑫宝货币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AB137F">
        <w:trPr>
          <w:jc w:val="center"/>
        </w:trPr>
        <w:tc>
          <w:tcPr>
            <w:tcW w:w="945" w:type="dxa"/>
            <w:vAlign w:val="center"/>
          </w:tcPr>
          <w:p w:rsidR="00AB137F" w:rsidRDefault="009B03A2">
            <w:pPr>
              <w:jc w:val="center"/>
            </w:pPr>
            <w:r>
              <w:rPr>
                <w:color w:val="000000"/>
                <w:sz w:val="24"/>
              </w:rPr>
              <w:t>黄莹洁</w:t>
            </w:r>
          </w:p>
        </w:tc>
        <w:tc>
          <w:tcPr>
            <w:tcW w:w="1589" w:type="dxa"/>
            <w:vAlign w:val="center"/>
          </w:tcPr>
          <w:p w:rsidR="00AB137F" w:rsidRDefault="009B03A2">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478" w:type="dxa"/>
            <w:vAlign w:val="center"/>
          </w:tcPr>
          <w:p w:rsidR="00AB137F" w:rsidRDefault="009B03A2">
            <w:pPr>
              <w:jc w:val="center"/>
            </w:pPr>
            <w:r>
              <w:rPr>
                <w:color w:val="000000"/>
                <w:sz w:val="24"/>
              </w:rPr>
              <w:t>2016-12-07</w:t>
            </w:r>
          </w:p>
        </w:tc>
        <w:tc>
          <w:tcPr>
            <w:tcW w:w="1478" w:type="dxa"/>
            <w:vAlign w:val="center"/>
          </w:tcPr>
          <w:p w:rsidR="00AB137F" w:rsidRDefault="009B03A2">
            <w:pPr>
              <w:jc w:val="center"/>
            </w:pPr>
            <w:r>
              <w:rPr>
                <w:color w:val="000000"/>
                <w:sz w:val="24"/>
              </w:rPr>
              <w:t>-</w:t>
            </w:r>
          </w:p>
        </w:tc>
        <w:tc>
          <w:tcPr>
            <w:tcW w:w="986" w:type="dxa"/>
            <w:vAlign w:val="center"/>
          </w:tcPr>
          <w:p w:rsidR="00AB137F" w:rsidRDefault="009B03A2">
            <w:pPr>
              <w:jc w:val="center"/>
            </w:pPr>
            <w:r>
              <w:rPr>
                <w:color w:val="000000"/>
                <w:sz w:val="24"/>
              </w:rPr>
              <w:t>11</w:t>
            </w:r>
            <w:r>
              <w:rPr>
                <w:color w:val="000000"/>
                <w:sz w:val="24"/>
              </w:rPr>
              <w:t>年</w:t>
            </w:r>
          </w:p>
        </w:tc>
        <w:tc>
          <w:tcPr>
            <w:tcW w:w="2392" w:type="dxa"/>
            <w:vAlign w:val="center"/>
          </w:tcPr>
          <w:p w:rsidR="00AB137F" w:rsidRDefault="009B03A2">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AB137F">
        <w:trPr>
          <w:jc w:val="center"/>
        </w:trPr>
        <w:tc>
          <w:tcPr>
            <w:tcW w:w="945" w:type="dxa"/>
            <w:vAlign w:val="center"/>
          </w:tcPr>
          <w:p w:rsidR="00AB137F" w:rsidRDefault="009B03A2">
            <w:pPr>
              <w:jc w:val="center"/>
            </w:pPr>
            <w:r>
              <w:rPr>
                <w:color w:val="000000"/>
                <w:sz w:val="24"/>
              </w:rPr>
              <w:t>连端清</w:t>
            </w:r>
          </w:p>
        </w:tc>
        <w:tc>
          <w:tcPr>
            <w:tcW w:w="1589" w:type="dxa"/>
            <w:vAlign w:val="center"/>
          </w:tcPr>
          <w:p w:rsidR="00AB137F" w:rsidRDefault="009B03A2">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478" w:type="dxa"/>
            <w:vAlign w:val="center"/>
          </w:tcPr>
          <w:p w:rsidR="00AB137F" w:rsidRDefault="009B03A2">
            <w:pPr>
              <w:jc w:val="center"/>
            </w:pPr>
            <w:r>
              <w:rPr>
                <w:color w:val="000000"/>
                <w:sz w:val="24"/>
              </w:rPr>
              <w:t>2016-12-07</w:t>
            </w:r>
          </w:p>
        </w:tc>
        <w:tc>
          <w:tcPr>
            <w:tcW w:w="1478" w:type="dxa"/>
            <w:vAlign w:val="center"/>
          </w:tcPr>
          <w:p w:rsidR="00AB137F" w:rsidRDefault="009B03A2">
            <w:pPr>
              <w:jc w:val="center"/>
            </w:pPr>
            <w:r>
              <w:rPr>
                <w:color w:val="000000"/>
                <w:sz w:val="24"/>
              </w:rPr>
              <w:t>-</w:t>
            </w:r>
          </w:p>
        </w:tc>
        <w:tc>
          <w:tcPr>
            <w:tcW w:w="986" w:type="dxa"/>
            <w:vAlign w:val="center"/>
          </w:tcPr>
          <w:p w:rsidR="00AB137F" w:rsidRDefault="009B03A2">
            <w:pPr>
              <w:jc w:val="center"/>
            </w:pPr>
            <w:r>
              <w:rPr>
                <w:color w:val="000000"/>
                <w:sz w:val="24"/>
              </w:rPr>
              <w:t>6</w:t>
            </w:r>
            <w:r>
              <w:rPr>
                <w:color w:val="000000"/>
                <w:sz w:val="24"/>
              </w:rPr>
              <w:t>年</w:t>
            </w:r>
          </w:p>
        </w:tc>
        <w:tc>
          <w:tcPr>
            <w:tcW w:w="2392" w:type="dxa"/>
            <w:vAlign w:val="center"/>
          </w:tcPr>
          <w:p w:rsidR="00AB137F" w:rsidRDefault="009B03A2">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w:t>
            </w:r>
            <w:r>
              <w:rPr>
                <w:color w:val="000000"/>
                <w:sz w:val="24"/>
              </w:rPr>
              <w:t>基金经理。</w:t>
            </w:r>
          </w:p>
        </w:tc>
      </w:tr>
    </w:tbl>
    <w:p w:rsidR="00AB137F" w:rsidRDefault="009B03A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AB137F" w:rsidRDefault="009B03A2">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AB137F" w:rsidRDefault="009B03A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B137F" w:rsidRDefault="009B03A2">
      <w:pPr>
        <w:spacing w:before="29" w:line="288" w:lineRule="auto"/>
        <w:ind w:firstLineChars="200" w:firstLine="480"/>
        <w:rPr>
          <w:color w:val="000000"/>
          <w:sz w:val="24"/>
        </w:rPr>
      </w:pPr>
      <w:r>
        <w:rPr>
          <w:color w:val="000000"/>
          <w:sz w:val="24"/>
        </w:rPr>
        <w:t>公司建立资源共享的投资研究信息平台，确保各投资组合在获</w:t>
      </w:r>
      <w:r>
        <w:rPr>
          <w:color w:val="000000"/>
          <w:sz w:val="24"/>
        </w:rPr>
        <w:t>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B137F" w:rsidRDefault="009B03A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w:t>
      </w:r>
      <w:r>
        <w:rPr>
          <w:color w:val="000000"/>
          <w:sz w:val="24"/>
        </w:rPr>
        <w:t>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AB137F" w:rsidRDefault="009B03A2">
      <w:pPr>
        <w:spacing w:before="29" w:line="288" w:lineRule="auto"/>
        <w:ind w:firstLineChars="200" w:firstLine="480"/>
        <w:rPr>
          <w:color w:val="000000"/>
          <w:sz w:val="24"/>
        </w:rPr>
      </w:pPr>
      <w:r>
        <w:rPr>
          <w:color w:val="000000"/>
          <w:sz w:val="24"/>
        </w:rPr>
        <w:t>本报告期内，国内经济的表现逐步向好，部分金融信贷数据企稳，通胀走高的担忧加剧。权益类资产的表现优于债券类资产，货币基金的收益率在短端利率的下行中进一步走低。货币政策方面，美联储在三月的会议纪要显著地偏鸽派</w:t>
      </w:r>
      <w:r>
        <w:rPr>
          <w:color w:val="000000"/>
          <w:sz w:val="24"/>
        </w:rPr>
        <w:t>,</w:t>
      </w:r>
      <w:r>
        <w:rPr>
          <w:color w:val="000000"/>
          <w:sz w:val="24"/>
        </w:rPr>
        <w:t>市场进一步预期美联储将开始降息操作。同时央行在一月调降存款准备金率</w:t>
      </w:r>
      <w:r>
        <w:rPr>
          <w:color w:val="000000"/>
          <w:sz w:val="24"/>
        </w:rPr>
        <w:t>100bp</w:t>
      </w:r>
      <w:r>
        <w:rPr>
          <w:color w:val="000000"/>
          <w:sz w:val="24"/>
        </w:rPr>
        <w:t>，以对冲一季度的</w:t>
      </w:r>
      <w:r>
        <w:rPr>
          <w:color w:val="000000"/>
          <w:sz w:val="24"/>
        </w:rPr>
        <w:t>MLF</w:t>
      </w:r>
      <w:r>
        <w:rPr>
          <w:color w:val="000000"/>
          <w:sz w:val="24"/>
        </w:rPr>
        <w:t>到期，继续保持稳健偏宽松的态度。在降准的帮助下，货币市场资金在一季度保持了宽裕的状态，银行间隔夜利率基本在</w:t>
      </w:r>
      <w:r>
        <w:rPr>
          <w:color w:val="000000"/>
          <w:sz w:val="24"/>
        </w:rPr>
        <w:t>2.0-2.7%</w:t>
      </w:r>
      <w:r>
        <w:rPr>
          <w:color w:val="000000"/>
          <w:sz w:val="24"/>
        </w:rPr>
        <w:t>之间，七天和隔夜的利差进一步压缩至</w:t>
      </w:r>
      <w:r>
        <w:rPr>
          <w:color w:val="000000"/>
          <w:sz w:val="24"/>
        </w:rPr>
        <w:t>10-20bps</w:t>
      </w:r>
      <w:r>
        <w:rPr>
          <w:color w:val="000000"/>
          <w:sz w:val="24"/>
        </w:rPr>
        <w:t>。银行存单市场在三月上行并不明显，</w:t>
      </w:r>
      <w:r>
        <w:rPr>
          <w:color w:val="000000"/>
          <w:sz w:val="24"/>
        </w:rPr>
        <w:t>A</w:t>
      </w:r>
      <w:r>
        <w:rPr>
          <w:color w:val="000000"/>
          <w:sz w:val="24"/>
        </w:rPr>
        <w:t>AA</w:t>
      </w:r>
      <w:r>
        <w:rPr>
          <w:color w:val="000000"/>
          <w:sz w:val="24"/>
        </w:rPr>
        <w:t>评级的三个月存单在</w:t>
      </w:r>
      <w:r>
        <w:rPr>
          <w:color w:val="000000"/>
          <w:sz w:val="24"/>
        </w:rPr>
        <w:t>2.80-2.95%</w:t>
      </w:r>
      <w:r>
        <w:rPr>
          <w:color w:val="000000"/>
          <w:sz w:val="24"/>
        </w:rPr>
        <w:t>之间窄幅震荡。报告期内，三个月上海银行间拆借利率下行</w:t>
      </w:r>
      <w:r>
        <w:rPr>
          <w:color w:val="000000"/>
          <w:sz w:val="24"/>
        </w:rPr>
        <w:t>55bp</w:t>
      </w:r>
      <w:r>
        <w:rPr>
          <w:color w:val="000000"/>
          <w:sz w:val="24"/>
        </w:rPr>
        <w:t>到</w:t>
      </w:r>
      <w:r>
        <w:rPr>
          <w:color w:val="000000"/>
          <w:sz w:val="24"/>
        </w:rPr>
        <w:t>2.80%</w:t>
      </w:r>
      <w:r>
        <w:rPr>
          <w:color w:val="000000"/>
          <w:sz w:val="24"/>
        </w:rPr>
        <w:t>。</w:t>
      </w:r>
    </w:p>
    <w:p w:rsidR="00AB137F" w:rsidRDefault="009B03A2">
      <w:pPr>
        <w:spacing w:before="29" w:line="288" w:lineRule="auto"/>
        <w:ind w:firstLineChars="200" w:firstLine="480"/>
        <w:rPr>
          <w:color w:val="000000"/>
          <w:sz w:val="24"/>
        </w:rPr>
      </w:pPr>
      <w:r>
        <w:rPr>
          <w:color w:val="000000"/>
          <w:sz w:val="24"/>
        </w:rPr>
        <w:t>基金操作方面，我们仍旧维持低杠杆、短久期的操作思路，多投资于估值波动较小的银行存款与回购等，组合整体流动性良好。三月末我们视组合流动性和市场情况，增配了高评级的同业存单、同业存款等，维持组合收益水平。</w:t>
      </w:r>
    </w:p>
    <w:p w:rsidR="00AB137F" w:rsidRDefault="009B03A2">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年二季度，我们将关注风险资产特别是股市在二季度的表现和其溢出效应，警惕中美贸易谈判可能出现的超预期影响，继续观察银行理财子公司的发展以及类货币型理财产品对行业生态的影响。我们认为，</w:t>
      </w:r>
      <w:r>
        <w:rPr>
          <w:color w:val="000000"/>
          <w:sz w:val="24"/>
        </w:rPr>
        <w:t>海外货币政策的逐步宽松，将打开国内政策的操作空间，货币政策应该会延续稳健宽松的状态，财政政策将会更加积极。</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4,659,238,691.48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44.00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4,629,238,691.48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43.72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30,000,000.00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0.28</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969,797,074.69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9.16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4,938,360,536.83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46.64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20,873,219.75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0.20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10,588,269,522.75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4.27</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305,059,647.47</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2.97</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73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75</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13</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10.87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2.97</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3.98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8</w:t>
            </w:r>
            <w:r w:rsidR="009B03A2">
              <w:rPr>
                <w:rFonts w:hint="eastAsia"/>
                <w:color w:val="000000"/>
                <w:sz w:val="24"/>
              </w:rPr>
              <w:t>5.32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9B03A2" w:rsidP="00281564">
            <w:pPr>
              <w:autoSpaceDE w:val="0"/>
              <w:autoSpaceDN w:val="0"/>
              <w:adjustRightInd w:val="0"/>
              <w:spacing w:before="29" w:line="288" w:lineRule="auto"/>
              <w:ind w:left="15"/>
              <w:jc w:val="right"/>
              <w:rPr>
                <w:color w:val="000000"/>
                <w:kern w:val="0"/>
                <w:sz w:val="24"/>
              </w:rPr>
            </w:pPr>
            <w:r>
              <w:rPr>
                <w:rFonts w:hint="eastAsia"/>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bookmarkStart w:id="2" w:name="_GoBack"/>
            <w:bookmarkEnd w:id="2"/>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2.64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102.81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2.97</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159,458,626.32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511,557,836.35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4.98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511,557,836.35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4.98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430,002,584.02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4.18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3,528,219,644.79</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34.33</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4,629,238,691.48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45.04</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d"/>
        <w:tblW w:w="8868" w:type="dxa"/>
        <w:jc w:val="center"/>
        <w:tblCellMar>
          <w:top w:w="57" w:type="dxa"/>
          <w:bottom w:w="57" w:type="dxa"/>
        </w:tblCellMar>
        <w:tblLook w:val="04A0" w:firstRow="1" w:lastRow="0" w:firstColumn="1" w:lastColumn="0" w:noHBand="0" w:noVBand="1"/>
      </w:tblPr>
      <w:tblGrid>
        <w:gridCol w:w="902"/>
        <w:gridCol w:w="1279"/>
        <w:gridCol w:w="1990"/>
        <w:gridCol w:w="1211"/>
        <w:gridCol w:w="2102"/>
        <w:gridCol w:w="1384"/>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AB137F">
        <w:trPr>
          <w:jc w:val="center"/>
        </w:trPr>
        <w:tc>
          <w:tcPr>
            <w:tcW w:w="0" w:type="auto"/>
            <w:vAlign w:val="center"/>
          </w:tcPr>
          <w:p w:rsidR="00AB137F" w:rsidRDefault="009B03A2">
            <w:pPr>
              <w:jc w:val="center"/>
            </w:pPr>
            <w:r>
              <w:rPr>
                <w:color w:val="000000"/>
                <w:sz w:val="24"/>
              </w:rPr>
              <w:t>1</w:t>
            </w:r>
          </w:p>
        </w:tc>
        <w:tc>
          <w:tcPr>
            <w:tcW w:w="0" w:type="auto"/>
            <w:vAlign w:val="center"/>
          </w:tcPr>
          <w:p w:rsidR="00AB137F" w:rsidRDefault="009B03A2">
            <w:pPr>
              <w:jc w:val="center"/>
            </w:pPr>
            <w:r>
              <w:rPr>
                <w:color w:val="000000"/>
                <w:sz w:val="24"/>
              </w:rPr>
              <w:t>111994129</w:t>
            </w:r>
          </w:p>
        </w:tc>
        <w:tc>
          <w:tcPr>
            <w:tcW w:w="0" w:type="auto"/>
            <w:vAlign w:val="center"/>
          </w:tcPr>
          <w:p w:rsidR="00AB137F" w:rsidRDefault="009B03A2">
            <w:pPr>
              <w:jc w:val="center"/>
            </w:pPr>
            <w:r>
              <w:rPr>
                <w:color w:val="000000"/>
                <w:sz w:val="24"/>
              </w:rPr>
              <w:t>19</w:t>
            </w:r>
            <w:r>
              <w:rPr>
                <w:color w:val="000000"/>
                <w:sz w:val="24"/>
              </w:rPr>
              <w:t>北京农商银行</w:t>
            </w:r>
            <w:r>
              <w:rPr>
                <w:color w:val="000000"/>
                <w:sz w:val="24"/>
              </w:rPr>
              <w:t>CD057</w:t>
            </w:r>
          </w:p>
        </w:tc>
        <w:tc>
          <w:tcPr>
            <w:tcW w:w="0" w:type="auto"/>
            <w:vAlign w:val="center"/>
          </w:tcPr>
          <w:p w:rsidR="00AB137F" w:rsidRDefault="009B03A2">
            <w:pPr>
              <w:jc w:val="right"/>
            </w:pPr>
            <w:r>
              <w:rPr>
                <w:color w:val="000000"/>
                <w:sz w:val="24"/>
              </w:rPr>
              <w:t>4,000,000</w:t>
            </w:r>
          </w:p>
        </w:tc>
        <w:tc>
          <w:tcPr>
            <w:tcW w:w="0" w:type="auto"/>
            <w:vAlign w:val="center"/>
          </w:tcPr>
          <w:p w:rsidR="00AB137F" w:rsidRDefault="009B03A2">
            <w:pPr>
              <w:jc w:val="right"/>
            </w:pPr>
            <w:r>
              <w:rPr>
                <w:color w:val="000000"/>
                <w:sz w:val="24"/>
              </w:rPr>
              <w:t>397,390,290.26</w:t>
            </w:r>
          </w:p>
        </w:tc>
        <w:tc>
          <w:tcPr>
            <w:tcW w:w="0" w:type="auto"/>
            <w:vAlign w:val="center"/>
          </w:tcPr>
          <w:p w:rsidR="00AB137F" w:rsidRDefault="009B03A2">
            <w:pPr>
              <w:jc w:val="right"/>
            </w:pPr>
            <w:r>
              <w:rPr>
                <w:color w:val="000000"/>
                <w:sz w:val="24"/>
              </w:rPr>
              <w:t>3.87</w:t>
            </w:r>
          </w:p>
        </w:tc>
      </w:tr>
      <w:tr w:rsidR="00AB137F">
        <w:trPr>
          <w:jc w:val="center"/>
        </w:trPr>
        <w:tc>
          <w:tcPr>
            <w:tcW w:w="0" w:type="auto"/>
            <w:vAlign w:val="center"/>
          </w:tcPr>
          <w:p w:rsidR="00AB137F" w:rsidRDefault="009B03A2">
            <w:pPr>
              <w:jc w:val="center"/>
            </w:pPr>
            <w:r>
              <w:rPr>
                <w:color w:val="000000"/>
                <w:sz w:val="24"/>
              </w:rPr>
              <w:t>2</w:t>
            </w:r>
          </w:p>
        </w:tc>
        <w:tc>
          <w:tcPr>
            <w:tcW w:w="0" w:type="auto"/>
            <w:vAlign w:val="center"/>
          </w:tcPr>
          <w:p w:rsidR="00AB137F" w:rsidRDefault="009B03A2">
            <w:pPr>
              <w:jc w:val="center"/>
            </w:pPr>
            <w:r>
              <w:rPr>
                <w:color w:val="000000"/>
                <w:sz w:val="24"/>
              </w:rPr>
              <w:t>111919100</w:t>
            </w:r>
          </w:p>
        </w:tc>
        <w:tc>
          <w:tcPr>
            <w:tcW w:w="0" w:type="auto"/>
            <w:vAlign w:val="center"/>
          </w:tcPr>
          <w:p w:rsidR="00AB137F" w:rsidRDefault="009B03A2">
            <w:pPr>
              <w:jc w:val="center"/>
            </w:pPr>
            <w:r>
              <w:rPr>
                <w:color w:val="000000"/>
                <w:sz w:val="24"/>
              </w:rPr>
              <w:t>19</w:t>
            </w:r>
            <w:r>
              <w:rPr>
                <w:color w:val="000000"/>
                <w:sz w:val="24"/>
              </w:rPr>
              <w:t>恒丰银行</w:t>
            </w:r>
            <w:r>
              <w:rPr>
                <w:color w:val="000000"/>
                <w:sz w:val="24"/>
              </w:rPr>
              <w:t>CD100</w:t>
            </w:r>
          </w:p>
        </w:tc>
        <w:tc>
          <w:tcPr>
            <w:tcW w:w="0" w:type="auto"/>
            <w:vAlign w:val="center"/>
          </w:tcPr>
          <w:p w:rsidR="00AB137F" w:rsidRDefault="009B03A2">
            <w:pPr>
              <w:jc w:val="right"/>
            </w:pPr>
            <w:r>
              <w:rPr>
                <w:color w:val="000000"/>
                <w:sz w:val="24"/>
              </w:rPr>
              <w:t>3,000,000</w:t>
            </w:r>
          </w:p>
        </w:tc>
        <w:tc>
          <w:tcPr>
            <w:tcW w:w="0" w:type="auto"/>
            <w:vAlign w:val="center"/>
          </w:tcPr>
          <w:p w:rsidR="00AB137F" w:rsidRDefault="009B03A2">
            <w:pPr>
              <w:jc w:val="right"/>
            </w:pPr>
            <w:r>
              <w:rPr>
                <w:color w:val="000000"/>
                <w:sz w:val="24"/>
              </w:rPr>
              <w:t>298,048,449.03</w:t>
            </w:r>
          </w:p>
        </w:tc>
        <w:tc>
          <w:tcPr>
            <w:tcW w:w="0" w:type="auto"/>
            <w:vAlign w:val="center"/>
          </w:tcPr>
          <w:p w:rsidR="00AB137F" w:rsidRDefault="009B03A2">
            <w:pPr>
              <w:jc w:val="right"/>
            </w:pPr>
            <w:r>
              <w:rPr>
                <w:color w:val="000000"/>
                <w:sz w:val="24"/>
              </w:rPr>
              <w:t>2.90</w:t>
            </w:r>
          </w:p>
        </w:tc>
      </w:tr>
      <w:tr w:rsidR="00AB137F">
        <w:trPr>
          <w:jc w:val="center"/>
        </w:trPr>
        <w:tc>
          <w:tcPr>
            <w:tcW w:w="0" w:type="auto"/>
            <w:vAlign w:val="center"/>
          </w:tcPr>
          <w:p w:rsidR="00AB137F" w:rsidRDefault="009B03A2">
            <w:pPr>
              <w:jc w:val="center"/>
            </w:pPr>
            <w:r>
              <w:rPr>
                <w:color w:val="000000"/>
                <w:sz w:val="24"/>
              </w:rPr>
              <w:t>3</w:t>
            </w:r>
          </w:p>
        </w:tc>
        <w:tc>
          <w:tcPr>
            <w:tcW w:w="0" w:type="auto"/>
            <w:vAlign w:val="center"/>
          </w:tcPr>
          <w:p w:rsidR="00AB137F" w:rsidRDefault="009B03A2">
            <w:pPr>
              <w:jc w:val="center"/>
            </w:pPr>
            <w:r>
              <w:rPr>
                <w:color w:val="000000"/>
                <w:sz w:val="24"/>
              </w:rPr>
              <w:t>111994269</w:t>
            </w:r>
          </w:p>
        </w:tc>
        <w:tc>
          <w:tcPr>
            <w:tcW w:w="0" w:type="auto"/>
            <w:vAlign w:val="center"/>
          </w:tcPr>
          <w:p w:rsidR="00AB137F" w:rsidRDefault="009B03A2">
            <w:pPr>
              <w:jc w:val="center"/>
            </w:pPr>
            <w:r>
              <w:rPr>
                <w:color w:val="000000"/>
                <w:sz w:val="24"/>
              </w:rPr>
              <w:t>19</w:t>
            </w:r>
            <w:r>
              <w:rPr>
                <w:color w:val="000000"/>
                <w:sz w:val="24"/>
              </w:rPr>
              <w:t>天津银行</w:t>
            </w:r>
            <w:r>
              <w:rPr>
                <w:color w:val="000000"/>
                <w:sz w:val="24"/>
              </w:rPr>
              <w:t>CD034</w:t>
            </w:r>
          </w:p>
        </w:tc>
        <w:tc>
          <w:tcPr>
            <w:tcW w:w="0" w:type="auto"/>
            <w:vAlign w:val="center"/>
          </w:tcPr>
          <w:p w:rsidR="00AB137F" w:rsidRDefault="009B03A2">
            <w:pPr>
              <w:jc w:val="right"/>
            </w:pPr>
            <w:r>
              <w:rPr>
                <w:color w:val="000000"/>
                <w:sz w:val="24"/>
              </w:rPr>
              <w:t>3,000,000</w:t>
            </w:r>
          </w:p>
        </w:tc>
        <w:tc>
          <w:tcPr>
            <w:tcW w:w="0" w:type="auto"/>
            <w:vAlign w:val="center"/>
          </w:tcPr>
          <w:p w:rsidR="00AB137F" w:rsidRDefault="009B03A2">
            <w:pPr>
              <w:jc w:val="right"/>
            </w:pPr>
            <w:r>
              <w:rPr>
                <w:color w:val="000000"/>
                <w:sz w:val="24"/>
              </w:rPr>
              <w:t>298,048,449.03</w:t>
            </w:r>
          </w:p>
        </w:tc>
        <w:tc>
          <w:tcPr>
            <w:tcW w:w="0" w:type="auto"/>
            <w:vAlign w:val="center"/>
          </w:tcPr>
          <w:p w:rsidR="00AB137F" w:rsidRDefault="009B03A2">
            <w:pPr>
              <w:jc w:val="right"/>
            </w:pPr>
            <w:r>
              <w:rPr>
                <w:color w:val="000000"/>
                <w:sz w:val="24"/>
              </w:rPr>
              <w:t>2.90</w:t>
            </w:r>
          </w:p>
        </w:tc>
      </w:tr>
      <w:tr w:rsidR="00AB137F">
        <w:trPr>
          <w:jc w:val="center"/>
        </w:trPr>
        <w:tc>
          <w:tcPr>
            <w:tcW w:w="0" w:type="auto"/>
            <w:vAlign w:val="center"/>
          </w:tcPr>
          <w:p w:rsidR="00AB137F" w:rsidRDefault="009B03A2">
            <w:pPr>
              <w:jc w:val="center"/>
            </w:pPr>
            <w:r>
              <w:rPr>
                <w:color w:val="000000"/>
                <w:sz w:val="24"/>
              </w:rPr>
              <w:t>4</w:t>
            </w:r>
          </w:p>
        </w:tc>
        <w:tc>
          <w:tcPr>
            <w:tcW w:w="0" w:type="auto"/>
            <w:vAlign w:val="center"/>
          </w:tcPr>
          <w:p w:rsidR="00AB137F" w:rsidRDefault="009B03A2">
            <w:pPr>
              <w:jc w:val="center"/>
            </w:pPr>
            <w:r>
              <w:rPr>
                <w:color w:val="000000"/>
                <w:sz w:val="24"/>
              </w:rPr>
              <w:t>111921089</w:t>
            </w:r>
          </w:p>
        </w:tc>
        <w:tc>
          <w:tcPr>
            <w:tcW w:w="0" w:type="auto"/>
            <w:vAlign w:val="center"/>
          </w:tcPr>
          <w:p w:rsidR="00AB137F" w:rsidRDefault="009B03A2">
            <w:pPr>
              <w:jc w:val="center"/>
            </w:pPr>
            <w:r>
              <w:rPr>
                <w:color w:val="000000"/>
                <w:sz w:val="24"/>
              </w:rPr>
              <w:t>19</w:t>
            </w:r>
            <w:r>
              <w:rPr>
                <w:color w:val="000000"/>
                <w:sz w:val="24"/>
              </w:rPr>
              <w:t>渤海银行</w:t>
            </w:r>
            <w:r>
              <w:rPr>
                <w:color w:val="000000"/>
                <w:sz w:val="24"/>
              </w:rPr>
              <w:t>CD089</w:t>
            </w:r>
          </w:p>
        </w:tc>
        <w:tc>
          <w:tcPr>
            <w:tcW w:w="0" w:type="auto"/>
            <w:vAlign w:val="center"/>
          </w:tcPr>
          <w:p w:rsidR="00AB137F" w:rsidRDefault="009B03A2">
            <w:pPr>
              <w:jc w:val="right"/>
            </w:pPr>
            <w:r>
              <w:rPr>
                <w:color w:val="000000"/>
                <w:sz w:val="24"/>
              </w:rPr>
              <w:t>2,500,000</w:t>
            </w:r>
          </w:p>
        </w:tc>
        <w:tc>
          <w:tcPr>
            <w:tcW w:w="0" w:type="auto"/>
            <w:vAlign w:val="center"/>
          </w:tcPr>
          <w:p w:rsidR="00AB137F" w:rsidRDefault="009B03A2">
            <w:pPr>
              <w:jc w:val="right"/>
            </w:pPr>
            <w:r>
              <w:rPr>
                <w:color w:val="000000"/>
                <w:sz w:val="24"/>
              </w:rPr>
              <w:t>248,445,608.33</w:t>
            </w:r>
          </w:p>
        </w:tc>
        <w:tc>
          <w:tcPr>
            <w:tcW w:w="0" w:type="auto"/>
            <w:vAlign w:val="center"/>
          </w:tcPr>
          <w:p w:rsidR="00AB137F" w:rsidRDefault="009B03A2">
            <w:pPr>
              <w:jc w:val="right"/>
            </w:pPr>
            <w:r>
              <w:rPr>
                <w:color w:val="000000"/>
                <w:sz w:val="24"/>
              </w:rPr>
              <w:t>2.42</w:t>
            </w:r>
          </w:p>
        </w:tc>
      </w:tr>
      <w:tr w:rsidR="00AB137F">
        <w:trPr>
          <w:jc w:val="center"/>
        </w:trPr>
        <w:tc>
          <w:tcPr>
            <w:tcW w:w="0" w:type="auto"/>
            <w:vAlign w:val="center"/>
          </w:tcPr>
          <w:p w:rsidR="00AB137F" w:rsidRDefault="009B03A2">
            <w:pPr>
              <w:jc w:val="center"/>
            </w:pPr>
            <w:r>
              <w:rPr>
                <w:color w:val="000000"/>
                <w:sz w:val="24"/>
              </w:rPr>
              <w:t>5</w:t>
            </w:r>
          </w:p>
        </w:tc>
        <w:tc>
          <w:tcPr>
            <w:tcW w:w="0" w:type="auto"/>
            <w:vAlign w:val="center"/>
          </w:tcPr>
          <w:p w:rsidR="00AB137F" w:rsidRDefault="009B03A2">
            <w:pPr>
              <w:jc w:val="center"/>
            </w:pPr>
            <w:r>
              <w:rPr>
                <w:color w:val="000000"/>
                <w:sz w:val="24"/>
              </w:rPr>
              <w:t>111994383</w:t>
            </w:r>
          </w:p>
        </w:tc>
        <w:tc>
          <w:tcPr>
            <w:tcW w:w="0" w:type="auto"/>
            <w:vAlign w:val="center"/>
          </w:tcPr>
          <w:p w:rsidR="00AB137F" w:rsidRDefault="009B03A2">
            <w:pPr>
              <w:jc w:val="center"/>
            </w:pPr>
            <w:r>
              <w:rPr>
                <w:color w:val="000000"/>
                <w:sz w:val="24"/>
              </w:rPr>
              <w:t>19</w:t>
            </w:r>
            <w:r>
              <w:rPr>
                <w:color w:val="000000"/>
                <w:sz w:val="24"/>
              </w:rPr>
              <w:t>天津银行</w:t>
            </w:r>
            <w:r>
              <w:rPr>
                <w:color w:val="000000"/>
                <w:sz w:val="24"/>
              </w:rPr>
              <w:t>CD039</w:t>
            </w:r>
          </w:p>
        </w:tc>
        <w:tc>
          <w:tcPr>
            <w:tcW w:w="0" w:type="auto"/>
            <w:vAlign w:val="center"/>
          </w:tcPr>
          <w:p w:rsidR="00AB137F" w:rsidRDefault="009B03A2">
            <w:pPr>
              <w:jc w:val="right"/>
            </w:pPr>
            <w:r>
              <w:rPr>
                <w:color w:val="000000"/>
                <w:sz w:val="24"/>
              </w:rPr>
              <w:t>2,500,000</w:t>
            </w:r>
          </w:p>
        </w:tc>
        <w:tc>
          <w:tcPr>
            <w:tcW w:w="0" w:type="auto"/>
            <w:vAlign w:val="center"/>
          </w:tcPr>
          <w:p w:rsidR="00AB137F" w:rsidRDefault="009B03A2">
            <w:pPr>
              <w:jc w:val="right"/>
            </w:pPr>
            <w:r>
              <w:rPr>
                <w:color w:val="000000"/>
                <w:sz w:val="24"/>
              </w:rPr>
              <w:t>248,395,319.33</w:t>
            </w:r>
          </w:p>
        </w:tc>
        <w:tc>
          <w:tcPr>
            <w:tcW w:w="0" w:type="auto"/>
            <w:vAlign w:val="center"/>
          </w:tcPr>
          <w:p w:rsidR="00AB137F" w:rsidRDefault="009B03A2">
            <w:pPr>
              <w:jc w:val="right"/>
            </w:pPr>
            <w:r>
              <w:rPr>
                <w:color w:val="000000"/>
                <w:sz w:val="24"/>
              </w:rPr>
              <w:t>2.42</w:t>
            </w:r>
          </w:p>
        </w:tc>
      </w:tr>
      <w:tr w:rsidR="00AB137F">
        <w:trPr>
          <w:jc w:val="center"/>
        </w:trPr>
        <w:tc>
          <w:tcPr>
            <w:tcW w:w="0" w:type="auto"/>
            <w:vAlign w:val="center"/>
          </w:tcPr>
          <w:p w:rsidR="00AB137F" w:rsidRDefault="009B03A2">
            <w:pPr>
              <w:jc w:val="center"/>
            </w:pPr>
            <w:r>
              <w:rPr>
                <w:color w:val="000000"/>
                <w:sz w:val="24"/>
              </w:rPr>
              <w:t>6</w:t>
            </w:r>
          </w:p>
        </w:tc>
        <w:tc>
          <w:tcPr>
            <w:tcW w:w="0" w:type="auto"/>
            <w:vAlign w:val="center"/>
          </w:tcPr>
          <w:p w:rsidR="00AB137F" w:rsidRDefault="009B03A2">
            <w:pPr>
              <w:jc w:val="center"/>
            </w:pPr>
            <w:r>
              <w:rPr>
                <w:color w:val="000000"/>
                <w:sz w:val="24"/>
              </w:rPr>
              <w:t>111993758</w:t>
            </w:r>
          </w:p>
        </w:tc>
        <w:tc>
          <w:tcPr>
            <w:tcW w:w="0" w:type="auto"/>
            <w:vAlign w:val="center"/>
          </w:tcPr>
          <w:p w:rsidR="00AB137F" w:rsidRDefault="009B03A2">
            <w:pPr>
              <w:jc w:val="center"/>
            </w:pPr>
            <w:r>
              <w:rPr>
                <w:color w:val="000000"/>
                <w:sz w:val="24"/>
              </w:rPr>
              <w:t>19</w:t>
            </w:r>
            <w:r>
              <w:rPr>
                <w:color w:val="000000"/>
                <w:sz w:val="24"/>
              </w:rPr>
              <w:t>苏州银行</w:t>
            </w:r>
            <w:r>
              <w:rPr>
                <w:color w:val="000000"/>
                <w:sz w:val="24"/>
              </w:rPr>
              <w:t>CD057</w:t>
            </w:r>
          </w:p>
        </w:tc>
        <w:tc>
          <w:tcPr>
            <w:tcW w:w="0" w:type="auto"/>
            <w:vAlign w:val="center"/>
          </w:tcPr>
          <w:p w:rsidR="00AB137F" w:rsidRDefault="009B03A2">
            <w:pPr>
              <w:jc w:val="right"/>
            </w:pPr>
            <w:r>
              <w:rPr>
                <w:color w:val="000000"/>
                <w:sz w:val="24"/>
              </w:rPr>
              <w:t>2,000,000</w:t>
            </w:r>
          </w:p>
        </w:tc>
        <w:tc>
          <w:tcPr>
            <w:tcW w:w="0" w:type="auto"/>
            <w:vAlign w:val="center"/>
          </w:tcPr>
          <w:p w:rsidR="00AB137F" w:rsidRDefault="009B03A2">
            <w:pPr>
              <w:jc w:val="right"/>
            </w:pPr>
            <w:r>
              <w:rPr>
                <w:color w:val="000000"/>
                <w:sz w:val="24"/>
              </w:rPr>
              <w:t>198,756,486.66</w:t>
            </w:r>
          </w:p>
        </w:tc>
        <w:tc>
          <w:tcPr>
            <w:tcW w:w="0" w:type="auto"/>
            <w:vAlign w:val="center"/>
          </w:tcPr>
          <w:p w:rsidR="00AB137F" w:rsidRDefault="009B03A2">
            <w:pPr>
              <w:jc w:val="right"/>
            </w:pPr>
            <w:r>
              <w:rPr>
                <w:color w:val="000000"/>
                <w:sz w:val="24"/>
              </w:rPr>
              <w:t>1.93</w:t>
            </w:r>
          </w:p>
        </w:tc>
      </w:tr>
      <w:tr w:rsidR="00AB137F">
        <w:trPr>
          <w:jc w:val="center"/>
        </w:trPr>
        <w:tc>
          <w:tcPr>
            <w:tcW w:w="0" w:type="auto"/>
            <w:vAlign w:val="center"/>
          </w:tcPr>
          <w:p w:rsidR="00AB137F" w:rsidRDefault="009B03A2">
            <w:pPr>
              <w:jc w:val="center"/>
            </w:pPr>
            <w:r>
              <w:rPr>
                <w:color w:val="000000"/>
                <w:sz w:val="24"/>
              </w:rPr>
              <w:t>7</w:t>
            </w:r>
          </w:p>
        </w:tc>
        <w:tc>
          <w:tcPr>
            <w:tcW w:w="0" w:type="auto"/>
            <w:vAlign w:val="center"/>
          </w:tcPr>
          <w:p w:rsidR="00AB137F" w:rsidRDefault="009B03A2">
            <w:pPr>
              <w:jc w:val="center"/>
            </w:pPr>
            <w:r>
              <w:rPr>
                <w:color w:val="000000"/>
                <w:sz w:val="24"/>
              </w:rPr>
              <w:t>111994170</w:t>
            </w:r>
          </w:p>
        </w:tc>
        <w:tc>
          <w:tcPr>
            <w:tcW w:w="0" w:type="auto"/>
            <w:vAlign w:val="center"/>
          </w:tcPr>
          <w:p w:rsidR="00AB137F" w:rsidRDefault="009B03A2">
            <w:pPr>
              <w:jc w:val="center"/>
            </w:pPr>
            <w:r>
              <w:rPr>
                <w:color w:val="000000"/>
                <w:sz w:val="24"/>
              </w:rPr>
              <w:t>19</w:t>
            </w:r>
            <w:r>
              <w:rPr>
                <w:color w:val="000000"/>
                <w:sz w:val="24"/>
              </w:rPr>
              <w:t>兰州银行</w:t>
            </w:r>
            <w:r>
              <w:rPr>
                <w:color w:val="000000"/>
                <w:sz w:val="24"/>
              </w:rPr>
              <w:t>CD012</w:t>
            </w:r>
          </w:p>
        </w:tc>
        <w:tc>
          <w:tcPr>
            <w:tcW w:w="0" w:type="auto"/>
            <w:vAlign w:val="center"/>
          </w:tcPr>
          <w:p w:rsidR="00AB137F" w:rsidRDefault="009B03A2">
            <w:pPr>
              <w:jc w:val="right"/>
            </w:pPr>
            <w:r>
              <w:rPr>
                <w:color w:val="000000"/>
                <w:sz w:val="24"/>
              </w:rPr>
              <w:t>2,000,000</w:t>
            </w:r>
          </w:p>
        </w:tc>
        <w:tc>
          <w:tcPr>
            <w:tcW w:w="0" w:type="auto"/>
            <w:vAlign w:val="center"/>
          </w:tcPr>
          <w:p w:rsidR="00AB137F" w:rsidRDefault="009B03A2">
            <w:pPr>
              <w:jc w:val="right"/>
            </w:pPr>
            <w:r>
              <w:rPr>
                <w:color w:val="000000"/>
                <w:sz w:val="24"/>
              </w:rPr>
              <w:t>198,690,685.03</w:t>
            </w:r>
          </w:p>
        </w:tc>
        <w:tc>
          <w:tcPr>
            <w:tcW w:w="0" w:type="auto"/>
            <w:vAlign w:val="center"/>
          </w:tcPr>
          <w:p w:rsidR="00AB137F" w:rsidRDefault="009B03A2">
            <w:pPr>
              <w:jc w:val="right"/>
            </w:pPr>
            <w:r>
              <w:rPr>
                <w:color w:val="000000"/>
                <w:sz w:val="24"/>
              </w:rPr>
              <w:t>1.93</w:t>
            </w:r>
          </w:p>
        </w:tc>
      </w:tr>
      <w:tr w:rsidR="00AB137F">
        <w:trPr>
          <w:jc w:val="center"/>
        </w:trPr>
        <w:tc>
          <w:tcPr>
            <w:tcW w:w="0" w:type="auto"/>
            <w:vAlign w:val="center"/>
          </w:tcPr>
          <w:p w:rsidR="00AB137F" w:rsidRDefault="009B03A2">
            <w:pPr>
              <w:jc w:val="center"/>
            </w:pPr>
            <w:r>
              <w:rPr>
                <w:color w:val="000000"/>
                <w:sz w:val="24"/>
              </w:rPr>
              <w:t>8</w:t>
            </w:r>
          </w:p>
        </w:tc>
        <w:tc>
          <w:tcPr>
            <w:tcW w:w="0" w:type="auto"/>
            <w:vAlign w:val="center"/>
          </w:tcPr>
          <w:p w:rsidR="00AB137F" w:rsidRDefault="009B03A2">
            <w:pPr>
              <w:jc w:val="center"/>
            </w:pPr>
            <w:r>
              <w:rPr>
                <w:color w:val="000000"/>
                <w:sz w:val="24"/>
              </w:rPr>
              <w:t>111993639</w:t>
            </w:r>
          </w:p>
        </w:tc>
        <w:tc>
          <w:tcPr>
            <w:tcW w:w="0" w:type="auto"/>
            <w:vAlign w:val="center"/>
          </w:tcPr>
          <w:p w:rsidR="00AB137F" w:rsidRDefault="009B03A2">
            <w:pPr>
              <w:jc w:val="center"/>
            </w:pPr>
            <w:r>
              <w:rPr>
                <w:color w:val="000000"/>
                <w:sz w:val="24"/>
              </w:rPr>
              <w:t>19</w:t>
            </w:r>
            <w:r>
              <w:rPr>
                <w:color w:val="000000"/>
                <w:sz w:val="24"/>
              </w:rPr>
              <w:t>深圳农商银行</w:t>
            </w:r>
            <w:r>
              <w:rPr>
                <w:color w:val="000000"/>
                <w:sz w:val="24"/>
              </w:rPr>
              <w:t>CD001</w:t>
            </w:r>
          </w:p>
        </w:tc>
        <w:tc>
          <w:tcPr>
            <w:tcW w:w="0" w:type="auto"/>
            <w:vAlign w:val="center"/>
          </w:tcPr>
          <w:p w:rsidR="00AB137F" w:rsidRDefault="009B03A2">
            <w:pPr>
              <w:jc w:val="right"/>
            </w:pPr>
            <w:r>
              <w:rPr>
                <w:color w:val="000000"/>
                <w:sz w:val="24"/>
              </w:rPr>
              <w:t>1,800,000</w:t>
            </w:r>
          </w:p>
        </w:tc>
        <w:tc>
          <w:tcPr>
            <w:tcW w:w="0" w:type="auto"/>
            <w:vAlign w:val="center"/>
          </w:tcPr>
          <w:p w:rsidR="00AB137F" w:rsidRDefault="009B03A2">
            <w:pPr>
              <w:jc w:val="right"/>
            </w:pPr>
            <w:r>
              <w:rPr>
                <w:color w:val="000000"/>
                <w:sz w:val="24"/>
              </w:rPr>
              <w:t>178,894,961.03</w:t>
            </w:r>
          </w:p>
        </w:tc>
        <w:tc>
          <w:tcPr>
            <w:tcW w:w="0" w:type="auto"/>
            <w:vAlign w:val="center"/>
          </w:tcPr>
          <w:p w:rsidR="00AB137F" w:rsidRDefault="009B03A2">
            <w:pPr>
              <w:jc w:val="right"/>
            </w:pPr>
            <w:r>
              <w:rPr>
                <w:color w:val="000000"/>
                <w:sz w:val="24"/>
              </w:rPr>
              <w:t>1.74</w:t>
            </w:r>
          </w:p>
        </w:tc>
      </w:tr>
      <w:tr w:rsidR="00AB137F">
        <w:trPr>
          <w:jc w:val="center"/>
        </w:trPr>
        <w:tc>
          <w:tcPr>
            <w:tcW w:w="0" w:type="auto"/>
            <w:vAlign w:val="center"/>
          </w:tcPr>
          <w:p w:rsidR="00AB137F" w:rsidRDefault="009B03A2">
            <w:pPr>
              <w:jc w:val="center"/>
            </w:pPr>
            <w:r>
              <w:rPr>
                <w:color w:val="000000"/>
                <w:sz w:val="24"/>
              </w:rPr>
              <w:t>9</w:t>
            </w:r>
          </w:p>
        </w:tc>
        <w:tc>
          <w:tcPr>
            <w:tcW w:w="0" w:type="auto"/>
            <w:vAlign w:val="center"/>
          </w:tcPr>
          <w:p w:rsidR="00AB137F" w:rsidRDefault="009B03A2">
            <w:pPr>
              <w:jc w:val="center"/>
            </w:pPr>
            <w:r>
              <w:rPr>
                <w:color w:val="000000"/>
                <w:sz w:val="24"/>
              </w:rPr>
              <w:t>180312</w:t>
            </w:r>
          </w:p>
        </w:tc>
        <w:tc>
          <w:tcPr>
            <w:tcW w:w="0" w:type="auto"/>
            <w:vAlign w:val="center"/>
          </w:tcPr>
          <w:p w:rsidR="00AB137F" w:rsidRDefault="009B03A2">
            <w:pPr>
              <w:jc w:val="center"/>
            </w:pPr>
            <w:r>
              <w:rPr>
                <w:color w:val="000000"/>
                <w:sz w:val="24"/>
              </w:rPr>
              <w:t>18</w:t>
            </w:r>
            <w:r>
              <w:rPr>
                <w:color w:val="000000"/>
                <w:sz w:val="24"/>
              </w:rPr>
              <w:t>进出</w:t>
            </w:r>
            <w:r>
              <w:rPr>
                <w:color w:val="000000"/>
                <w:sz w:val="24"/>
              </w:rPr>
              <w:t>12</w:t>
            </w:r>
          </w:p>
        </w:tc>
        <w:tc>
          <w:tcPr>
            <w:tcW w:w="0" w:type="auto"/>
            <w:vAlign w:val="center"/>
          </w:tcPr>
          <w:p w:rsidR="00AB137F" w:rsidRDefault="009B03A2">
            <w:pPr>
              <w:jc w:val="right"/>
            </w:pPr>
            <w:r>
              <w:rPr>
                <w:color w:val="000000"/>
                <w:sz w:val="24"/>
              </w:rPr>
              <w:t>1,600,000</w:t>
            </w:r>
          </w:p>
        </w:tc>
        <w:tc>
          <w:tcPr>
            <w:tcW w:w="0" w:type="auto"/>
            <w:vAlign w:val="center"/>
          </w:tcPr>
          <w:p w:rsidR="00AB137F" w:rsidRDefault="009B03A2">
            <w:pPr>
              <w:jc w:val="right"/>
            </w:pPr>
            <w:r>
              <w:rPr>
                <w:color w:val="000000"/>
                <w:sz w:val="24"/>
              </w:rPr>
              <w:t>160,513,693.26</w:t>
            </w:r>
          </w:p>
        </w:tc>
        <w:tc>
          <w:tcPr>
            <w:tcW w:w="0" w:type="auto"/>
            <w:vAlign w:val="center"/>
          </w:tcPr>
          <w:p w:rsidR="00AB137F" w:rsidRDefault="009B03A2">
            <w:pPr>
              <w:jc w:val="right"/>
            </w:pPr>
            <w:r>
              <w:rPr>
                <w:color w:val="000000"/>
                <w:sz w:val="24"/>
              </w:rPr>
              <w:t>1.56</w:t>
            </w:r>
          </w:p>
        </w:tc>
      </w:tr>
      <w:tr w:rsidR="00AB137F">
        <w:trPr>
          <w:jc w:val="center"/>
        </w:trPr>
        <w:tc>
          <w:tcPr>
            <w:tcW w:w="0" w:type="auto"/>
            <w:vAlign w:val="center"/>
          </w:tcPr>
          <w:p w:rsidR="00AB137F" w:rsidRDefault="009B03A2">
            <w:pPr>
              <w:jc w:val="center"/>
            </w:pPr>
            <w:r>
              <w:rPr>
                <w:color w:val="000000"/>
                <w:sz w:val="24"/>
              </w:rPr>
              <w:t>10</w:t>
            </w:r>
          </w:p>
        </w:tc>
        <w:tc>
          <w:tcPr>
            <w:tcW w:w="0" w:type="auto"/>
            <w:vAlign w:val="center"/>
          </w:tcPr>
          <w:p w:rsidR="00AB137F" w:rsidRDefault="009B03A2">
            <w:pPr>
              <w:jc w:val="center"/>
            </w:pPr>
            <w:r>
              <w:rPr>
                <w:color w:val="000000"/>
                <w:sz w:val="24"/>
              </w:rPr>
              <w:t>111821199</w:t>
            </w:r>
          </w:p>
        </w:tc>
        <w:tc>
          <w:tcPr>
            <w:tcW w:w="0" w:type="auto"/>
            <w:vAlign w:val="center"/>
          </w:tcPr>
          <w:p w:rsidR="00AB137F" w:rsidRDefault="009B03A2">
            <w:pPr>
              <w:jc w:val="center"/>
            </w:pPr>
            <w:r>
              <w:rPr>
                <w:color w:val="000000"/>
                <w:sz w:val="24"/>
              </w:rPr>
              <w:t>18</w:t>
            </w:r>
            <w:r>
              <w:rPr>
                <w:color w:val="000000"/>
                <w:sz w:val="24"/>
              </w:rPr>
              <w:t>渤海银行</w:t>
            </w:r>
            <w:r>
              <w:rPr>
                <w:color w:val="000000"/>
                <w:sz w:val="24"/>
              </w:rPr>
              <w:t>CD199</w:t>
            </w:r>
          </w:p>
        </w:tc>
        <w:tc>
          <w:tcPr>
            <w:tcW w:w="0" w:type="auto"/>
            <w:vAlign w:val="center"/>
          </w:tcPr>
          <w:p w:rsidR="00AB137F" w:rsidRDefault="009B03A2">
            <w:pPr>
              <w:jc w:val="right"/>
            </w:pPr>
            <w:r>
              <w:rPr>
                <w:color w:val="000000"/>
                <w:sz w:val="24"/>
              </w:rPr>
              <w:t>1,500,000</w:t>
            </w:r>
          </w:p>
        </w:tc>
        <w:tc>
          <w:tcPr>
            <w:tcW w:w="0" w:type="auto"/>
            <w:vAlign w:val="center"/>
          </w:tcPr>
          <w:p w:rsidR="00AB137F" w:rsidRDefault="009B03A2">
            <w:pPr>
              <w:jc w:val="right"/>
            </w:pPr>
            <w:r>
              <w:rPr>
                <w:color w:val="000000"/>
                <w:sz w:val="24"/>
              </w:rPr>
              <w:t>149,359,768.08</w:t>
            </w:r>
          </w:p>
        </w:tc>
        <w:tc>
          <w:tcPr>
            <w:tcW w:w="0" w:type="auto"/>
            <w:vAlign w:val="center"/>
          </w:tcPr>
          <w:p w:rsidR="00AB137F" w:rsidRDefault="009B03A2">
            <w:pPr>
              <w:jc w:val="right"/>
            </w:pPr>
            <w:r>
              <w:rPr>
                <w:color w:val="000000"/>
                <w:sz w:val="24"/>
              </w:rPr>
              <w:t>1.45</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0.0481%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0.0026%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0.0218%</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d"/>
        <w:tblW w:w="8868" w:type="dxa"/>
        <w:jc w:val="center"/>
        <w:tblCellMar>
          <w:top w:w="57" w:type="dxa"/>
          <w:bottom w:w="57" w:type="dxa"/>
        </w:tblCellMar>
        <w:tblLook w:val="04A0" w:firstRow="1" w:lastRow="0" w:firstColumn="1" w:lastColumn="0" w:noHBand="0" w:noVBand="1"/>
      </w:tblPr>
      <w:tblGrid>
        <w:gridCol w:w="1300"/>
        <w:gridCol w:w="1407"/>
        <w:gridCol w:w="1733"/>
        <w:gridCol w:w="1421"/>
        <w:gridCol w:w="1596"/>
        <w:gridCol w:w="1411"/>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AB137F">
        <w:trPr>
          <w:jc w:val="center"/>
        </w:trPr>
        <w:tc>
          <w:tcPr>
            <w:tcW w:w="0" w:type="auto"/>
            <w:vAlign w:val="center"/>
          </w:tcPr>
          <w:p w:rsidR="00AB137F" w:rsidRDefault="009B03A2">
            <w:pPr>
              <w:jc w:val="center"/>
            </w:pPr>
            <w:r>
              <w:rPr>
                <w:color w:val="000000"/>
                <w:sz w:val="24"/>
              </w:rPr>
              <w:t>1</w:t>
            </w:r>
          </w:p>
        </w:tc>
        <w:tc>
          <w:tcPr>
            <w:tcW w:w="0" w:type="auto"/>
            <w:vAlign w:val="center"/>
          </w:tcPr>
          <w:p w:rsidR="00AB137F" w:rsidRDefault="009B03A2">
            <w:pPr>
              <w:jc w:val="center"/>
            </w:pPr>
            <w:r>
              <w:rPr>
                <w:color w:val="000000"/>
                <w:sz w:val="24"/>
              </w:rPr>
              <w:t>156793</w:t>
            </w:r>
          </w:p>
        </w:tc>
        <w:tc>
          <w:tcPr>
            <w:tcW w:w="0" w:type="auto"/>
            <w:vAlign w:val="center"/>
          </w:tcPr>
          <w:p w:rsidR="00AB137F" w:rsidRDefault="009B03A2">
            <w:pPr>
              <w:jc w:val="center"/>
            </w:pPr>
            <w:r>
              <w:rPr>
                <w:color w:val="000000"/>
                <w:sz w:val="24"/>
              </w:rPr>
              <w:t>信泽</w:t>
            </w:r>
            <w:r>
              <w:rPr>
                <w:color w:val="000000"/>
                <w:sz w:val="24"/>
              </w:rPr>
              <w:t>01A1(</w:t>
            </w:r>
            <w:r>
              <w:rPr>
                <w:color w:val="000000"/>
                <w:sz w:val="24"/>
              </w:rPr>
              <w:t>总价</w:t>
            </w:r>
            <w:r>
              <w:rPr>
                <w:color w:val="000000"/>
                <w:sz w:val="24"/>
              </w:rPr>
              <w:t>)</w:t>
            </w:r>
          </w:p>
        </w:tc>
        <w:tc>
          <w:tcPr>
            <w:tcW w:w="0" w:type="auto"/>
            <w:vAlign w:val="center"/>
          </w:tcPr>
          <w:p w:rsidR="00AB137F" w:rsidRDefault="009B03A2">
            <w:pPr>
              <w:jc w:val="right"/>
            </w:pPr>
            <w:r>
              <w:rPr>
                <w:color w:val="000000"/>
                <w:sz w:val="24"/>
              </w:rPr>
              <w:t>300,000</w:t>
            </w:r>
          </w:p>
        </w:tc>
        <w:tc>
          <w:tcPr>
            <w:tcW w:w="0" w:type="auto"/>
            <w:vAlign w:val="center"/>
          </w:tcPr>
          <w:p w:rsidR="00AB137F" w:rsidRDefault="009B03A2">
            <w:pPr>
              <w:jc w:val="right"/>
            </w:pPr>
            <w:r>
              <w:rPr>
                <w:color w:val="000000"/>
                <w:sz w:val="24"/>
              </w:rPr>
              <w:t>30,000,000.00</w:t>
            </w:r>
          </w:p>
        </w:tc>
        <w:tc>
          <w:tcPr>
            <w:tcW w:w="0" w:type="auto"/>
            <w:vAlign w:val="center"/>
          </w:tcPr>
          <w:p w:rsidR="00AB137F" w:rsidRDefault="009B03A2">
            <w:pPr>
              <w:jc w:val="right"/>
            </w:pPr>
            <w:r>
              <w:rPr>
                <w:color w:val="000000"/>
                <w:sz w:val="24"/>
              </w:rPr>
              <w:t>0.29</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d"/>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20,867,770.20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4,950.00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499.55</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20,873,219.75</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交银天鑫宝货币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交银天鑫宝货币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40,775,558.60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11,628,223,446.85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13,177,937.79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11,190,476,964.63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28,641,803.98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12,565,590,088.27</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25,311,692.41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10,253,110,323.21</w:t>
            </w:r>
          </w:p>
        </w:tc>
      </w:tr>
    </w:tbl>
    <w:p w:rsidR="00AB137F" w:rsidRDefault="009B03A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B137F">
        <w:tc>
          <w:tcPr>
            <w:tcW w:w="992" w:type="dxa"/>
            <w:vMerge w:val="restart"/>
          </w:tcPr>
          <w:p w:rsidR="00AB137F" w:rsidRDefault="00AB137F"/>
          <w:p w:rsidR="00AB137F" w:rsidRDefault="009B03A2">
            <w:r>
              <w:rPr>
                <w:rFonts w:ascii="宋体" w:hAnsi="宋体" w:hint="eastAsia"/>
                <w:bCs/>
                <w:color w:val="000000"/>
                <w:kern w:val="0"/>
                <w:szCs w:val="21"/>
              </w:rPr>
              <w:t>机构</w:t>
            </w:r>
          </w:p>
        </w:tc>
        <w:tc>
          <w:tcPr>
            <w:tcW w:w="991" w:type="dxa"/>
            <w:vAlign w:val="center"/>
          </w:tcPr>
          <w:p w:rsidR="00AB137F" w:rsidRDefault="009B03A2">
            <w:pPr>
              <w:jc w:val="center"/>
            </w:pPr>
            <w:r>
              <w:rPr>
                <w:rFonts w:ascii="宋体" w:hAnsi="宋体" w:hint="eastAsia"/>
                <w:color w:val="000000"/>
                <w:kern w:val="0"/>
                <w:szCs w:val="21"/>
              </w:rPr>
              <w:t>1</w:t>
            </w:r>
          </w:p>
        </w:tc>
        <w:tc>
          <w:tcPr>
            <w:tcW w:w="1843" w:type="dxa"/>
            <w:vAlign w:val="center"/>
          </w:tcPr>
          <w:p w:rsidR="00AB137F" w:rsidRDefault="009B03A2">
            <w:pPr>
              <w:jc w:val="center"/>
            </w:pPr>
            <w:r>
              <w:rPr>
                <w:rFonts w:ascii="宋体" w:hAnsi="宋体" w:hint="eastAsia"/>
                <w:color w:val="000000"/>
                <w:kern w:val="0"/>
                <w:szCs w:val="21"/>
              </w:rPr>
              <w:t>2019/1/1-2019/3/31</w:t>
            </w:r>
          </w:p>
        </w:tc>
        <w:tc>
          <w:tcPr>
            <w:tcW w:w="851" w:type="dxa"/>
            <w:vAlign w:val="center"/>
          </w:tcPr>
          <w:p w:rsidR="00AB137F" w:rsidRDefault="009B03A2">
            <w:pPr>
              <w:jc w:val="center"/>
            </w:pPr>
            <w:r>
              <w:rPr>
                <w:rFonts w:ascii="宋体" w:hAnsi="宋体" w:hint="eastAsia"/>
                <w:color w:val="000000"/>
                <w:kern w:val="0"/>
                <w:szCs w:val="21"/>
              </w:rPr>
              <w:t>3,524,025,873.72</w:t>
            </w:r>
          </w:p>
        </w:tc>
        <w:tc>
          <w:tcPr>
            <w:tcW w:w="850" w:type="dxa"/>
            <w:vAlign w:val="center"/>
          </w:tcPr>
          <w:p w:rsidR="00AB137F" w:rsidRDefault="009B03A2">
            <w:pPr>
              <w:jc w:val="center"/>
            </w:pPr>
            <w:r>
              <w:rPr>
                <w:rFonts w:ascii="宋体" w:hAnsi="宋体" w:hint="eastAsia"/>
                <w:color w:val="000000"/>
                <w:kern w:val="0"/>
                <w:szCs w:val="21"/>
              </w:rPr>
              <w:t>2,037,715,466.62</w:t>
            </w:r>
          </w:p>
        </w:tc>
        <w:tc>
          <w:tcPr>
            <w:tcW w:w="1134" w:type="dxa"/>
            <w:vAlign w:val="center"/>
          </w:tcPr>
          <w:p w:rsidR="00AB137F" w:rsidRDefault="009B03A2">
            <w:pPr>
              <w:jc w:val="center"/>
            </w:pPr>
            <w:r>
              <w:rPr>
                <w:rFonts w:ascii="宋体" w:hAnsi="宋体" w:hint="eastAsia"/>
                <w:color w:val="000000"/>
                <w:kern w:val="0"/>
                <w:szCs w:val="21"/>
              </w:rPr>
              <w:t>3,000,000,000.00</w:t>
            </w:r>
          </w:p>
        </w:tc>
        <w:tc>
          <w:tcPr>
            <w:tcW w:w="1419" w:type="dxa"/>
            <w:vAlign w:val="center"/>
          </w:tcPr>
          <w:p w:rsidR="00AB137F" w:rsidRDefault="009B03A2">
            <w:pPr>
              <w:jc w:val="center"/>
            </w:pPr>
            <w:r>
              <w:rPr>
                <w:rFonts w:ascii="宋体" w:hAnsi="宋体" w:hint="eastAsia"/>
                <w:color w:val="000000"/>
                <w:kern w:val="0"/>
                <w:szCs w:val="21"/>
              </w:rPr>
              <w:t>2,561,741,340.34</w:t>
            </w:r>
          </w:p>
        </w:tc>
        <w:tc>
          <w:tcPr>
            <w:tcW w:w="1130" w:type="dxa"/>
            <w:vAlign w:val="center"/>
          </w:tcPr>
          <w:p w:rsidR="00AB137F" w:rsidRDefault="009B03A2">
            <w:pPr>
              <w:jc w:val="center"/>
            </w:pPr>
            <w:r>
              <w:rPr>
                <w:rFonts w:ascii="宋体" w:hAnsi="宋体" w:hint="eastAsia"/>
                <w:color w:val="000000"/>
                <w:kern w:val="0"/>
                <w:szCs w:val="21"/>
              </w:rPr>
              <w:t>24.92%</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AB137F" w:rsidRDefault="009B03A2">
      <w:pPr>
        <w:spacing w:before="29" w:line="288" w:lineRule="auto"/>
        <w:ind w:firstLineChars="200" w:firstLine="480"/>
        <w:rPr>
          <w:color w:val="000000"/>
          <w:sz w:val="24"/>
        </w:rPr>
      </w:pPr>
      <w:r>
        <w:rPr>
          <w:color w:val="000000"/>
          <w:sz w:val="24"/>
        </w:rPr>
        <w:t>1</w:t>
      </w:r>
      <w:r>
        <w:rPr>
          <w:color w:val="000000"/>
          <w:sz w:val="24"/>
        </w:rPr>
        <w:t>、中国证监会准予交银施罗德天鑫宝货币市场基金募集注册的文件；</w:t>
      </w:r>
      <w:r>
        <w:rPr>
          <w:color w:val="000000"/>
          <w:sz w:val="24"/>
        </w:rPr>
        <w:t xml:space="preserve"> </w:t>
      </w:r>
    </w:p>
    <w:p w:rsidR="00AB137F" w:rsidRDefault="009B03A2">
      <w:pPr>
        <w:spacing w:before="29" w:line="288" w:lineRule="auto"/>
        <w:ind w:firstLineChars="200" w:firstLine="480"/>
        <w:rPr>
          <w:color w:val="000000"/>
          <w:sz w:val="24"/>
        </w:rPr>
      </w:pPr>
      <w:r>
        <w:rPr>
          <w:color w:val="000000"/>
          <w:sz w:val="24"/>
        </w:rPr>
        <w:t>2</w:t>
      </w:r>
      <w:r>
        <w:rPr>
          <w:color w:val="000000"/>
          <w:sz w:val="24"/>
        </w:rPr>
        <w:t>、《交银施罗德天鑫宝货币市场基金基金合同》；</w:t>
      </w:r>
      <w:r>
        <w:rPr>
          <w:color w:val="000000"/>
          <w:sz w:val="24"/>
        </w:rPr>
        <w:t xml:space="preserve"> </w:t>
      </w:r>
    </w:p>
    <w:p w:rsidR="00AB137F" w:rsidRDefault="009B03A2">
      <w:pPr>
        <w:spacing w:before="29" w:line="288" w:lineRule="auto"/>
        <w:ind w:firstLineChars="200" w:firstLine="480"/>
        <w:rPr>
          <w:color w:val="000000"/>
          <w:sz w:val="24"/>
        </w:rPr>
      </w:pPr>
      <w:r>
        <w:rPr>
          <w:color w:val="000000"/>
          <w:sz w:val="24"/>
        </w:rPr>
        <w:t>3</w:t>
      </w:r>
      <w:r>
        <w:rPr>
          <w:color w:val="000000"/>
          <w:sz w:val="24"/>
        </w:rPr>
        <w:t>、《交银施罗德天鑫宝货币市场基金招募说明书》；</w:t>
      </w:r>
      <w:r>
        <w:rPr>
          <w:color w:val="000000"/>
          <w:sz w:val="24"/>
        </w:rPr>
        <w:t xml:space="preserve"> </w:t>
      </w:r>
    </w:p>
    <w:p w:rsidR="00AB137F" w:rsidRDefault="009B03A2">
      <w:pPr>
        <w:spacing w:before="29" w:line="288" w:lineRule="auto"/>
        <w:ind w:firstLineChars="200" w:firstLine="480"/>
        <w:rPr>
          <w:color w:val="000000"/>
          <w:sz w:val="24"/>
        </w:rPr>
      </w:pPr>
      <w:r>
        <w:rPr>
          <w:color w:val="000000"/>
          <w:sz w:val="24"/>
        </w:rPr>
        <w:t>4</w:t>
      </w:r>
      <w:r>
        <w:rPr>
          <w:color w:val="000000"/>
          <w:sz w:val="24"/>
        </w:rPr>
        <w:t>、《交银施罗德天鑫宝货币市场基金托管协议》；</w:t>
      </w:r>
      <w:r>
        <w:rPr>
          <w:color w:val="000000"/>
          <w:sz w:val="24"/>
        </w:rPr>
        <w:t xml:space="preserve"> </w:t>
      </w:r>
    </w:p>
    <w:p w:rsidR="00AB137F" w:rsidRDefault="009B03A2">
      <w:pPr>
        <w:spacing w:before="29" w:line="288" w:lineRule="auto"/>
        <w:ind w:firstLineChars="200" w:firstLine="480"/>
        <w:rPr>
          <w:color w:val="000000"/>
          <w:sz w:val="24"/>
        </w:rPr>
      </w:pPr>
      <w:r>
        <w:rPr>
          <w:color w:val="000000"/>
          <w:sz w:val="24"/>
        </w:rPr>
        <w:t>5</w:t>
      </w:r>
      <w:r>
        <w:rPr>
          <w:color w:val="000000"/>
          <w:sz w:val="24"/>
        </w:rPr>
        <w:t>、关于申请募集注册交银施罗德天鑫宝货币市场基金的法律意见书；</w:t>
      </w:r>
      <w:r>
        <w:rPr>
          <w:color w:val="000000"/>
          <w:sz w:val="24"/>
        </w:rPr>
        <w:t xml:space="preserve"> </w:t>
      </w:r>
    </w:p>
    <w:p w:rsidR="00AB137F" w:rsidRDefault="009B03A2">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AB137F" w:rsidRDefault="009B03A2">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、报告期内交银施罗德天鑫宝货币市场基金在指定报刊上各项公告的原稿。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AB137F" w:rsidRDefault="009B03A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5FF" w:rsidRDefault="006245FF">
      <w:r>
        <w:separator/>
      </w:r>
    </w:p>
  </w:endnote>
  <w:endnote w:type="continuationSeparator" w:id="0">
    <w:p w:rsidR="006245FF" w:rsidRDefault="0062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5E" w:rsidRPr="001D0DB0" w:rsidRDefault="00D1705E" w:rsidP="001D0DB0">
    <w:pPr>
      <w:pStyle w:val="a6"/>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9B03A2">
      <w:rPr>
        <w:noProof/>
        <w:kern w:val="0"/>
        <w:szCs w:val="21"/>
      </w:rPr>
      <w:t>9</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9B03A2">
      <w:rPr>
        <w:noProof/>
        <w:kern w:val="0"/>
        <w:szCs w:val="21"/>
      </w:rPr>
      <w:t>14</w:t>
    </w:r>
    <w:r w:rsidR="00457CD3">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5FF" w:rsidRDefault="006245FF">
      <w:r>
        <w:separator/>
      </w:r>
    </w:p>
  </w:footnote>
  <w:footnote w:type="continuationSeparator" w:id="0">
    <w:p w:rsidR="006245FF" w:rsidRDefault="0062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5E" w:rsidRPr="00841EB4" w:rsidRDefault="00841EB4" w:rsidP="008379E2">
    <w:pPr>
      <w:pStyle w:val="a4"/>
      <w:pBdr>
        <w:bottom w:val="single" w:sz="6" w:space="0" w:color="auto"/>
      </w:pBdr>
      <w:jc w:val="right"/>
      <w:rPr>
        <w:sz w:val="24"/>
        <w:szCs w:val="24"/>
      </w:rPr>
    </w:pPr>
    <w:r w:rsidRPr="003E676C">
      <w:rPr>
        <w:sz w:val="24"/>
        <w:szCs w:val="24"/>
      </w:rPr>
      <w:t>交银施罗德天鑫宝货币市场基金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03A2"/>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137F"/>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5:docId w15:val="{415CC330-FAB2-4311-BADB-E2FFA122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character" w:styleId="af1">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0E68B54-4AF8-4517-B204-9EE0D352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14</Pages>
  <Words>1251</Words>
  <Characters>7136</Characters>
  <Application>Microsoft Office Word</Application>
  <DocSecurity>0</DocSecurity>
  <Lines>59</Lines>
  <Paragraphs>16</Paragraphs>
  <ScaleCrop>false</ScaleCrop>
  <Company>jysld</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杨梦瑶</cp:lastModifiedBy>
  <cp:revision>315</cp:revision>
  <cp:lastPrinted>2009-01-22T10:11:00Z</cp:lastPrinted>
  <dcterms:created xsi:type="dcterms:W3CDTF">2012-11-21T05:49:00Z</dcterms:created>
  <dcterms:modified xsi:type="dcterms:W3CDTF">2019-04-11T08:09:00Z</dcterms:modified>
</cp:coreProperties>
</file>