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交银施罗德荣祥保本混合型证券投资基金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2013年4月24日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453,967,529.43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基金保证人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6,747,406.05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3,234,276.18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487,390,794.88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0.66%</w:t>
            </w:r>
          </w:p>
        </w:tc>
        <w:tc>
          <w:tcPr>
            <w:vAlign w:val="center"/>
          </w:tcPr>
          <w:p>
            <w:pPr>
              <w:jc w:val="center"/>
            </w:pPr>
            <w:r>
              <w:rPr>
                <w:color w:val="000000"/>
                <w:sz w:val="24"/>
                <w:szCs w:val="24"/>
              </w:rPr>
              <w:t>0.04%</w:t>
            </w:r>
          </w:p>
        </w:tc>
        <w:tc>
          <w:tcPr>
            <w:vAlign w:val="center"/>
          </w:tcPr>
          <w:p>
            <w:pPr>
              <w:jc w:val="center"/>
            </w:pPr>
            <w:r>
              <w:rPr>
                <w:color w:val="000000"/>
                <w:sz w:val="24"/>
                <w:szCs w:val="24"/>
              </w:rPr>
              <w:t>0.68%</w:t>
            </w:r>
          </w:p>
        </w:tc>
        <w:tc>
          <w:tcPr>
            <w:vAlign w:val="center"/>
          </w:tcPr>
          <w:p>
            <w:pPr>
              <w:jc w:val="center"/>
            </w:pPr>
            <w:r>
              <w:rPr>
                <w:color w:val="000000"/>
                <w:sz w:val="24"/>
                <w:szCs w:val="24"/>
              </w:rPr>
              <w:t>0.01%</w:t>
            </w:r>
          </w:p>
        </w:tc>
        <w:tc>
          <w:tcPr>
            <w:vAlign w:val="center"/>
          </w:tcPr>
          <w:p>
            <w:pPr>
              <w:jc w:val="center"/>
            </w:pPr>
            <w:r>
              <w:rPr>
                <w:color w:val="000000"/>
                <w:sz w:val="24"/>
                <w:szCs w:val="24"/>
              </w:rPr>
              <w:t>-0.02%</w:t>
            </w:r>
          </w:p>
        </w:tc>
        <w:tc>
          <w:tcPr>
            <w:vAlign w:val="center"/>
          </w:tcPr>
          <w:p>
            <w:pPr>
              <w:jc w:val="center"/>
            </w:pPr>
            <w:r>
              <w:rPr>
                <w:color w:val="000000"/>
                <w:sz w:val="24"/>
                <w:szCs w:val="24"/>
              </w:rPr>
              <w:t>0.03%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交银施罗德荣祥保本混合型证券投资基金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2013年4月24日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于海颖</w:t>
            </w:r>
          </w:p>
        </w:tc>
        <w:tc>
          <w:tcPr>
            <w:vAlign w:val="center"/>
          </w:tcPr>
          <w:p>
            <w:pPr>
              <w:jc w:val="center"/>
            </w:pPr>
            <w:r>
              <w:rPr>
                <w:color w:val="000000"/>
                <w:sz w:val="24"/>
                <w:szCs w:val="24"/>
              </w:rPr>
              <w:t>交银增利债券、交银纯债债券发起、交银丰盈收益债券、交银丰晟收益债券、交银裕如纯债债券的基金经理，公司固定收益（公募）投资总监</w:t>
            </w:r>
          </w:p>
        </w:tc>
        <w:tc>
          <w:tcPr>
            <w:vAlign w:val="center"/>
          </w:tcPr>
          <w:p>
            <w:pPr>
              <w:jc w:val="center"/>
            </w:pPr>
            <w:r>
              <w:rPr>
                <w:color w:val="000000"/>
                <w:sz w:val="24"/>
                <w:szCs w:val="24"/>
              </w:rPr>
              <w:t>2017-06-10</w:t>
            </w:r>
          </w:p>
        </w:tc>
        <w:tc>
          <w:tcPr>
            <w:vAlign w:val="center"/>
          </w:tcPr>
          <w:p>
            <w:pPr>
              <w:jc w:val="center"/>
            </w:pPr>
            <w:r>
              <w:rPr>
                <w:color w:val="000000"/>
                <w:sz w:val="24"/>
                <w:szCs w:val="24"/>
              </w:rPr>
              <w:t>2019-03-15</w:t>
            </w:r>
          </w:p>
        </w:tc>
        <w:tc>
          <w:tcPr>
            <w:vAlign w:val="center"/>
          </w:tcPr>
          <w:p>
            <w:pPr>
              <w:jc w:val="center"/>
            </w:pPr>
            <w:r>
              <w:rPr>
                <w:color w:val="000000"/>
                <w:sz w:val="24"/>
                <w:szCs w:val="24"/>
              </w:rPr>
              <w:t>13年</w:t>
            </w:r>
          </w:p>
        </w:tc>
        <w:tc>
          <w:tcPr>
            <w:vAlign w:val="center"/>
          </w:tcPr>
          <w:p>
            <w:pPr>
              <w:jc w:val="both"/>
            </w:pPr>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交银荣祥保本混合、交银定期支付月月丰债券、交银增强收益债券、交银强化回报债券、交银增利增强债券的基金经理，公司固定收益(公募)投资副总监</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社融向上拐点基本确立、资金面宽松、通缩预期消除以及海外风险有所缓释。宏观经济方面，随着一月信贷和社融超预期、基建相关的中观行业订单改善、房地产市场呈现结构性、季节性回暖，市场对于经济增长的预期逐步改善，但制造业和消费依然较为低迷，结构化特征依然明显。流动性方面，春节后资金面一度超预期宽松。此外，通缩风险逐步消除，海外风险逐步缓释，都利好风险资金。一季度以来，债券市场呈现短端收益率下行，长端收益率区间震荡的走势。</w:t>
      </w:r>
    </w:p>
    <w:p>
      <w:pPr>
        <w:spacing w:before="29" w:line="288" w:lineRule="auto"/>
        <w:ind w:firstLine="480" w:firstLineChars="200"/>
        <w:rPr>
          <w:color w:val="000000"/>
          <w:sz w:val="24"/>
          <w:szCs w:val="24"/>
        </w:rPr>
      </w:pPr>
      <w:r>
        <w:rPr>
          <w:color w:val="000000"/>
          <w:sz w:val="24"/>
          <w:szCs w:val="24"/>
        </w:rPr>
        <w:t>权益市场方面，经历2018年的业绩估值双杀后，权益市场在资金面宽松，社融超预期等因素的催化下出现大幅反弹，业绩相对较好的白酒农业，以及受益流动性宽松的反弹品种券商、计算机等均有不错表现。</w:t>
      </w:r>
    </w:p>
    <w:p>
      <w:pPr>
        <w:spacing w:before="29" w:line="288" w:lineRule="auto"/>
        <w:ind w:firstLine="480" w:firstLineChars="200"/>
        <w:rPr>
          <w:color w:val="000000"/>
          <w:sz w:val="24"/>
          <w:szCs w:val="24"/>
        </w:rPr>
      </w:pPr>
      <w:r>
        <w:rPr>
          <w:color w:val="000000"/>
          <w:sz w:val="24"/>
          <w:szCs w:val="24"/>
        </w:rPr>
        <w:t>组合操作层面，考虑到组合保本周期即将到期，因此本基金一季度主要的操作为置换超过保本周期的长久期资产，配置久期相对较短的CD、高等级债券以保持组合资产期限与保本周期的匹配。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二季度，我们认为经济基本面将震荡走平，但存在一定上行风险，因此我们将密切关注信贷结构变化，以及基建、地产的中观数据。我们对债券市场维持中性观点，在保本到期前，组合主要侧重于配置保本期限内的CD和高等级债券资产，继续在CPPI框架下积极积累安全垫，力求控制好组合净值回撤。</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285,442,850.00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58.41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285,442,850.00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58.41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182,700,794.05</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37.38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13,166,793.52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2.69</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7,415,565.17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1.52</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488,726,002.74</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本基金本报告期末未持有股票。</w:t>
      </w:r>
    </w:p>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26,502,650.00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26,502,650.00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5.44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2,605,200.00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0.53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10,064,000.00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2.06</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50,708,000.00</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10.40</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195,563,000.00</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40.12</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285,442,850.00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58.57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111910116</w:t>
            </w:r>
          </w:p>
        </w:tc>
        <w:tc>
          <w:tcPr>
            <w:vAlign w:val="center"/>
          </w:tcPr>
          <w:p>
            <w:pPr>
              <w:jc w:val="center"/>
            </w:pPr>
            <w:r>
              <w:rPr>
                <w:color w:val="000000"/>
                <w:sz w:val="24"/>
                <w:szCs w:val="24"/>
              </w:rPr>
              <w:t>19兴业银行CD116</w:t>
            </w:r>
          </w:p>
        </w:tc>
        <w:tc>
          <w:tcPr>
            <w:vAlign w:val="center"/>
          </w:tcPr>
          <w:p>
            <w:pPr>
              <w:jc w:val="right"/>
            </w:pPr>
            <w:r>
              <w:rPr>
                <w:color w:val="000000"/>
                <w:sz w:val="24"/>
                <w:szCs w:val="24"/>
              </w:rPr>
              <w:t>500,000</w:t>
            </w:r>
          </w:p>
        </w:tc>
        <w:tc>
          <w:tcPr>
            <w:vAlign w:val="center"/>
          </w:tcPr>
          <w:p>
            <w:pPr>
              <w:jc w:val="right"/>
            </w:pPr>
            <w:r>
              <w:rPr>
                <w:color w:val="000000"/>
                <w:sz w:val="24"/>
                <w:szCs w:val="24"/>
              </w:rPr>
              <w:t>49,670,000.00</w:t>
            </w:r>
          </w:p>
        </w:tc>
        <w:tc>
          <w:tcPr>
            <w:vAlign w:val="center"/>
          </w:tcPr>
          <w:p>
            <w:pPr>
              <w:jc w:val="right"/>
            </w:pPr>
            <w:r>
              <w:rPr>
                <w:color w:val="000000"/>
                <w:sz w:val="24"/>
                <w:szCs w:val="24"/>
              </w:rPr>
              <w:t>10.19</w:t>
            </w:r>
          </w:p>
        </w:tc>
      </w:tr>
      <w:tr>
        <w:tc>
          <w:tcPr>
            <w:vAlign w:val="center"/>
          </w:tcPr>
          <w:p>
            <w:pPr>
              <w:jc w:val="center"/>
            </w:pPr>
            <w:r>
              <w:rPr>
                <w:color w:val="000000"/>
                <w:sz w:val="24"/>
                <w:szCs w:val="24"/>
              </w:rPr>
              <w:t>2</w:t>
            </w:r>
          </w:p>
        </w:tc>
        <w:tc>
          <w:tcPr>
            <w:vAlign w:val="center"/>
          </w:tcPr>
          <w:p>
            <w:pPr>
              <w:jc w:val="center"/>
            </w:pPr>
            <w:r>
              <w:rPr>
                <w:color w:val="000000"/>
                <w:sz w:val="24"/>
                <w:szCs w:val="24"/>
              </w:rPr>
              <w:t>111918094</w:t>
            </w:r>
          </w:p>
        </w:tc>
        <w:tc>
          <w:tcPr>
            <w:vAlign w:val="center"/>
          </w:tcPr>
          <w:p>
            <w:pPr>
              <w:jc w:val="center"/>
            </w:pPr>
            <w:r>
              <w:rPr>
                <w:color w:val="000000"/>
                <w:sz w:val="24"/>
                <w:szCs w:val="24"/>
              </w:rPr>
              <w:t>19华夏银行CD094</w:t>
            </w:r>
          </w:p>
        </w:tc>
        <w:tc>
          <w:tcPr>
            <w:vAlign w:val="center"/>
          </w:tcPr>
          <w:p>
            <w:pPr>
              <w:jc w:val="right"/>
            </w:pPr>
            <w:r>
              <w:rPr>
                <w:color w:val="000000"/>
                <w:sz w:val="24"/>
                <w:szCs w:val="24"/>
              </w:rPr>
              <w:t>500,000</w:t>
            </w:r>
          </w:p>
        </w:tc>
        <w:tc>
          <w:tcPr>
            <w:vAlign w:val="center"/>
          </w:tcPr>
          <w:p>
            <w:pPr>
              <w:jc w:val="right"/>
            </w:pPr>
            <w:r>
              <w:rPr>
                <w:color w:val="000000"/>
                <w:sz w:val="24"/>
                <w:szCs w:val="24"/>
              </w:rPr>
              <w:t>49,670,000.00</w:t>
            </w:r>
          </w:p>
        </w:tc>
        <w:tc>
          <w:tcPr>
            <w:vAlign w:val="center"/>
          </w:tcPr>
          <w:p>
            <w:pPr>
              <w:jc w:val="right"/>
            </w:pPr>
            <w:r>
              <w:rPr>
                <w:color w:val="000000"/>
                <w:sz w:val="24"/>
                <w:szCs w:val="24"/>
              </w:rPr>
              <w:t>10.19</w:t>
            </w:r>
          </w:p>
        </w:tc>
      </w:tr>
      <w:tr>
        <w:tc>
          <w:tcPr>
            <w:vAlign w:val="center"/>
          </w:tcPr>
          <w:p>
            <w:pPr>
              <w:jc w:val="center"/>
            </w:pPr>
            <w:r>
              <w:rPr>
                <w:color w:val="000000"/>
                <w:sz w:val="24"/>
                <w:szCs w:val="24"/>
              </w:rPr>
              <w:t>3</w:t>
            </w:r>
          </w:p>
        </w:tc>
        <w:tc>
          <w:tcPr>
            <w:vAlign w:val="center"/>
          </w:tcPr>
          <w:p>
            <w:pPr>
              <w:jc w:val="center"/>
            </w:pPr>
            <w:r>
              <w:rPr>
                <w:color w:val="000000"/>
                <w:sz w:val="24"/>
                <w:szCs w:val="24"/>
              </w:rPr>
              <w:t>111813081</w:t>
            </w:r>
          </w:p>
        </w:tc>
        <w:tc>
          <w:tcPr>
            <w:vAlign w:val="center"/>
          </w:tcPr>
          <w:p>
            <w:pPr>
              <w:jc w:val="center"/>
            </w:pPr>
            <w:r>
              <w:rPr>
                <w:color w:val="000000"/>
                <w:sz w:val="24"/>
                <w:szCs w:val="24"/>
              </w:rPr>
              <w:t>18浙商银行CD081</w:t>
            </w:r>
          </w:p>
        </w:tc>
        <w:tc>
          <w:tcPr>
            <w:vAlign w:val="center"/>
          </w:tcPr>
          <w:p>
            <w:pPr>
              <w:jc w:val="right"/>
            </w:pPr>
            <w:r>
              <w:rPr>
                <w:color w:val="000000"/>
                <w:sz w:val="24"/>
                <w:szCs w:val="24"/>
              </w:rPr>
              <w:t>500,000</w:t>
            </w:r>
          </w:p>
        </w:tc>
        <w:tc>
          <w:tcPr>
            <w:vAlign w:val="center"/>
          </w:tcPr>
          <w:p>
            <w:pPr>
              <w:jc w:val="right"/>
            </w:pPr>
            <w:r>
              <w:rPr>
                <w:color w:val="000000"/>
                <w:sz w:val="24"/>
                <w:szCs w:val="24"/>
              </w:rPr>
              <w:t>47,935,000.00</w:t>
            </w:r>
          </w:p>
        </w:tc>
        <w:tc>
          <w:tcPr>
            <w:vAlign w:val="center"/>
          </w:tcPr>
          <w:p>
            <w:pPr>
              <w:jc w:val="right"/>
            </w:pPr>
            <w:r>
              <w:rPr>
                <w:color w:val="000000"/>
                <w:sz w:val="24"/>
                <w:szCs w:val="24"/>
              </w:rPr>
              <w:t>9.84</w:t>
            </w:r>
          </w:p>
        </w:tc>
      </w:tr>
      <w:tr>
        <w:tc>
          <w:tcPr>
            <w:vAlign w:val="center"/>
          </w:tcPr>
          <w:p>
            <w:pPr>
              <w:jc w:val="center"/>
            </w:pPr>
            <w:r>
              <w:rPr>
                <w:color w:val="000000"/>
                <w:sz w:val="24"/>
                <w:szCs w:val="24"/>
              </w:rPr>
              <w:t>4</w:t>
            </w:r>
          </w:p>
        </w:tc>
        <w:tc>
          <w:tcPr>
            <w:vAlign w:val="center"/>
          </w:tcPr>
          <w:p>
            <w:pPr>
              <w:jc w:val="center"/>
            </w:pPr>
            <w:r>
              <w:rPr>
                <w:color w:val="000000"/>
                <w:sz w:val="24"/>
                <w:szCs w:val="24"/>
              </w:rPr>
              <w:t>101474004</w:t>
            </w:r>
          </w:p>
        </w:tc>
        <w:tc>
          <w:tcPr>
            <w:vAlign w:val="center"/>
          </w:tcPr>
          <w:p>
            <w:pPr>
              <w:jc w:val="center"/>
            </w:pPr>
            <w:r>
              <w:rPr>
                <w:color w:val="000000"/>
                <w:sz w:val="24"/>
                <w:szCs w:val="24"/>
              </w:rPr>
              <w:t>14沪城控MTN001</w:t>
            </w:r>
          </w:p>
        </w:tc>
        <w:tc>
          <w:tcPr>
            <w:vAlign w:val="center"/>
          </w:tcPr>
          <w:p>
            <w:pPr>
              <w:jc w:val="right"/>
            </w:pPr>
            <w:r>
              <w:rPr>
                <w:color w:val="000000"/>
                <w:sz w:val="24"/>
                <w:szCs w:val="24"/>
              </w:rPr>
              <w:t>300,000</w:t>
            </w:r>
          </w:p>
        </w:tc>
        <w:tc>
          <w:tcPr>
            <w:vAlign w:val="center"/>
          </w:tcPr>
          <w:p>
            <w:pPr>
              <w:jc w:val="right"/>
            </w:pPr>
            <w:r>
              <w:rPr>
                <w:color w:val="000000"/>
                <w:sz w:val="24"/>
                <w:szCs w:val="24"/>
              </w:rPr>
              <w:t>30,414,000.00</w:t>
            </w:r>
          </w:p>
        </w:tc>
        <w:tc>
          <w:tcPr>
            <w:vAlign w:val="center"/>
          </w:tcPr>
          <w:p>
            <w:pPr>
              <w:jc w:val="right"/>
            </w:pPr>
            <w:r>
              <w:rPr>
                <w:color w:val="000000"/>
                <w:sz w:val="24"/>
                <w:szCs w:val="24"/>
              </w:rPr>
              <w:t>6.24</w:t>
            </w:r>
          </w:p>
        </w:tc>
      </w:tr>
      <w:tr>
        <w:tc>
          <w:tcPr>
            <w:vAlign w:val="center"/>
          </w:tcPr>
          <w:p>
            <w:pPr>
              <w:jc w:val="center"/>
            </w:pPr>
            <w:r>
              <w:rPr>
                <w:color w:val="000000"/>
                <w:sz w:val="24"/>
                <w:szCs w:val="24"/>
              </w:rPr>
              <w:t>5</w:t>
            </w:r>
          </w:p>
        </w:tc>
        <w:tc>
          <w:tcPr>
            <w:vAlign w:val="center"/>
          </w:tcPr>
          <w:p>
            <w:pPr>
              <w:jc w:val="center"/>
            </w:pPr>
            <w:r>
              <w:rPr>
                <w:color w:val="000000"/>
                <w:sz w:val="24"/>
                <w:szCs w:val="24"/>
              </w:rPr>
              <w:t>111812121</w:t>
            </w:r>
          </w:p>
        </w:tc>
        <w:tc>
          <w:tcPr>
            <w:vAlign w:val="center"/>
          </w:tcPr>
          <w:p>
            <w:pPr>
              <w:jc w:val="center"/>
            </w:pPr>
            <w:r>
              <w:rPr>
                <w:color w:val="000000"/>
                <w:sz w:val="24"/>
                <w:szCs w:val="24"/>
              </w:rPr>
              <w:t>18北京银行CD121</w:t>
            </w:r>
          </w:p>
        </w:tc>
        <w:tc>
          <w:tcPr>
            <w:vAlign w:val="center"/>
          </w:tcPr>
          <w:p>
            <w:pPr>
              <w:jc w:val="right"/>
            </w:pPr>
            <w:r>
              <w:rPr>
                <w:color w:val="000000"/>
                <w:sz w:val="24"/>
                <w:szCs w:val="24"/>
              </w:rPr>
              <w:t>300,000</w:t>
            </w:r>
          </w:p>
        </w:tc>
        <w:tc>
          <w:tcPr>
            <w:vAlign w:val="center"/>
          </w:tcPr>
          <w:p>
            <w:pPr>
              <w:jc w:val="right"/>
            </w:pPr>
            <w:r>
              <w:rPr>
                <w:color w:val="000000"/>
                <w:sz w:val="24"/>
                <w:szCs w:val="24"/>
              </w:rPr>
              <w:t>28,782,000.00</w:t>
            </w:r>
          </w:p>
        </w:tc>
        <w:tc>
          <w:tcPr>
            <w:vAlign w:val="center"/>
          </w:tcPr>
          <w:p>
            <w:pPr>
              <w:jc w:val="right"/>
            </w:pPr>
            <w:r>
              <w:rPr>
                <w:color w:val="000000"/>
                <w:sz w:val="24"/>
                <w:szCs w:val="24"/>
              </w:rPr>
              <w:t>5.91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8,881.87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7,404,730.62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1,952.68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7,415,565.17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483,443,035.77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1,186,275.78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30,661,782.12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453,967,529.43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1、中国证监会批准交银施罗德荣祥保本混合型证券投资基金募集的文件；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2、《交银施罗德荣祥保本混合型证券投资基金基金合同》； </w:t>
      </w:r>
    </w:p>
    <w:p>
      <w:pPr>
        <w:spacing w:before="29" w:line="288" w:lineRule="auto"/>
        <w:ind w:firstLine="480" w:firstLineChars="200"/>
        <w:rPr>
          <w:color w:val="000000"/>
          <w:sz w:val="24"/>
          <w:szCs w:val="24"/>
        </w:rPr>
      </w:pPr>
      <w:r>
        <w:rPr>
          <w:color w:val="000000"/>
          <w:sz w:val="24"/>
          <w:szCs w:val="24"/>
        </w:rPr>
        <w:t>3、《交银施罗德荣祥保本混合型证券投资基金招募说明书》；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4、《交银施罗德荣祥保本混合型证券投资基金托管协议》；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7、关于申请募集交银施罗德荣祥保本混合型证券投资基金之法律意见书；</w:t>
      </w:r>
    </w:p>
    <w:p>
      <w:pPr>
        <w:spacing w:before="29" w:line="288" w:lineRule="auto"/>
        <w:ind w:firstLine="480" w:firstLineChars="200"/>
        <w:rPr>
          <w:color w:val="000000"/>
          <w:sz w:val="24"/>
          <w:szCs w:val="24"/>
        </w:rPr>
      </w:pPr>
      <w:r>
        <w:rPr>
          <w:color w:val="000000"/>
          <w:sz w:val="24"/>
          <w:szCs w:val="24"/>
        </w:rPr>
        <w:t>8、《交银施罗德荣祥保本混合型证券投资基金保证合同》；</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9、报告期内交银施罗德荣祥保本混合型证券投资基金在指定报刊上各项公告的原稿。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交银施罗德荣祥保本混合型证券投资基金2019年第1季度报告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