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交银施罗德先锋混合型证券投资基金</w:t>
      </w:r>
    </w:p>
    <w:p w:rsidP="00C15CAC" w:rsidR="002279D3" w:rsidRDefault="002279D3" w:rsidRPr="0081286B">
      <w:pPr>
        <w:spacing w:before="29" w:line="288" w:lineRule="auto"/>
        <w:jc w:val="center"/>
        <w:rPr>
          <w:b/>
          <w:sz w:val="36"/>
          <w:szCs w:val="36"/>
        </w:rPr>
      </w:pPr>
      <w:r w:rsidRPr="0081286B">
        <w:rPr>
          <w:b/>
          <w:sz w:val="36"/>
          <w:szCs w:val="36"/>
        </w:rPr>
        <w:t>2019年第1季度报告</w:t>
      </w:r>
    </w:p>
    <w:p w:rsidP="00C15CAC" w:rsidR="004061AC" w:rsidRDefault="00655CD8" w:rsidRPr="0081286B">
      <w:pPr>
        <w:spacing w:before="29" w:line="288" w:lineRule="auto"/>
        <w:jc w:val="center"/>
        <w:rPr>
          <w:b/>
          <w:sz w:val="36"/>
          <w:szCs w:val="36"/>
        </w:rPr>
      </w:pPr>
      <w:r w:rsidRPr="0081286B">
        <w:rPr>
          <w:b/>
          <w:sz w:val="36"/>
          <w:szCs w:val="36"/>
        </w:rPr>
        <w:t>2019年3月31日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中国农业银行股份有限公司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二〇一九年四月二十日</w:t>
      </w:r>
    </w:p>
    <w:p w:rsidP="0011537B" w:rsidR="004061AC" w:rsidRDefault="004061AC" w:rsidRPr="00414345">
      <w:pPr>
        <w:pStyle w:val="1"/>
        <w:spacing w:afterLines="100"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基金托管人中国农业银行股份有限公司根据本基金合同规定，于2019年4月19日复核了本报告中的财务指标、净值表现和投资组合报告等内容，保证复核内容不存在虚假记载、误导性陈述或者重大遗漏。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本报告期自2019年1月1日起至3月31日止。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交银先锋混合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519698</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2922"/>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519698</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type="dxa" w:w="29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519699</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2009年4月10日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933,176,615.86</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本基金主要通过投资于经过严格的品质筛选且具有持续成长潜力企业的股票，特别是处于快速成长过程中的中型及小型企业股票，在适度控制风险的前提下，为基金份额持有人谋求长期持续的资本增值。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运行和行业景气变化，以及上市公司成长潜力的基础上，主要通过优选成长性好、成长具有可持续性、成长质量优良、定价相对合理的股票，特别是处于快速成长过程中的中型及小型企业股票进行投资，以谋求超额收益。</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75%×中证700指数+25%×中证综合债券指数</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混合型基金，以具有持续成长潜力企业的股票，特别是处于快速成长过程中的中型及小型企业为主要投资对象，追求超额收益，其风险和预期收益高于债券型基金和货币市场基金，低于股票型基金。属于承担较高风险、预期收益较高的证券投资基金品种。</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(2019年1月1日-2019年3月31日)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95,360,845.50</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380,525,633.73</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0.3894</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1,315,642,152.33</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1.4099</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   </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37.86%</w:t>
            </w:r>
          </w:p>
        </w:tc>
        <w:tc>
          <w:tcPr>
            <w:vAlign w:val="center"/>
          </w:tcPr>
          <w:p>
            <w:pPr>
              <w:jc w:val="center"/>
            </w:pPr>
            <w:r>
              <w:rPr>
                <w:color w:val="000000"/>
                <w:sz w:val="24"/>
                <w:szCs w:val="24"/>
              </w:rPr>
              <w:t>1.93%</w:t>
            </w:r>
          </w:p>
        </w:tc>
        <w:tc>
          <w:tcPr>
            <w:vAlign w:val="center"/>
          </w:tcPr>
          <w:p>
            <w:pPr>
              <w:jc w:val="center"/>
            </w:pPr>
            <w:r>
              <w:rPr>
                <w:color w:val="000000"/>
                <w:sz w:val="24"/>
                <w:szCs w:val="24"/>
              </w:rPr>
              <w:t>24.67%</w:t>
            </w:r>
          </w:p>
        </w:tc>
        <w:tc>
          <w:tcPr>
            <w:vAlign w:val="center"/>
          </w:tcPr>
          <w:p>
            <w:pPr>
              <w:jc w:val="center"/>
            </w:pPr>
            <w:r>
              <w:rPr>
                <w:color w:val="000000"/>
                <w:sz w:val="24"/>
                <w:szCs w:val="24"/>
              </w:rPr>
              <w:t>1.26%</w:t>
            </w:r>
          </w:p>
        </w:tc>
        <w:tc>
          <w:tcPr>
            <w:vAlign w:val="center"/>
          </w:tcPr>
          <w:p>
            <w:pPr>
              <w:jc w:val="center"/>
            </w:pPr>
            <w:r>
              <w:rPr>
                <w:color w:val="000000"/>
                <w:sz w:val="24"/>
                <w:szCs w:val="24"/>
              </w:rPr>
              <w:t>13.19%</w:t>
            </w:r>
          </w:p>
        </w:tc>
        <w:tc>
          <w:tcPr>
            <w:vAlign w:val="center"/>
          </w:tcPr>
          <w:p>
            <w:pPr>
              <w:jc w:val="center"/>
            </w:pPr>
            <w:r>
              <w:rPr>
                <w:color w:val="000000"/>
                <w:sz w:val="24"/>
                <w:szCs w:val="24"/>
              </w:rPr>
              <w:t>0.67%</w:t>
            </w:r>
          </w:p>
        </w:tc>
      </w:tr>
    </w:tbl>
    <w:p w:rsidP="00C15CAC" w:rsidR="004061AC" w:rsidRDefault="003F39DF"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本基金业绩比较基准自2015年10月1日起，由“75%×中证700指数+25%×中信全债指数”变更为“75%×中证700指数+25%×中证综合债券指数”，3.2.2同。详情见本基金管理人于2015年9月28日发布的《交银施罗德基金管理有限公司关于旗下部分基金业绩比较基准变更并修改基金合同相关内容的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交银施罗德先锋混合型证券投资基金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2009年4月10日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2019年3月31日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芮晨</w:t>
            </w:r>
          </w:p>
        </w:tc>
        <w:tc>
          <w:tcPr>
            <w:vAlign w:val="center"/>
          </w:tcPr>
          <w:p>
            <w:pPr>
              <w:jc w:val="center"/>
            </w:pPr>
            <w:r>
              <w:rPr>
                <w:color w:val="000000"/>
                <w:sz w:val="24"/>
                <w:szCs w:val="24"/>
              </w:rPr>
              <w:t>交银先锋混合、交银科技创新灵活配置混合、交银数据产业灵活配置混合的基金经理</w:t>
            </w:r>
          </w:p>
        </w:tc>
        <w:tc>
          <w:tcPr>
            <w:vAlign w:val="center"/>
          </w:tcPr>
          <w:p>
            <w:pPr>
              <w:jc w:val="center"/>
            </w:pPr>
            <w:r>
              <w:rPr>
                <w:color w:val="000000"/>
                <w:sz w:val="24"/>
                <w:szCs w:val="24"/>
              </w:rPr>
              <w:t>2015-05-18</w:t>
            </w:r>
          </w:p>
        </w:tc>
        <w:tc>
          <w:tcPr>
            <w:vAlign w:val="center"/>
          </w:tcPr>
          <w:p>
            <w:pPr>
              <w:jc w:val="center"/>
            </w:pPr>
            <w:r>
              <w:rPr>
                <w:color w:val="000000"/>
                <w:sz w:val="24"/>
                <w:szCs w:val="24"/>
              </w:rPr>
              <w:t>-</w:t>
            </w:r>
          </w:p>
        </w:tc>
        <w:tc>
          <w:tcPr>
            <w:vAlign w:val="center"/>
          </w:tcPr>
          <w:p>
            <w:pPr>
              <w:jc w:val="center"/>
            </w:pPr>
            <w:r>
              <w:rPr>
                <w:color w:val="000000"/>
                <w:sz w:val="24"/>
                <w:szCs w:val="24"/>
              </w:rPr>
              <w:t>12年</w:t>
            </w:r>
          </w:p>
        </w:tc>
        <w:tc>
          <w:tcPr>
            <w:vAlign w:val="center"/>
          </w:tcPr>
          <w:p>
            <w:pPr>
              <w:jc w:val="both"/>
            </w:pPr>
            <w:r>
              <w:rPr>
                <w:color w:val="000000"/>
                <w:sz w:val="24"/>
                <w:szCs w:val="24"/>
              </w:rPr>
              <w:t>芮晨先生，内蒙古科技大学工学士。历任深圳尚诚资产管理有限公司研究员、研究副总监，国联安基金管理有限公司行业研究员、投资经理，浙商证券资产管理有限公司投资主办。2015年加入交银施罗德基金管理有限公司。</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2019年一季度，市场印证了我们在2018年年报中提出的“我们认为2019 年存在结构性机会，风险偏好有望提升，成长类股票机会较多。”的判断。事实上市场风险偏好迅速提升，众多股票涨幅较大，成长股机会更多，计算机、电子行业板块指数涨幅居前。本基金一季度超越业绩比较基准。</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在一季度末，我们重新评估了一下组合现有持仓的估值，仍在合理的范围，我们认为市场在经历了前期普遍估值修复之后，后续质地优异的个股有望获得超越指数的涨幅。</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 主要财务指标” 及“3.2.1本报告期基金份额净值增长率及其与同期业绩比较基准收益率的比较”部分披露。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rsidRPr="007B5F21">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tbl>
      <w:tblPr>
        <w:tblStyle w:val="af7"/>
        <w:tblW w:type="dxa" w:w="8897"/>
        <w:tblInd w:type="dxa" w:w="108"/>
        <w:tblLayout w:type="fixed"/>
        <w:tblLook w:val="04A0"/>
      </w:tblPr>
      <w:tblGrid>
        <w:gridCol w:w="720"/>
        <w:gridCol w:w="2824"/>
        <w:gridCol w:w="2552"/>
        <w:gridCol w:w="2801"/>
      </w:tblGrid>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824"/>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r w:rsidRPr="007B5F21">
              <w:rPr>
                <w:rFonts w:eastAsiaTheme="minorEastAsia"/>
                <w:color w:themeColor="text1" w:val="000000"/>
                <w:sz w:val="24"/>
                <w:szCs w:val="24"/>
              </w:rPr>
              <w:t>(</w:t>
            </w:r>
            <w:r w:rsidRPr="007B5F21">
              <w:rPr>
                <w:rFonts w:eastAsiaTheme="minorEastAsia"/>
                <w:color w:themeColor="text1" w:val="000000"/>
                <w:sz w:val="24"/>
                <w:szCs w:val="24"/>
              </w:rPr>
              <w:t>元</w:t>
            </w: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1</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1,250,100,766.37</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92.73</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1,250,100,766.37</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92.73</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4,500,450.00</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0.33</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4,500,450.00</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0.33</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824"/>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90,766,524.65</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6.73</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824"/>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2,715,900.06</w:t>
            </w:r>
          </w:p>
        </w:tc>
        <w:tc>
          <w:tcPr>
            <w:tcW w:type="dxa" w:w="2801"/>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0.20</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824"/>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1,348,083,641.08</w:t>
            </w:r>
          </w:p>
        </w:tc>
        <w:tc>
          <w:tcPr>
            <w:tcW w:type="dxa" w:w="2801"/>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rsidRPr="00F51C4E">
      <w:pPr>
        <w:rPr>
          <w:b/>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公允价值（元）</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lastRenderedPageBreak/>
              <w:t/>
            </w:r>
            <w:r w:rsidRPr="00414345">
              <w:rPr>
                <w:sz w:val="24"/>
                <w:szCs w:val="24"/>
              </w:rPr>
              <w:lastRenderedPageBreak/>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49,616,744.01</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3.77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668,322,909.18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50.80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66,875,170.00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5.08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419,561,600.78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31.89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45,724,342.40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3.48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1,250,100,766.37</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95.02</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300572</w:t>
            </w:r>
          </w:p>
        </w:tc>
        <w:tc>
          <w:tcPr>
            <w:vAlign w:val="center"/>
          </w:tcPr>
          <w:p>
            <w:pPr>
              <w:jc w:val="center"/>
            </w:pPr>
            <w:r>
              <w:rPr>
                <w:color w:val="000000"/>
                <w:sz w:val="24"/>
                <w:szCs w:val="24"/>
              </w:rPr>
              <w:t>安车检测</w:t>
            </w:r>
          </w:p>
        </w:tc>
        <w:tc>
          <w:tcPr>
            <w:vAlign w:val="center"/>
          </w:tcPr>
          <w:p>
            <w:pPr>
              <w:jc w:val="right"/>
            </w:pPr>
            <w:r>
              <w:rPr>
                <w:color w:val="000000"/>
                <w:sz w:val="24"/>
                <w:szCs w:val="24"/>
              </w:rPr>
              <w:t>1,750,765</w:t>
            </w:r>
          </w:p>
        </w:tc>
        <w:tc>
          <w:tcPr>
            <w:vAlign w:val="center"/>
          </w:tcPr>
          <w:p>
            <w:pPr>
              <w:jc w:val="right"/>
            </w:pPr>
            <w:r>
              <w:rPr>
                <w:color w:val="000000"/>
                <w:sz w:val="24"/>
                <w:szCs w:val="24"/>
              </w:rPr>
              <w:t>135,421,672.75</w:t>
            </w:r>
          </w:p>
        </w:tc>
        <w:tc>
          <w:tcPr>
            <w:vAlign w:val="center"/>
          </w:tcPr>
          <w:p>
            <w:pPr>
              <w:jc w:val="right"/>
            </w:pPr>
            <w:r>
              <w:rPr>
                <w:color w:val="000000"/>
                <w:sz w:val="24"/>
                <w:szCs w:val="24"/>
              </w:rPr>
              <w:t>10.29</w:t>
            </w:r>
          </w:p>
        </w:tc>
      </w:tr>
      <w:tr>
        <w:tc>
          <w:tcPr>
            <w:vAlign w:val="center"/>
          </w:tcPr>
          <w:p>
            <w:pPr>
              <w:jc w:val="center"/>
            </w:pPr>
            <w:r>
              <w:rPr>
                <w:color w:val="000000"/>
                <w:sz w:val="24"/>
                <w:szCs w:val="24"/>
              </w:rPr>
              <w:t>2</w:t>
            </w:r>
          </w:p>
        </w:tc>
        <w:tc>
          <w:tcPr>
            <w:vAlign w:val="center"/>
          </w:tcPr>
          <w:p>
            <w:pPr>
              <w:jc w:val="center"/>
            </w:pPr>
            <w:r>
              <w:rPr>
                <w:color w:val="000000"/>
                <w:sz w:val="24"/>
                <w:szCs w:val="24"/>
              </w:rPr>
              <w:t>300365</w:t>
            </w:r>
          </w:p>
        </w:tc>
        <w:tc>
          <w:tcPr>
            <w:vAlign w:val="center"/>
          </w:tcPr>
          <w:p>
            <w:pPr>
              <w:jc w:val="center"/>
            </w:pPr>
            <w:r>
              <w:rPr>
                <w:color w:val="000000"/>
                <w:sz w:val="24"/>
                <w:szCs w:val="24"/>
              </w:rPr>
              <w:t>恒华科技</w:t>
            </w:r>
          </w:p>
        </w:tc>
        <w:tc>
          <w:tcPr>
            <w:vAlign w:val="center"/>
          </w:tcPr>
          <w:p>
            <w:pPr>
              <w:jc w:val="right"/>
            </w:pPr>
            <w:r>
              <w:rPr>
                <w:color w:val="000000"/>
                <w:sz w:val="24"/>
                <w:szCs w:val="24"/>
              </w:rPr>
              <w:t>4,381,982</w:t>
            </w:r>
          </w:p>
        </w:tc>
        <w:tc>
          <w:tcPr>
            <w:vAlign w:val="center"/>
          </w:tcPr>
          <w:p>
            <w:pPr>
              <w:jc w:val="right"/>
            </w:pPr>
            <w:r>
              <w:rPr>
                <w:color w:val="000000"/>
                <w:sz w:val="24"/>
                <w:szCs w:val="24"/>
              </w:rPr>
              <w:t>112,660,757.22</w:t>
            </w:r>
          </w:p>
        </w:tc>
        <w:tc>
          <w:tcPr>
            <w:vAlign w:val="center"/>
          </w:tcPr>
          <w:p>
            <w:pPr>
              <w:jc w:val="right"/>
            </w:pPr>
            <w:r>
              <w:rPr>
                <w:color w:val="000000"/>
                <w:sz w:val="24"/>
                <w:szCs w:val="24"/>
              </w:rPr>
              <w:t>8.56</w:t>
            </w:r>
          </w:p>
        </w:tc>
      </w:tr>
      <w:tr>
        <w:tc>
          <w:tcPr>
            <w:vAlign w:val="center"/>
          </w:tcPr>
          <w:p>
            <w:pPr>
              <w:jc w:val="center"/>
            </w:pPr>
            <w:r>
              <w:rPr>
                <w:color w:val="000000"/>
                <w:sz w:val="24"/>
                <w:szCs w:val="24"/>
              </w:rPr>
              <w:t>3</w:t>
            </w:r>
          </w:p>
        </w:tc>
        <w:tc>
          <w:tcPr>
            <w:vAlign w:val="center"/>
          </w:tcPr>
          <w:p>
            <w:pPr>
              <w:jc w:val="center"/>
            </w:pPr>
            <w:r>
              <w:rPr>
                <w:color w:val="000000"/>
                <w:sz w:val="24"/>
                <w:szCs w:val="24"/>
              </w:rPr>
              <w:t>300395</w:t>
            </w:r>
          </w:p>
        </w:tc>
        <w:tc>
          <w:tcPr>
            <w:vAlign w:val="center"/>
          </w:tcPr>
          <w:p>
            <w:pPr>
              <w:jc w:val="center"/>
            </w:pPr>
            <w:r>
              <w:rPr>
                <w:color w:val="000000"/>
                <w:sz w:val="24"/>
                <w:szCs w:val="24"/>
              </w:rPr>
              <w:t>菲利华</w:t>
            </w:r>
          </w:p>
        </w:tc>
        <w:tc>
          <w:tcPr>
            <w:vAlign w:val="center"/>
          </w:tcPr>
          <w:p>
            <w:pPr>
              <w:jc w:val="right"/>
            </w:pPr>
            <w:r>
              <w:rPr>
                <w:color w:val="000000"/>
                <w:sz w:val="24"/>
                <w:szCs w:val="24"/>
              </w:rPr>
              <w:t>5,862,510</w:t>
            </w:r>
          </w:p>
        </w:tc>
        <w:tc>
          <w:tcPr>
            <w:vAlign w:val="center"/>
          </w:tcPr>
          <w:p>
            <w:pPr>
              <w:jc w:val="right"/>
            </w:pPr>
            <w:r>
              <w:rPr>
                <w:color w:val="000000"/>
                <w:sz w:val="24"/>
                <w:szCs w:val="24"/>
              </w:rPr>
              <w:t>112,618,817.10</w:t>
            </w:r>
          </w:p>
        </w:tc>
        <w:tc>
          <w:tcPr>
            <w:vAlign w:val="center"/>
          </w:tcPr>
          <w:p>
            <w:pPr>
              <w:jc w:val="right"/>
            </w:pPr>
            <w:r>
              <w:rPr>
                <w:color w:val="000000"/>
                <w:sz w:val="24"/>
                <w:szCs w:val="24"/>
              </w:rPr>
              <w:t>8.56</w:t>
            </w:r>
          </w:p>
        </w:tc>
      </w:tr>
      <w:tr>
        <w:tc>
          <w:tcPr>
            <w:vAlign w:val="center"/>
          </w:tcPr>
          <w:p>
            <w:pPr>
              <w:jc w:val="center"/>
            </w:pPr>
            <w:r>
              <w:rPr>
                <w:color w:val="000000"/>
                <w:sz w:val="24"/>
                <w:szCs w:val="24"/>
              </w:rPr>
              <w:t>4</w:t>
            </w:r>
          </w:p>
        </w:tc>
        <w:tc>
          <w:tcPr>
            <w:vAlign w:val="center"/>
          </w:tcPr>
          <w:p>
            <w:pPr>
              <w:jc w:val="center"/>
            </w:pPr>
            <w:r>
              <w:rPr>
                <w:color w:val="000000"/>
                <w:sz w:val="24"/>
                <w:szCs w:val="24"/>
              </w:rPr>
              <w:t>300226</w:t>
            </w:r>
          </w:p>
        </w:tc>
        <w:tc>
          <w:tcPr>
            <w:vAlign w:val="center"/>
          </w:tcPr>
          <w:p>
            <w:pPr>
              <w:jc w:val="center"/>
            </w:pPr>
            <w:r>
              <w:rPr>
                <w:color w:val="000000"/>
                <w:sz w:val="24"/>
                <w:szCs w:val="24"/>
              </w:rPr>
              <w:t>上海钢联</w:t>
            </w:r>
          </w:p>
        </w:tc>
        <w:tc>
          <w:tcPr>
            <w:vAlign w:val="center"/>
          </w:tcPr>
          <w:p>
            <w:pPr>
              <w:jc w:val="right"/>
            </w:pPr>
            <w:r>
              <w:rPr>
                <w:color w:val="000000"/>
                <w:sz w:val="24"/>
                <w:szCs w:val="24"/>
              </w:rPr>
              <w:t>1,322,428</w:t>
            </w:r>
          </w:p>
        </w:tc>
        <w:tc>
          <w:tcPr>
            <w:vAlign w:val="center"/>
          </w:tcPr>
          <w:p>
            <w:pPr>
              <w:jc w:val="right"/>
            </w:pPr>
            <w:r>
              <w:rPr>
                <w:color w:val="000000"/>
                <w:sz w:val="24"/>
                <w:szCs w:val="24"/>
              </w:rPr>
              <w:t>111,017,830.60</w:t>
            </w:r>
          </w:p>
        </w:tc>
        <w:tc>
          <w:tcPr>
            <w:vAlign w:val="center"/>
          </w:tcPr>
          <w:p>
            <w:pPr>
              <w:jc w:val="right"/>
            </w:pPr>
            <w:r>
              <w:rPr>
                <w:color w:val="000000"/>
                <w:sz w:val="24"/>
                <w:szCs w:val="24"/>
              </w:rPr>
              <w:t>8.44</w:t>
            </w:r>
          </w:p>
        </w:tc>
      </w:tr>
      <w:tr>
        <w:tc>
          <w:tcPr>
            <w:vAlign w:val="center"/>
          </w:tcPr>
          <w:p>
            <w:pPr>
              <w:jc w:val="center"/>
            </w:pPr>
            <w:r>
              <w:rPr>
                <w:color w:val="000000"/>
                <w:sz w:val="24"/>
                <w:szCs w:val="24"/>
              </w:rPr>
              <w:t>5</w:t>
            </w:r>
          </w:p>
        </w:tc>
        <w:tc>
          <w:tcPr>
            <w:vAlign w:val="center"/>
          </w:tcPr>
          <w:p>
            <w:pPr>
              <w:jc w:val="center"/>
            </w:pPr>
            <w:r>
              <w:rPr>
                <w:color w:val="000000"/>
                <w:sz w:val="24"/>
                <w:szCs w:val="24"/>
              </w:rPr>
              <w:t>300016</w:t>
            </w:r>
          </w:p>
        </w:tc>
        <w:tc>
          <w:tcPr>
            <w:vAlign w:val="center"/>
          </w:tcPr>
          <w:p>
            <w:pPr>
              <w:jc w:val="center"/>
            </w:pPr>
            <w:r>
              <w:rPr>
                <w:color w:val="000000"/>
                <w:sz w:val="24"/>
                <w:szCs w:val="24"/>
              </w:rPr>
              <w:t>北陆药业</w:t>
            </w:r>
          </w:p>
        </w:tc>
        <w:tc>
          <w:tcPr>
            <w:vAlign w:val="center"/>
          </w:tcPr>
          <w:p>
            <w:pPr>
              <w:jc w:val="right"/>
            </w:pPr>
            <w:r>
              <w:rPr>
                <w:color w:val="000000"/>
                <w:sz w:val="24"/>
                <w:szCs w:val="24"/>
              </w:rPr>
              <w:t>8,877,700</w:t>
            </w:r>
          </w:p>
        </w:tc>
        <w:tc>
          <w:tcPr>
            <w:vAlign w:val="center"/>
          </w:tcPr>
          <w:p>
            <w:pPr>
              <w:jc w:val="right"/>
            </w:pPr>
            <w:r>
              <w:rPr>
                <w:color w:val="000000"/>
                <w:sz w:val="24"/>
                <w:szCs w:val="24"/>
              </w:rPr>
              <w:t>89,931,101.00</w:t>
            </w:r>
          </w:p>
        </w:tc>
        <w:tc>
          <w:tcPr>
            <w:vAlign w:val="center"/>
          </w:tcPr>
          <w:p>
            <w:pPr>
              <w:jc w:val="right"/>
            </w:pPr>
            <w:r>
              <w:rPr>
                <w:color w:val="000000"/>
                <w:sz w:val="24"/>
                <w:szCs w:val="24"/>
              </w:rPr>
              <w:t>6.84</w:t>
            </w:r>
          </w:p>
        </w:tc>
      </w:tr>
      <w:tr>
        <w:tc>
          <w:tcPr>
            <w:vAlign w:val="center"/>
          </w:tcPr>
          <w:p>
            <w:pPr>
              <w:jc w:val="center"/>
            </w:pPr>
            <w:r>
              <w:rPr>
                <w:color w:val="000000"/>
                <w:sz w:val="24"/>
                <w:szCs w:val="24"/>
              </w:rPr>
              <w:t>6</w:t>
            </w:r>
          </w:p>
        </w:tc>
        <w:tc>
          <w:tcPr>
            <w:vAlign w:val="center"/>
          </w:tcPr>
          <w:p>
            <w:pPr>
              <w:jc w:val="center"/>
            </w:pPr>
            <w:r>
              <w:rPr>
                <w:color w:val="000000"/>
                <w:sz w:val="24"/>
                <w:szCs w:val="24"/>
              </w:rPr>
              <w:t>300253</w:t>
            </w:r>
          </w:p>
        </w:tc>
        <w:tc>
          <w:tcPr>
            <w:vAlign w:val="center"/>
          </w:tcPr>
          <w:p>
            <w:pPr>
              <w:jc w:val="center"/>
            </w:pPr>
            <w:r>
              <w:rPr>
                <w:color w:val="000000"/>
                <w:sz w:val="24"/>
                <w:szCs w:val="24"/>
              </w:rPr>
              <w:t>卫宁健康</w:t>
            </w:r>
          </w:p>
        </w:tc>
        <w:tc>
          <w:tcPr>
            <w:vAlign w:val="center"/>
          </w:tcPr>
          <w:p>
            <w:pPr>
              <w:jc w:val="right"/>
            </w:pPr>
            <w:r>
              <w:rPr>
                <w:color w:val="000000"/>
                <w:sz w:val="24"/>
                <w:szCs w:val="24"/>
              </w:rPr>
              <w:t>5,688,800</w:t>
            </w:r>
          </w:p>
        </w:tc>
        <w:tc>
          <w:tcPr>
            <w:vAlign w:val="center"/>
          </w:tcPr>
          <w:p>
            <w:pPr>
              <w:jc w:val="right"/>
            </w:pPr>
            <w:r>
              <w:rPr>
                <w:color w:val="000000"/>
                <w:sz w:val="24"/>
                <w:szCs w:val="24"/>
              </w:rPr>
              <w:t>83,056,480.00</w:t>
            </w:r>
          </w:p>
        </w:tc>
        <w:tc>
          <w:tcPr>
            <w:vAlign w:val="center"/>
          </w:tcPr>
          <w:p>
            <w:pPr>
              <w:jc w:val="right"/>
            </w:pPr>
            <w:r>
              <w:rPr>
                <w:color w:val="000000"/>
                <w:sz w:val="24"/>
                <w:szCs w:val="24"/>
              </w:rPr>
              <w:t>6.31</w:t>
            </w:r>
          </w:p>
        </w:tc>
      </w:tr>
      <w:tr>
        <w:tc>
          <w:tcPr>
            <w:vAlign w:val="center"/>
          </w:tcPr>
          <w:p>
            <w:pPr>
              <w:jc w:val="center"/>
            </w:pPr>
            <w:r>
              <w:rPr>
                <w:color w:val="000000"/>
                <w:sz w:val="24"/>
                <w:szCs w:val="24"/>
              </w:rPr>
              <w:t>7</w:t>
            </w:r>
          </w:p>
        </w:tc>
        <w:tc>
          <w:tcPr>
            <w:vAlign w:val="center"/>
          </w:tcPr>
          <w:p>
            <w:pPr>
              <w:jc w:val="center"/>
            </w:pPr>
            <w:r>
              <w:rPr>
                <w:color w:val="000000"/>
                <w:sz w:val="24"/>
                <w:szCs w:val="24"/>
              </w:rPr>
              <w:t>002599</w:t>
            </w:r>
          </w:p>
        </w:tc>
        <w:tc>
          <w:tcPr>
            <w:vAlign w:val="center"/>
          </w:tcPr>
          <w:p>
            <w:pPr>
              <w:jc w:val="center"/>
            </w:pPr>
            <w:r>
              <w:rPr>
                <w:color w:val="000000"/>
                <w:sz w:val="24"/>
                <w:szCs w:val="24"/>
              </w:rPr>
              <w:t>盛通股份</w:t>
            </w:r>
          </w:p>
        </w:tc>
        <w:tc>
          <w:tcPr>
            <w:vAlign w:val="center"/>
          </w:tcPr>
          <w:p>
            <w:pPr>
              <w:jc w:val="right"/>
            </w:pPr>
            <w:r>
              <w:rPr>
                <w:color w:val="000000"/>
                <w:sz w:val="24"/>
                <w:szCs w:val="24"/>
              </w:rPr>
              <w:t>7,191,421</w:t>
            </w:r>
          </w:p>
        </w:tc>
        <w:tc>
          <w:tcPr>
            <w:vAlign w:val="center"/>
          </w:tcPr>
          <w:p>
            <w:pPr>
              <w:jc w:val="right"/>
            </w:pPr>
            <w:r>
              <w:rPr>
                <w:color w:val="000000"/>
                <w:sz w:val="24"/>
                <w:szCs w:val="24"/>
              </w:rPr>
              <w:t>82,126,027.82</w:t>
            </w:r>
          </w:p>
        </w:tc>
        <w:tc>
          <w:tcPr>
            <w:vAlign w:val="center"/>
          </w:tcPr>
          <w:p>
            <w:pPr>
              <w:jc w:val="right"/>
            </w:pPr>
            <w:r>
              <w:rPr>
                <w:color w:val="000000"/>
                <w:sz w:val="24"/>
                <w:szCs w:val="24"/>
              </w:rPr>
              <w:t>6.24</w:t>
            </w:r>
          </w:p>
        </w:tc>
      </w:tr>
      <w:tr>
        <w:tc>
          <w:tcPr>
            <w:vAlign w:val="center"/>
          </w:tcPr>
          <w:p>
            <w:pPr>
              <w:jc w:val="center"/>
            </w:pPr>
            <w:r>
              <w:rPr>
                <w:color w:val="000000"/>
                <w:sz w:val="24"/>
                <w:szCs w:val="24"/>
              </w:rPr>
              <w:t>8</w:t>
            </w:r>
          </w:p>
        </w:tc>
        <w:tc>
          <w:tcPr>
            <w:vAlign w:val="center"/>
          </w:tcPr>
          <w:p>
            <w:pPr>
              <w:jc w:val="center"/>
            </w:pPr>
            <w:r>
              <w:rPr>
                <w:color w:val="000000"/>
                <w:sz w:val="24"/>
                <w:szCs w:val="24"/>
              </w:rPr>
              <w:t>600131</w:t>
            </w:r>
          </w:p>
        </w:tc>
        <w:tc>
          <w:tcPr>
            <w:vAlign w:val="center"/>
          </w:tcPr>
          <w:p>
            <w:pPr>
              <w:jc w:val="center"/>
            </w:pPr>
            <w:r>
              <w:rPr>
                <w:color w:val="000000"/>
                <w:sz w:val="24"/>
                <w:szCs w:val="24"/>
              </w:rPr>
              <w:t>岷江水电</w:t>
            </w:r>
          </w:p>
        </w:tc>
        <w:tc>
          <w:tcPr>
            <w:vAlign w:val="center"/>
          </w:tcPr>
          <w:p>
            <w:pPr>
              <w:jc w:val="right"/>
            </w:pPr>
            <w:r>
              <w:rPr>
                <w:color w:val="000000"/>
                <w:sz w:val="24"/>
                <w:szCs w:val="24"/>
              </w:rPr>
              <w:t>3,585,800</w:t>
            </w:r>
          </w:p>
        </w:tc>
        <w:tc>
          <w:tcPr>
            <w:vAlign w:val="center"/>
          </w:tcPr>
          <w:p>
            <w:pPr>
              <w:jc w:val="right"/>
            </w:pPr>
            <w:r>
              <w:rPr>
                <w:color w:val="000000"/>
                <w:sz w:val="24"/>
                <w:szCs w:val="24"/>
              </w:rPr>
              <w:t>66,875,170.00</w:t>
            </w:r>
          </w:p>
        </w:tc>
        <w:tc>
          <w:tcPr>
            <w:vAlign w:val="center"/>
          </w:tcPr>
          <w:p>
            <w:pPr>
              <w:jc w:val="right"/>
            </w:pPr>
            <w:r>
              <w:rPr>
                <w:color w:val="000000"/>
                <w:sz w:val="24"/>
                <w:szCs w:val="24"/>
              </w:rPr>
              <w:t>5.08</w:t>
            </w:r>
          </w:p>
        </w:tc>
      </w:tr>
      <w:tr>
        <w:tc>
          <w:tcPr>
            <w:vAlign w:val="center"/>
          </w:tcPr>
          <w:p>
            <w:pPr>
              <w:jc w:val="center"/>
            </w:pPr>
            <w:r>
              <w:rPr>
                <w:color w:val="000000"/>
                <w:sz w:val="24"/>
                <w:szCs w:val="24"/>
              </w:rPr>
              <w:t>9</w:t>
            </w:r>
          </w:p>
        </w:tc>
        <w:tc>
          <w:tcPr>
            <w:vAlign w:val="center"/>
          </w:tcPr>
          <w:p>
            <w:pPr>
              <w:jc w:val="center"/>
            </w:pPr>
            <w:r>
              <w:rPr>
                <w:color w:val="000000"/>
                <w:sz w:val="24"/>
                <w:szCs w:val="24"/>
              </w:rPr>
              <w:t>002371</w:t>
            </w:r>
          </w:p>
        </w:tc>
        <w:tc>
          <w:tcPr>
            <w:vAlign w:val="center"/>
          </w:tcPr>
          <w:p>
            <w:pPr>
              <w:jc w:val="center"/>
            </w:pPr>
            <w:r>
              <w:rPr>
                <w:color w:val="000000"/>
                <w:sz w:val="24"/>
                <w:szCs w:val="24"/>
              </w:rPr>
              <w:t>北方华创</w:t>
            </w:r>
          </w:p>
        </w:tc>
        <w:tc>
          <w:tcPr>
            <w:vAlign w:val="center"/>
          </w:tcPr>
          <w:p>
            <w:pPr>
              <w:jc w:val="right"/>
            </w:pPr>
            <w:r>
              <w:rPr>
                <w:color w:val="000000"/>
                <w:sz w:val="24"/>
                <w:szCs w:val="24"/>
              </w:rPr>
              <w:t>918,799</w:t>
            </w:r>
          </w:p>
        </w:tc>
        <w:tc>
          <w:tcPr>
            <w:vAlign w:val="center"/>
          </w:tcPr>
          <w:p>
            <w:pPr>
              <w:jc w:val="right"/>
            </w:pPr>
            <w:r>
              <w:rPr>
                <w:color w:val="000000"/>
                <w:sz w:val="24"/>
                <w:szCs w:val="24"/>
              </w:rPr>
              <w:t>64,766,141.51</w:t>
            </w:r>
          </w:p>
        </w:tc>
        <w:tc>
          <w:tcPr>
            <w:vAlign w:val="center"/>
          </w:tcPr>
          <w:p>
            <w:pPr>
              <w:jc w:val="right"/>
            </w:pPr>
            <w:r>
              <w:rPr>
                <w:color w:val="000000"/>
                <w:sz w:val="24"/>
                <w:szCs w:val="24"/>
              </w:rPr>
              <w:t>4.92</w:t>
            </w:r>
          </w:p>
        </w:tc>
      </w:tr>
      <w:tr>
        <w:tc>
          <w:tcPr>
            <w:vAlign w:val="center"/>
          </w:tcPr>
          <w:p>
            <w:pPr>
              <w:jc w:val="center"/>
            </w:pPr>
            <w:r>
              <w:rPr>
                <w:color w:val="000000"/>
                <w:sz w:val="24"/>
                <w:szCs w:val="24"/>
              </w:rPr>
              <w:t>10</w:t>
            </w:r>
          </w:p>
        </w:tc>
        <w:tc>
          <w:tcPr>
            <w:vAlign w:val="center"/>
          </w:tcPr>
          <w:p>
            <w:pPr>
              <w:jc w:val="center"/>
            </w:pPr>
            <w:r>
              <w:rPr>
                <w:color w:val="000000"/>
                <w:sz w:val="24"/>
                <w:szCs w:val="24"/>
              </w:rPr>
              <w:t>603990</w:t>
            </w:r>
          </w:p>
        </w:tc>
        <w:tc>
          <w:tcPr>
            <w:vAlign w:val="center"/>
          </w:tcPr>
          <w:p>
            <w:pPr>
              <w:jc w:val="center"/>
            </w:pPr>
            <w:r>
              <w:rPr>
                <w:color w:val="000000"/>
                <w:sz w:val="24"/>
                <w:szCs w:val="24"/>
              </w:rPr>
              <w:t>麦迪科技</w:t>
            </w:r>
          </w:p>
        </w:tc>
        <w:tc>
          <w:tcPr>
            <w:vAlign w:val="center"/>
          </w:tcPr>
          <w:p>
            <w:pPr>
              <w:jc w:val="right"/>
            </w:pPr>
            <w:r>
              <w:rPr>
                <w:color w:val="000000"/>
                <w:sz w:val="24"/>
                <w:szCs w:val="24"/>
              </w:rPr>
              <w:t>1,073,100</w:t>
            </w:r>
          </w:p>
        </w:tc>
        <w:tc>
          <w:tcPr>
            <w:vAlign w:val="center"/>
          </w:tcPr>
          <w:p>
            <w:pPr>
              <w:jc w:val="right"/>
            </w:pPr>
            <w:r>
              <w:rPr>
                <w:color w:val="000000"/>
                <w:sz w:val="24"/>
                <w:szCs w:val="24"/>
              </w:rPr>
              <w:t>54,373,977.00</w:t>
            </w:r>
          </w:p>
        </w:tc>
        <w:tc>
          <w:tcPr>
            <w:vAlign w:val="center"/>
          </w:tcPr>
          <w:p>
            <w:pPr>
              <w:jc w:val="right"/>
            </w:pPr>
            <w:r>
              <w:rPr>
                <w:color w:val="000000"/>
                <w:sz w:val="24"/>
                <w:szCs w:val="24"/>
              </w:rPr>
              <w:t>4.13</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type="dxa" w:w="8868"/>
        <w:jc w:val="center"/>
        <w:tblLayout w:type="fixed"/>
        <w:tblLook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4,500,450.00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0.34</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4,500,450.00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0.34</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4,500,450.00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0.34</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type="dxa" w:w="8868"/>
        <w:jc w:val="center"/>
        <w:tblLayout w:type="fixed"/>
        <w:tblCellMar>
          <w:top w:type="dxa" w:w="57"/>
          <w:bottom w:type="dxa" w:w="57"/>
        </w:tblCellMar>
        <w:tblLook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018005</w:t>
            </w:r>
          </w:p>
        </w:tc>
        <w:tc>
          <w:tcPr>
            <w:vAlign w:val="center"/>
          </w:tcPr>
          <w:p>
            <w:pPr>
              <w:jc w:val="center"/>
            </w:pPr>
            <w:r>
              <w:rPr>
                <w:color w:val="000000"/>
                <w:sz w:val="24"/>
                <w:szCs w:val="24"/>
              </w:rPr>
              <w:t>国开1701</w:t>
            </w:r>
          </w:p>
        </w:tc>
        <w:tc>
          <w:tcPr>
            <w:vAlign w:val="center"/>
          </w:tcPr>
          <w:p>
            <w:pPr>
              <w:jc w:val="right"/>
            </w:pPr>
            <w:r>
              <w:rPr>
                <w:color w:val="000000"/>
                <w:sz w:val="24"/>
                <w:szCs w:val="24"/>
              </w:rPr>
              <w:t>45,000</w:t>
            </w:r>
          </w:p>
        </w:tc>
        <w:tc>
          <w:tcPr>
            <w:vAlign w:val="center"/>
          </w:tcPr>
          <w:p>
            <w:pPr>
              <w:jc w:val="right"/>
            </w:pPr>
            <w:r>
              <w:rPr>
                <w:color w:val="000000"/>
                <w:sz w:val="24"/>
                <w:szCs w:val="24"/>
              </w:rPr>
              <w:t>4,500,450.00</w:t>
            </w:r>
          </w:p>
        </w:tc>
        <w:tc>
          <w:tcPr>
            <w:vAlign w:val="center"/>
          </w:tcPr>
          <w:p>
            <w:pPr>
              <w:jc w:val="right"/>
            </w:pPr>
            <w:r>
              <w:rPr>
                <w:color w:val="000000"/>
                <w:sz w:val="24"/>
                <w:szCs w:val="24"/>
              </w:rPr>
              <w:t>0.34</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sz w:val="24"/>
          <w:szCs w:val="24"/>
        </w:rPr>
      </w:pP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lastRenderedPageBreak/>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5.11.2本基金投资的前十名股票中，没有超出基金合同规定的备选股票库之外的股票。</w:t>
      </w: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horzAnchor="margin" w:leftFromText="180" w:rightFromText="180" w:tblpXSpec="center" w:tblpY="265" w:vertAnchor="text"/>
        <w:tblW w:type="dxa" w:w="8868"/>
        <w:jc w:val="center"/>
        <w:tblLayout w:type="fixed"/>
        <w:tblCellMar>
          <w:top w:type="dxa" w:w="-1"/>
          <w:bottom w:type="dxa" w:w="-1"/>
        </w:tblCellMar>
        <w:tblLook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336,760.42</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187,158.04</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2,191,981.60</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2,715,900.06</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D02347"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r w:rsidR="003259C8"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11537B" w:rsidR="001F3E2A" w:rsidRDefault="001F3E2A" w:rsidRPr="00575270">
      <w:pPr>
        <w:pStyle w:val="1"/>
        <w:spacing w:afterLines="100" w:beforeLines="100" w:line="360" w:lineRule="auto"/>
        <w:jc w:val="center"/>
        <w:rPr>
          <w:rFonts w:eastAsiaTheme="minorEastAsia"/>
          <w:color w:themeColor="text1" w:val="000000"/>
          <w:kern w:val="0"/>
          <w:sz w:val="24"/>
          <w:szCs w:val="24"/>
        </w:rPr>
      </w:pPr>
      <w:r w:rsidRPr="00575270">
        <w:rPr>
          <w:rFonts w:eastAsiaTheme="minorEastAsia"/>
          <w:color w:themeColor="text1" w:val="000000"/>
          <w:kern w:val="0"/>
          <w:sz w:val="24"/>
          <w:szCs w:val="24"/>
        </w:rPr>
        <w:lastRenderedPageBreak/>
        <w:t>§6</w:t>
      </w:r>
      <w:r w:rsidRPr="00575270">
        <w:rPr>
          <w:rFonts w:eastAsiaTheme="minorEastAsia" w:hint="eastAsia"/>
          <w:color w:themeColor="text1" w:val="000000"/>
          <w:kern w:val="0"/>
          <w:sz w:val="24"/>
          <w:szCs w:val="24"/>
        </w:rPr>
        <w:t xml:space="preserve">  </w:t>
      </w:r>
      <w:r w:rsidRPr="00575270">
        <w:rPr>
          <w:rFonts w:eastAsiaTheme="minorEastAsia" w:hint="eastAsia"/>
          <w:color w:themeColor="text1" w:val="000000"/>
          <w:kern w:val="0"/>
          <w:sz w:val="24"/>
          <w:szCs w:val="24"/>
        </w:rPr>
        <w:t>基金中基金</w:t>
      </w:r>
    </w:p>
    <w:p w:rsidP="001F3E2A" w:rsidR="001F3E2A" w:rsidRDefault="001F3E2A" w:rsidRPr="00575270">
      <w:pPr>
        <w:adjustRightInd w:val="0"/>
        <w:snapToGrid w:val="0"/>
        <w:spacing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1</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报告期末按公允价值占基金资产净值比例大小排序的前十名基金投资明细</w:t>
      </w:r>
    </w:p>
    <w:p w:rsidP="001F3E2A"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本基金本报告期末未持有基金。</w:t>
      </w:r>
    </w:p>
    <w:p w:rsidP="0011537B" w:rsidR="001F3E2A" w:rsidRDefault="001F3E2A" w:rsidRPr="00575270">
      <w:pPr>
        <w:adjustRightInd w:val="0"/>
        <w:snapToGrid w:val="0"/>
        <w:spacing w:beforeLines="50"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2</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当期交易及持有基金产生的费用</w:t>
      </w:r>
    </w:p>
    <w:p w:rsidP="001F3E2A"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本基金本报告期内未交易或持有基金。</w:t>
      </w:r>
    </w:p>
    <w:p w:rsidP="0011537B" w:rsidR="001F3E2A" w:rsidRDefault="001F3E2A" w:rsidRPr="00575270">
      <w:pPr>
        <w:adjustRightInd w:val="0"/>
        <w:snapToGrid w:val="0"/>
        <w:spacing w:beforeLines="50"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3</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本报告期持有的基金发生的重大影响事件</w:t>
      </w:r>
    </w:p>
    <w:tbl>
      <w:tblPr>
        <w:tblStyle w:val="af7"/>
        <w:tblW w:type="auto" w:w="0"/>
        <w:tblBorders>
          <w:top w:color="auto" w:space="0" w:sz="0" w:val="none"/>
          <w:left w:color="auto" w:space="0" w:sz="0" w:val="none"/>
          <w:bottom w:color="auto" w:space="0" w:sz="0" w:val="none"/>
          <w:right w:color="auto" w:space="0" w:sz="0" w:val="none"/>
          <w:insideH w:color="auto" w:space="0" w:sz="0" w:val="none"/>
          <w:insideV w:color="auto" w:space="0" w:sz="0" w:val="none"/>
        </w:tblBorders>
        <w:tblLook w:val="04A0"/>
      </w:tblPr>
      <w:tblGrid>
        <w:gridCol w:w="9242"/>
      </w:tblGrid>
      <w:tr w:rsidR="001F3E2A" w:rsidRPr="00575270" w:rsidTr="00D9393A">
        <w:tc>
          <w:tcPr>
            <w:tcW w:type="dxa" w:w="9036"/>
          </w:tcPr>
          <w:p w:rsidP="00CD14C0"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
            </w:r>
            <w:r w:rsidRPr="00575270">
              <w:rPr>
                <w:rFonts w:eastAsiaTheme="minorEastAsia" w:hint="eastAsia"/>
                <w:color w:themeColor="text1" w:val="000000"/>
                <w:sz w:val="24"/>
                <w:szCs w:val="24"/>
              </w:rPr>
              <w:t/>
            </w:r>
            <w:r w:rsidRPr="00575270">
              <w:rPr>
                <w:rFonts w:eastAsiaTheme="minorEastAsia"/>
                <w:color w:themeColor="text1" w:val="000000"/>
                <w:sz w:val="24"/>
                <w:szCs w:val="24"/>
              </w:rPr>
              <w:t/>
            </w:r>
            <w:r w:rsidRPr="00575270">
              <w:rPr>
                <w:rFonts w:eastAsiaTheme="minorEastAsia" w:hint="eastAsia"/>
                <w:color w:themeColor="text1" w:val="000000"/>
                <w:sz w:val="24"/>
                <w:szCs w:val="24"/>
              </w:rPr>
              <w:t>无。</w:t>
            </w:r>
          </w:p>
        </w:tc>
      </w:tr>
    </w:tbl>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Lines="100" w:beforeLines="100" w:line="360" w:lineRule="auto"/>
        <w:jc w:val="center"/>
        <w:rPr>
          <w:rFonts w:eastAsiaTheme="minorEastAsia"/>
          <w:color w:themeColor="text1" w:val="000000"/>
          <w:kern w:val="0"/>
          <w:sz w:val="24"/>
          <w:szCs w:val="24"/>
        </w:rPr>
      </w:pPr>
      <w:bookmarkStart w:id="2" w:name="_GoBack"/>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7</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bookmarkEnd w:id="2"/>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990,076,770.97</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296,504,144.20</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353,404,299.31</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lastRenderedPageBreak/>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933,176,615.86</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注：1、如果本报告期间发生转换入、红利再投业务，则总申购份额中包含该业务； </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Lines="100"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8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8.1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B22DEE" w:rsidRDefault="004061AC" w:rsidRPr="00E02660">
      <w:pPr>
        <w:pStyle w:val="1"/>
        <w:spacing w:afterLines="100"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1、中国证监会核准交银施罗德先锋股票证券投资基金募集的文件；</w:t>
      </w:r>
    </w:p>
    <w:p>
      <w:pPr>
        <w:spacing w:before="29" w:line="288" w:lineRule="auto"/>
        <w:ind w:firstLine="480" w:firstLineChars="200"/>
        <w:rPr>
          <w:color w:val="000000"/>
          <w:sz w:val="24"/>
          <w:szCs w:val="24"/>
        </w:rPr>
      </w:pPr>
      <w:r>
        <w:rPr>
          <w:color w:val="000000"/>
          <w:sz w:val="24"/>
          <w:szCs w:val="24"/>
        </w:rPr>
        <w:t>2、《交银施罗德先锋混合型证券投资基金基金合同》；</w:t>
      </w:r>
    </w:p>
    <w:p>
      <w:pPr>
        <w:spacing w:before="29" w:line="288" w:lineRule="auto"/>
        <w:ind w:firstLine="480" w:firstLineChars="200"/>
        <w:rPr>
          <w:color w:val="000000"/>
          <w:sz w:val="24"/>
          <w:szCs w:val="24"/>
        </w:rPr>
      </w:pPr>
      <w:r>
        <w:rPr>
          <w:color w:val="000000"/>
          <w:sz w:val="24"/>
          <w:szCs w:val="24"/>
        </w:rPr>
        <w:t>3、《交银施罗德先锋混合型证券投资基金招募说明书》；</w:t>
      </w:r>
    </w:p>
    <w:p>
      <w:pPr>
        <w:spacing w:before="29" w:line="288" w:lineRule="auto"/>
        <w:ind w:firstLine="480" w:firstLineChars="200"/>
        <w:rPr>
          <w:color w:val="000000"/>
          <w:sz w:val="24"/>
          <w:szCs w:val="24"/>
        </w:rPr>
      </w:pPr>
      <w:r>
        <w:rPr>
          <w:color w:val="000000"/>
          <w:sz w:val="24"/>
          <w:szCs w:val="24"/>
        </w:rPr>
        <w:t>4、《交银施罗德先锋混合型证券投资基金托管协议》；</w:t>
      </w:r>
    </w:p>
    <w:p>
      <w:pPr>
        <w:spacing w:before="29" w:line="288" w:lineRule="auto"/>
        <w:ind w:firstLine="480" w:firstLineChars="200"/>
        <w:rPr>
          <w:color w:val="000000"/>
          <w:sz w:val="24"/>
          <w:szCs w:val="24"/>
        </w:rPr>
      </w:pPr>
      <w:r>
        <w:rPr>
          <w:color w:val="000000"/>
          <w:sz w:val="24"/>
          <w:szCs w:val="24"/>
        </w:rPr>
        <w:t>5、基金管理人业务资格批件、营业执照；</w:t>
      </w:r>
    </w:p>
    <w:p>
      <w:pPr>
        <w:spacing w:before="29" w:line="288" w:lineRule="auto"/>
        <w:ind w:firstLine="480" w:firstLineChars="200"/>
        <w:rPr>
          <w:color w:val="000000"/>
          <w:sz w:val="24"/>
          <w:szCs w:val="24"/>
        </w:rPr>
      </w:pPr>
      <w:r>
        <w:rPr>
          <w:color w:val="000000"/>
          <w:sz w:val="24"/>
          <w:szCs w:val="24"/>
        </w:rPr>
        <w:t>6、基金托管人业务资格批件、营业执照；</w:t>
      </w:r>
    </w:p>
    <w:p>
      <w:pPr>
        <w:spacing w:before="29" w:line="288" w:lineRule="auto"/>
        <w:ind w:firstLine="480" w:firstLineChars="200"/>
        <w:rPr>
          <w:color w:val="000000"/>
          <w:sz w:val="24"/>
          <w:szCs w:val="24"/>
        </w:rPr>
      </w:pPr>
      <w:r>
        <w:rPr>
          <w:color w:val="000000"/>
          <w:sz w:val="24"/>
          <w:szCs w:val="24"/>
        </w:rPr>
        <w:t>7、关于申请募集交银施罗德先锋股票证券投资基金之法律意见书；</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8、报告期内交银施罗德先锋混合型证券投资基金在指定报刊上各项公告的原稿。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AF4" w:rsidRDefault="004B2AF4" w:rsidP="00876D65">
      <w:r>
        <w:separator/>
      </w:r>
    </w:p>
  </w:endnote>
  <w:endnote w:type="continuationSeparator" w:id="0">
    <w:p w:rsidR="004B2AF4" w:rsidRDefault="004B2AF4" w:rsidP="00876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6"/>
    </w:pPr>
  </w:p>
</w:ftr>
</file>

<file path=word/footer2.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11537B">
      <w:rPr>
        <w:noProof/>
        <w:kern w:val="0"/>
        <w:szCs w:val="21"/>
      </w:rPr>
      <w:t>19</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11537B">
      <w:rPr>
        <w:noProof/>
        <w:kern w:val="0"/>
        <w:szCs w:val="21"/>
      </w:rPr>
      <w:t>25</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6"/>
    </w:pPr>
  </w:p>
</w:ftr>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1" w:type="separator">
    <w:p w:rsidP="00876D65" w:rsidR="004B2AF4" w:rsidRDefault="004B2AF4">
      <w:r>
        <w:separator/>
      </w:r>
    </w:p>
  </w:footnote>
  <w:footnote w:id="0" w:type="continuationSeparator">
    <w:p w:rsidP="00876D65" w:rsidR="004B2AF4" w:rsidRDefault="004B2AF4">
      <w:r>
        <w:continuationSeparator/>
      </w:r>
    </w:p>
  </w:footnote>
</w:footnotes>
</file>

<file path=word/header1.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9"/>
    </w:pPr>
  </w:p>
</w:hdr>
</file>

<file path=word/header2.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090A26" w:rsidR="00171EF0" w:rsidRDefault="00DC456F" w:rsidRPr="00DC456F">
    <w:pPr>
      <w:pStyle w:val="a9"/>
      <w:pBdr>
        <w:bottom w:color="auto" w:space="0" w:sz="6" w:val="single"/>
      </w:pBdr>
      <w:jc w:val="right"/>
      <w:rPr>
        <w:sz w:val="24"/>
        <w:szCs w:val="24"/>
      </w:rPr>
    </w:pPr>
    <w:r w:rsidRPr="003E676C">
      <w:rPr>
        <w:sz w:val="24"/>
        <w:szCs w:val="24"/>
      </w:rPr>
      <w:t>交银施罗德先锋混合型证券投资基金2019年第1季度报告</w:t>
    </w:r>
  </w:p>
</w:hdr>
</file>

<file path=word/header3.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9"/>
    </w:pPr>
  </w:p>
</w:hdr>
</file>

<file path=word/numbering.xml><?xml version="1.0" encoding="utf-8"?>
<w:numbering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8194"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nhideWhenUsed="0"/>
    <w:lsdException w:name="heading 2" w:qFormat="1"/>
    <w:lsdException w:name="heading 3" w:qFormat="1"/>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qFormat="1" w:uiPriority="35"/>
    <w:lsdException w:name="footnote reference" w:uiPriority="0"/>
    <w:lsdException w:name="Title" w:qFormat="1" w:semiHidden="0" w:unhideWhenUsed="0"/>
    <w:lsdException w:name="Default Paragraph Font" w:uiPriority="1"/>
    <w:lsdException w:name="Subtitle" w:qFormat="1" w:semiHidden="0" w:uiPriority="11" w:unhideWhenUsed="0"/>
    <w:lsdException w:name="Date" w:uiPriority="0"/>
    <w:lsdException w:name="Strong" w:qFormat="1" w:semiHidden="0" w:uiPriority="22" w:unhideWhenUsed="0"/>
    <w:lsdException w:name="Emphasis" w:qFormat="1" w:semiHidden="0" w:uiPriority="20" w:unhideWhenUsed="0"/>
    <w:lsdException w:name="Table Grid" w:qFormat="1"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qFormat/>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r="http://schemas.openxmlformats.org/officeDocument/2006/relationships" xmlns:w="http://schemas.openxmlformats.org/wordprocessingml/2006/main">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65BAF-6A5D-4E6F-B945-BE15026D6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1809</TotalTime>
  <Pages>25</Pages>
  <Words>4136</Words>
  <Characters>23578</Characters>
  <Application>Microsoft Office Word</Application>
  <DocSecurity>0</DocSecurity>
  <Lines>196</Lines>
  <Paragraphs>55</Paragraphs>
  <ScaleCrop>false</ScaleCrop>
  <Company/>
  <LinksUpToDate>false</LinksUpToDate>
  <CharactersWithSpaces>27659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Administrator</cp:lastModifiedBy>
  <dcterms:modified xsi:type="dcterms:W3CDTF">2018-09-13T02:58:00Z</dcterms:modified>
  <cp:revision>578</cp:revision>
</cp:coreProperties>
</file>