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交银施罗德全球自然资源证券投资基金</w:t>
      </w:r>
    </w:p>
    <w:p w:rsidP="005546C0" w:rsidR="00F22F00" w:rsidRDefault="00F22F00" w:rsidRPr="006A23FB">
      <w:pPr>
        <w:spacing w:before="29" w:line="288" w:lineRule="auto"/>
        <w:jc w:val="center"/>
        <w:rPr>
          <w:b/>
          <w:sz w:val="36"/>
          <w:szCs w:val="36"/>
        </w:rPr>
      </w:pPr>
      <w:r w:rsidRPr="006A23FB">
        <w:rPr>
          <w:b/>
          <w:sz w:val="36"/>
          <w:szCs w:val="36"/>
        </w:rPr>
        <w:t>2019年第1季度报告</w:t>
      </w:r>
    </w:p>
    <w:p w:rsidP="005546C0" w:rsidR="00397616" w:rsidRDefault="00623556" w:rsidRPr="006A23FB">
      <w:pPr>
        <w:spacing w:before="29" w:line="288" w:lineRule="auto"/>
        <w:jc w:val="center"/>
        <w:rPr>
          <w:b/>
          <w:sz w:val="36"/>
          <w:szCs w:val="36"/>
        </w:rPr>
      </w:pPr>
      <w:r w:rsidRPr="006A23FB">
        <w:rPr>
          <w:b/>
          <w:sz w:val="36"/>
          <w:szCs w:val="36"/>
        </w:rPr>
        <w:t>2019年3月31日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二〇一九年四月二十日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Lines="100"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本报告期自2019年1月1日起至3月31日止。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交银全球资源混合(QDII)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2012年5月22日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31,640,342.98</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MSCI全球原材料总收益指数收益率×65%＋MSCI全球能源总收益指数收益率×35%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(2019年1月1日-2019年3月31日)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-470,544.16</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4,335,858.00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0.1241</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46,768,982.94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1.478</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8.92%</w:t>
            </w:r>
          </w:p>
        </w:tc>
        <w:tc>
          <w:tcPr>
            <w:vAlign w:val="center"/>
          </w:tcPr>
          <w:p>
            <w:pPr>
              <w:jc w:val="right"/>
            </w:pPr>
            <w:r>
              <w:rPr>
                <w:color w:val="000000"/>
                <w:sz w:val="24"/>
              </w:rPr>
              <w:t>1.10%</w:t>
            </w:r>
          </w:p>
        </w:tc>
        <w:tc>
          <w:tcPr>
            <w:vAlign w:val="center"/>
          </w:tcPr>
          <w:p>
            <w:pPr>
              <w:jc w:val="right"/>
            </w:pPr>
            <w:r>
              <w:rPr>
                <w:color w:val="000000"/>
                <w:sz w:val="24"/>
              </w:rPr>
              <w:t>11.68%</w:t>
            </w:r>
          </w:p>
        </w:tc>
        <w:tc>
          <w:tcPr>
            <w:vAlign w:val="center"/>
          </w:tcPr>
          <w:p>
            <w:pPr>
              <w:jc w:val="right"/>
            </w:pPr>
            <w:r>
              <w:rPr>
                <w:color w:val="000000"/>
                <w:sz w:val="24"/>
              </w:rPr>
              <w:t>0.89%</w:t>
            </w:r>
          </w:p>
        </w:tc>
        <w:tc>
          <w:tcPr>
            <w:vAlign w:val="center"/>
          </w:tcPr>
          <w:p>
            <w:pPr>
              <w:jc w:val="right"/>
            </w:pPr>
            <w:r>
              <w:rPr>
                <w:color w:val="000000"/>
                <w:sz w:val="24"/>
              </w:rPr>
              <w:t>-2.76%</w:t>
            </w:r>
          </w:p>
        </w:tc>
        <w:tc>
          <w:tcPr>
            <w:vAlign w:val="center"/>
          </w:tcPr>
          <w:p>
            <w:pPr>
              <w:jc w:val="right"/>
            </w:pPr>
            <w:r>
              <w:rPr>
                <w:color w:val="000000"/>
                <w:sz w:val="24"/>
              </w:rPr>
              <w:t>0.21%</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交银施罗德全球自然资源证券投资基金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2012年5月22日</w:t>
      </w:r>
      <w:r w:rsidRPr="008640AE">
        <w:rPr>
          <w:color w:val="000000"/>
          <w:kern w:val="0"/>
          <w:sz w:val="24"/>
        </w:rPr>
        <w:t>至</w:t>
      </w:r>
      <w:r w:rsidRPr="008640AE">
        <w:rPr>
          <w:color w:val="000000"/>
          <w:kern w:val="0"/>
          <w:sz w:val="24"/>
        </w:rPr>
        <w:t>2019年3月31日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交银环球精选混合(QDII)、交银全球资源混合(QDII)、交银沪港深价值精选混合、交银核心资产混合的基金经理，公司跨境投资副总监</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20年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2019年一季度A股市场和H股市场均出现了比较明显的复苏。沪深300指数在内部政策利好和外部美联储加息预期改善的背景之下一季度大幅反弹28.62%，恒生指数也在外部金融环境改善之下上涨12.40%。A股的农业、计算机和非银金融在一季度表现出色。港股的地产、消费品和工业板块领跑市场。</w:t>
      </w:r>
    </w:p>
    <w:p>
      <w:pPr>
        <w:spacing w:before="29" w:line="288" w:lineRule="auto"/>
        <w:ind w:firstLine="480" w:firstLineChars="200"/>
        <w:rPr>
          <w:color w:val="000000"/>
          <w:sz w:val="24"/>
        </w:rPr>
      </w:pPr>
      <w:r>
        <w:rPr>
          <w:color w:val="000000"/>
          <w:sz w:val="24"/>
        </w:rPr>
        <w:t>本基金在一季度重点投资于港股的能源、建材和消费服务板块，个股总体表现相对稳定。</w:t>
      </w:r>
    </w:p>
    <w:p w:rsidP="005546C0" w:rsidR="00B0116D" w:rsidRDefault="00B0116D" w:rsidRPr="008640AE">
      <w:pPr>
        <w:spacing w:before="29" w:line="288" w:lineRule="auto"/>
        <w:ind w:firstLine="480" w:firstLineChars="200"/>
        <w:rPr>
          <w:color w:val="000000"/>
          <w:sz w:val="24"/>
        </w:rPr>
      </w:pPr>
      <w:r w:rsidRPr="008640AE">
        <w:rPr>
          <w:color w:val="000000"/>
          <w:sz w:val="24"/>
        </w:rPr>
        <w:t>展望2019年二季度，我们认为流动性改善推动的市场上涨阶段性告一段落，港股市场将回归到基本面驱动阶段。目前全球经济的不确定性增加，可能会在今年显著影响股票市场的走势。我们将持续关注那些在经济周期下行过程中竞争力不受影响的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41,365,326.91</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86.86</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41,365,326.91</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86.86</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6,179,322.14</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12.98</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lastRenderedPageBreak/>
              <w:t>其他</w:t>
            </w:r>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79,055.36</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lastRenderedPageBreak/>
              <w:t/>
            </w:r>
            <w:r w:rsidRPr="008640AE">
              <w:rPr>
                <w:color w:val="000000"/>
                <w:sz w:val="24"/>
              </w:rPr>
              <w:lastRenderedPageBreak/>
              <w:t>0.17</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47,623,704.41</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type="dxa" w:w="8868"/>
        <w:jc w:val="center"/>
        <w:tblLayout w:type="fixed"/>
        <w:tblCellMar>
          <w:top w:type="dxa" w:w="57"/>
          <w:bottom w:type="dxa" w:w="57"/>
        </w:tblCellMar>
        <w:tblLook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香港</w:t>
            </w:r>
          </w:p>
        </w:tc>
        <w:tc>
          <w:tcPr>
            <w:vAlign w:val="center"/>
          </w:tcPr>
          <w:p>
            <w:pPr>
              <w:jc w:val="right"/>
            </w:pPr>
            <w:r>
              <w:rPr>
                <w:color w:val="000000"/>
                <w:sz w:val="24"/>
              </w:rPr>
              <w:t>41,365,326.91</w:t>
            </w:r>
          </w:p>
        </w:tc>
        <w:tc>
          <w:tcPr>
            <w:vAlign w:val="center"/>
          </w:tcPr>
          <w:p>
            <w:pPr>
              <w:jc w:val="right"/>
            </w:pPr>
            <w:r>
              <w:rPr>
                <w:color w:val="000000"/>
                <w:sz w:val="24"/>
              </w:rPr>
              <w:t>88.45</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41,365,326.91</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88.45</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type="dxa" w:w="8868"/>
        <w:jc w:val="center"/>
        <w:tblLayout w:type="fixed"/>
        <w:tblCellMar>
          <w:top w:type="dxa" w:w="57"/>
          <w:bottom w:type="dxa" w:w="57"/>
        </w:tblCellMar>
        <w:tblLook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材料</w:t>
            </w:r>
          </w:p>
        </w:tc>
        <w:tc>
          <w:tcPr>
            <w:vAlign w:val="center"/>
          </w:tcPr>
          <w:p>
            <w:pPr>
              <w:jc w:val="right"/>
            </w:pPr>
            <w:r>
              <w:rPr>
                <w:color w:val="000000"/>
                <w:sz w:val="24"/>
              </w:rPr>
              <w:t>7,266,688.05</w:t>
            </w:r>
          </w:p>
        </w:tc>
        <w:tc>
          <w:tcPr>
            <w:vAlign w:val="center"/>
          </w:tcPr>
          <w:p>
            <w:pPr>
              <w:jc w:val="right"/>
            </w:pPr>
            <w:r>
              <w:rPr>
                <w:color w:val="000000"/>
                <w:sz w:val="24"/>
              </w:rPr>
              <w:t>15.54</w:t>
            </w:r>
          </w:p>
        </w:tc>
      </w:tr>
      <w:tr>
        <w:tc>
          <w:tcPr>
            <w:vAlign w:val="center"/>
          </w:tcPr>
          <w:p>
            <w:pPr>
              <w:jc w:val="left"/>
            </w:pPr>
            <w:r>
              <w:rPr>
                <w:color w:val="000000"/>
                <w:sz w:val="24"/>
              </w:rPr>
              <w:t>保健</w:t>
            </w:r>
          </w:p>
        </w:tc>
        <w:tc>
          <w:tcPr>
            <w:vAlign w:val="center"/>
          </w:tcPr>
          <w:p>
            <w:pPr>
              <w:jc w:val="right"/>
            </w:pPr>
            <w:r>
              <w:rPr>
                <w:color w:val="000000"/>
                <w:sz w:val="24"/>
              </w:rPr>
              <w:t>5,987,308.34</w:t>
            </w:r>
          </w:p>
        </w:tc>
        <w:tc>
          <w:tcPr>
            <w:vAlign w:val="center"/>
          </w:tcPr>
          <w:p>
            <w:pPr>
              <w:jc w:val="right"/>
            </w:pPr>
            <w:r>
              <w:rPr>
                <w:color w:val="000000"/>
                <w:sz w:val="24"/>
              </w:rPr>
              <w:t>12.80</w:t>
            </w:r>
          </w:p>
        </w:tc>
      </w:tr>
      <w:tr>
        <w:tc>
          <w:tcPr>
            <w:vAlign w:val="center"/>
          </w:tcPr>
          <w:p>
            <w:pPr>
              <w:jc w:val="left"/>
            </w:pPr>
            <w:r>
              <w:rPr>
                <w:color w:val="000000"/>
                <w:sz w:val="24"/>
              </w:rPr>
              <w:t>非必需消费品</w:t>
            </w:r>
          </w:p>
        </w:tc>
        <w:tc>
          <w:tcPr>
            <w:vAlign w:val="center"/>
          </w:tcPr>
          <w:p>
            <w:pPr>
              <w:jc w:val="right"/>
            </w:pPr>
            <w:r>
              <w:rPr>
                <w:color w:val="000000"/>
                <w:sz w:val="24"/>
              </w:rPr>
              <w:t>5,266,258.00</w:t>
            </w:r>
          </w:p>
        </w:tc>
        <w:tc>
          <w:tcPr>
            <w:vAlign w:val="center"/>
          </w:tcPr>
          <w:p>
            <w:pPr>
              <w:jc w:val="right"/>
            </w:pPr>
            <w:r>
              <w:rPr>
                <w:color w:val="000000"/>
                <w:sz w:val="24"/>
              </w:rPr>
              <w:t>11.26</w:t>
            </w:r>
          </w:p>
        </w:tc>
      </w:tr>
      <w:tr>
        <w:tc>
          <w:tcPr>
            <w:vAlign w:val="center"/>
          </w:tcPr>
          <w:p>
            <w:pPr>
              <w:jc w:val="left"/>
            </w:pPr>
            <w:r>
              <w:rPr>
                <w:color w:val="000000"/>
                <w:sz w:val="24"/>
              </w:rPr>
              <w:t>能源</w:t>
            </w:r>
          </w:p>
        </w:tc>
        <w:tc>
          <w:tcPr>
            <w:vAlign w:val="center"/>
          </w:tcPr>
          <w:p>
            <w:pPr>
              <w:jc w:val="right"/>
            </w:pPr>
            <w:r>
              <w:rPr>
                <w:color w:val="000000"/>
                <w:sz w:val="24"/>
              </w:rPr>
              <w:t>4,650,886.23</w:t>
            </w:r>
          </w:p>
        </w:tc>
        <w:tc>
          <w:tcPr>
            <w:vAlign w:val="center"/>
          </w:tcPr>
          <w:p>
            <w:pPr>
              <w:jc w:val="right"/>
            </w:pPr>
            <w:r>
              <w:rPr>
                <w:color w:val="000000"/>
                <w:sz w:val="24"/>
              </w:rPr>
              <w:t>9.94</w:t>
            </w:r>
          </w:p>
        </w:tc>
      </w:tr>
      <w:tr>
        <w:tc>
          <w:tcPr>
            <w:vAlign w:val="center"/>
          </w:tcPr>
          <w:p>
            <w:pPr>
              <w:jc w:val="left"/>
            </w:pPr>
            <w:r>
              <w:rPr>
                <w:color w:val="000000"/>
                <w:sz w:val="24"/>
              </w:rPr>
              <w:t>金融</w:t>
            </w:r>
          </w:p>
        </w:tc>
        <w:tc>
          <w:tcPr>
            <w:vAlign w:val="center"/>
          </w:tcPr>
          <w:p>
            <w:pPr>
              <w:jc w:val="right"/>
            </w:pPr>
            <w:r>
              <w:rPr>
                <w:color w:val="000000"/>
                <w:sz w:val="24"/>
              </w:rPr>
              <w:t>3,788,087.64</w:t>
            </w:r>
          </w:p>
        </w:tc>
        <w:tc>
          <w:tcPr>
            <w:vAlign w:val="center"/>
          </w:tcPr>
          <w:p>
            <w:pPr>
              <w:jc w:val="right"/>
            </w:pPr>
            <w:r>
              <w:rPr>
                <w:color w:val="000000"/>
                <w:sz w:val="24"/>
              </w:rPr>
              <w:t>8.10</w:t>
            </w:r>
          </w:p>
        </w:tc>
      </w:tr>
      <w:tr>
        <w:tc>
          <w:tcPr>
            <w:vAlign w:val="center"/>
          </w:tcPr>
          <w:p>
            <w:pPr>
              <w:jc w:val="left"/>
            </w:pPr>
            <w:r>
              <w:rPr>
                <w:color w:val="000000"/>
                <w:sz w:val="24"/>
              </w:rPr>
              <w:t>信息技术</w:t>
            </w:r>
          </w:p>
        </w:tc>
        <w:tc>
          <w:tcPr>
            <w:vAlign w:val="center"/>
          </w:tcPr>
          <w:p>
            <w:pPr>
              <w:jc w:val="right"/>
            </w:pPr>
            <w:r>
              <w:rPr>
                <w:color w:val="000000"/>
                <w:sz w:val="24"/>
              </w:rPr>
              <w:t>3,760,724.44</w:t>
            </w:r>
          </w:p>
        </w:tc>
        <w:tc>
          <w:tcPr>
            <w:vAlign w:val="center"/>
          </w:tcPr>
          <w:p>
            <w:pPr>
              <w:jc w:val="right"/>
            </w:pPr>
            <w:r>
              <w:rPr>
                <w:color w:val="000000"/>
                <w:sz w:val="24"/>
              </w:rPr>
              <w:t>8.04</w:t>
            </w:r>
          </w:p>
        </w:tc>
      </w:tr>
      <w:tr>
        <w:tc>
          <w:tcPr>
            <w:vAlign w:val="center"/>
          </w:tcPr>
          <w:p>
            <w:pPr>
              <w:jc w:val="left"/>
            </w:pPr>
            <w:r>
              <w:rPr>
                <w:color w:val="000000"/>
                <w:sz w:val="24"/>
              </w:rPr>
              <w:t>必需消费品</w:t>
            </w:r>
          </w:p>
        </w:tc>
        <w:tc>
          <w:tcPr>
            <w:vAlign w:val="center"/>
          </w:tcPr>
          <w:p>
            <w:pPr>
              <w:jc w:val="right"/>
            </w:pPr>
            <w:r>
              <w:rPr>
                <w:color w:val="000000"/>
                <w:sz w:val="24"/>
              </w:rPr>
              <w:t>3,657,576.34</w:t>
            </w:r>
          </w:p>
        </w:tc>
        <w:tc>
          <w:tcPr>
            <w:vAlign w:val="center"/>
          </w:tcPr>
          <w:p>
            <w:pPr>
              <w:jc w:val="right"/>
            </w:pPr>
            <w:r>
              <w:rPr>
                <w:color w:val="000000"/>
                <w:sz w:val="24"/>
              </w:rPr>
              <w:t>7.82</w:t>
            </w:r>
          </w:p>
        </w:tc>
      </w:tr>
      <w:tr>
        <w:tc>
          <w:tcPr>
            <w:vAlign w:val="center"/>
          </w:tcPr>
          <w:p>
            <w:pPr>
              <w:jc w:val="left"/>
            </w:pPr>
            <w:r>
              <w:rPr>
                <w:color w:val="000000"/>
                <w:sz w:val="24"/>
              </w:rPr>
              <w:t>工业</w:t>
            </w:r>
          </w:p>
        </w:tc>
        <w:tc>
          <w:tcPr>
            <w:vAlign w:val="center"/>
          </w:tcPr>
          <w:p>
            <w:pPr>
              <w:jc w:val="right"/>
            </w:pPr>
            <w:r>
              <w:rPr>
                <w:color w:val="000000"/>
                <w:sz w:val="24"/>
              </w:rPr>
              <w:t>3,559,789.35</w:t>
            </w:r>
          </w:p>
        </w:tc>
        <w:tc>
          <w:tcPr>
            <w:vAlign w:val="center"/>
          </w:tcPr>
          <w:p>
            <w:pPr>
              <w:jc w:val="right"/>
            </w:pPr>
            <w:r>
              <w:rPr>
                <w:color w:val="000000"/>
                <w:sz w:val="24"/>
              </w:rPr>
              <w:t>7.61</w:t>
            </w:r>
          </w:p>
        </w:tc>
      </w:tr>
      <w:tr>
        <w:tc>
          <w:tcPr>
            <w:vAlign w:val="center"/>
          </w:tcPr>
          <w:p>
            <w:pPr>
              <w:jc w:val="left"/>
            </w:pPr>
            <w:r>
              <w:rPr>
                <w:color w:val="000000"/>
                <w:sz w:val="24"/>
              </w:rPr>
              <w:t>房地产</w:t>
            </w:r>
          </w:p>
        </w:tc>
        <w:tc>
          <w:tcPr>
            <w:vAlign w:val="center"/>
          </w:tcPr>
          <w:p>
            <w:pPr>
              <w:jc w:val="right"/>
            </w:pPr>
            <w:r>
              <w:rPr>
                <w:color w:val="000000"/>
                <w:sz w:val="24"/>
              </w:rPr>
              <w:t>1,756,734.60</w:t>
            </w:r>
          </w:p>
        </w:tc>
        <w:tc>
          <w:tcPr>
            <w:vAlign w:val="center"/>
          </w:tcPr>
          <w:p>
            <w:pPr>
              <w:jc w:val="right"/>
            </w:pPr>
            <w:r>
              <w:rPr>
                <w:color w:val="000000"/>
                <w:sz w:val="24"/>
              </w:rPr>
              <w:t>3.76</w:t>
            </w:r>
          </w:p>
        </w:tc>
      </w:tr>
      <w:tr>
        <w:tc>
          <w:tcPr>
            <w:vAlign w:val="center"/>
          </w:tcPr>
          <w:p>
            <w:pPr>
              <w:jc w:val="left"/>
            </w:pPr>
            <w:r>
              <w:rPr>
                <w:color w:val="000000"/>
                <w:sz w:val="24"/>
              </w:rPr>
              <w:t>公共事业</w:t>
            </w:r>
          </w:p>
        </w:tc>
        <w:tc>
          <w:tcPr>
            <w:vAlign w:val="center"/>
          </w:tcPr>
          <w:p>
            <w:pPr>
              <w:jc w:val="right"/>
            </w:pPr>
            <w:r>
              <w:rPr>
                <w:color w:val="000000"/>
                <w:sz w:val="24"/>
              </w:rPr>
              <w:t>1,671,273.92</w:t>
            </w:r>
          </w:p>
        </w:tc>
        <w:tc>
          <w:tcPr>
            <w:vAlign w:val="center"/>
          </w:tcPr>
          <w:p>
            <w:pPr>
              <w:jc w:val="right"/>
            </w:pPr>
            <w:r>
              <w:rPr>
                <w:color w:val="000000"/>
                <w:sz w:val="24"/>
              </w:rPr>
              <w:t>3.57</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
            </w:r>
            <w:r w:rsidRPr="008640AE">
              <w:rPr>
                <w:color w:val="000000"/>
                <w:sz w:val="24"/>
              </w:rPr>
              <w:lastRenderedPageBreak/>
              <w:t>41,365,326.91</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lastRenderedPageBreak/>
              <w:t/>
            </w:r>
            <w:r w:rsidRPr="008640AE">
              <w:rPr>
                <w:color w:val="000000"/>
                <w:sz w:val="24"/>
              </w:rPr>
              <w:lastRenderedPageBreak/>
              <w:t>88.45</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China Conch Venture Holdings Limited</w:t>
            </w:r>
          </w:p>
        </w:tc>
        <w:tc>
          <w:tcPr>
            <w:vAlign w:val="center"/>
          </w:tcPr>
          <w:p>
            <w:pPr>
              <w:jc w:val="center"/>
            </w:pPr>
            <w:r>
              <w:rPr>
                <w:color w:val="000000"/>
                <w:sz w:val="24"/>
              </w:rPr>
              <w:t>中国海螺创业控股有限公司</w:t>
            </w:r>
          </w:p>
        </w:tc>
        <w:tc>
          <w:tcPr>
            <w:vAlign w:val="center"/>
          </w:tcPr>
          <w:p>
            <w:pPr>
              <w:jc w:val="center"/>
            </w:pPr>
            <w:r>
              <w:rPr>
                <w:color w:val="000000"/>
                <w:sz w:val="24"/>
              </w:rPr>
              <w:t>586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100,000</w:t>
            </w:r>
          </w:p>
        </w:tc>
        <w:tc>
          <w:tcPr>
            <w:vAlign w:val="center"/>
          </w:tcPr>
          <w:p>
            <w:pPr>
              <w:jc w:val="right"/>
            </w:pPr>
            <w:r>
              <w:rPr>
                <w:color w:val="000000"/>
                <w:sz w:val="24"/>
              </w:rPr>
              <w:t>2,410,363.39</w:t>
            </w:r>
          </w:p>
        </w:tc>
        <w:tc>
          <w:tcPr>
            <w:vAlign w:val="center"/>
          </w:tcPr>
          <w:p>
            <w:pPr>
              <w:jc w:val="right"/>
            </w:pPr>
            <w:r>
              <w:rPr>
                <w:color w:val="000000"/>
                <w:sz w:val="24"/>
              </w:rPr>
              <w:t>5.15</w:t>
            </w:r>
          </w:p>
        </w:tc>
      </w:tr>
      <w:tr>
        <w:tc>
          <w:tcPr>
            <w:vAlign w:val="center"/>
          </w:tcPr>
          <w:p>
            <w:pPr>
              <w:jc w:val="center"/>
            </w:pPr>
            <w:r>
              <w:rPr>
                <w:color w:val="000000"/>
                <w:sz w:val="24"/>
              </w:rPr>
              <w:t>2</w:t>
            </w:r>
          </w:p>
        </w:tc>
        <w:tc>
          <w:tcPr>
            <w:vAlign w:val="center"/>
          </w:tcPr>
          <w:p>
            <w:pPr>
              <w:jc w:val="center"/>
            </w:pPr>
            <w:r>
              <w:rPr>
                <w:color w:val="000000"/>
                <w:sz w:val="24"/>
              </w:rPr>
              <w:t>China Shenhua Energy Company Limited</w:t>
            </w:r>
          </w:p>
        </w:tc>
        <w:tc>
          <w:tcPr>
            <w:vAlign w:val="center"/>
          </w:tcPr>
          <w:p>
            <w:pPr>
              <w:jc w:val="center"/>
            </w:pPr>
            <w:r>
              <w:rPr>
                <w:color w:val="000000"/>
                <w:sz w:val="24"/>
              </w:rPr>
              <w:t>中国神华能源股份有限公司</w:t>
            </w:r>
          </w:p>
        </w:tc>
        <w:tc>
          <w:tcPr>
            <w:vAlign w:val="center"/>
          </w:tcPr>
          <w:p>
            <w:pPr>
              <w:jc w:val="center"/>
            </w:pPr>
            <w:r>
              <w:rPr>
                <w:color w:val="000000"/>
                <w:sz w:val="24"/>
              </w:rPr>
              <w:t>1088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150,000</w:t>
            </w:r>
          </w:p>
        </w:tc>
        <w:tc>
          <w:tcPr>
            <w:vAlign w:val="center"/>
          </w:tcPr>
          <w:p>
            <w:pPr>
              <w:jc w:val="right"/>
            </w:pPr>
            <w:r>
              <w:rPr>
                <w:color w:val="000000"/>
                <w:sz w:val="24"/>
              </w:rPr>
              <w:t>2,303,140.82</w:t>
            </w:r>
          </w:p>
        </w:tc>
        <w:tc>
          <w:tcPr>
            <w:vAlign w:val="center"/>
          </w:tcPr>
          <w:p>
            <w:pPr>
              <w:jc w:val="right"/>
            </w:pPr>
            <w:r>
              <w:rPr>
                <w:color w:val="000000"/>
                <w:sz w:val="24"/>
              </w:rPr>
              <w:t>4.92</w:t>
            </w:r>
          </w:p>
        </w:tc>
      </w:tr>
      <w:tr>
        <w:tc>
          <w:tcPr>
            <w:vAlign w:val="center"/>
          </w:tcPr>
          <w:p>
            <w:pPr>
              <w:jc w:val="center"/>
            </w:pPr>
            <w:r>
              <w:rPr>
                <w:color w:val="000000"/>
                <w:sz w:val="24"/>
              </w:rPr>
              <w:t>3</w:t>
            </w:r>
          </w:p>
        </w:tc>
        <w:tc>
          <w:tcPr>
            <w:vAlign w:val="center"/>
          </w:tcPr>
          <w:p>
            <w:pPr>
              <w:jc w:val="center"/>
            </w:pPr>
            <w:r>
              <w:rPr>
                <w:color w:val="000000"/>
                <w:sz w:val="24"/>
              </w:rPr>
              <w:t>China Xinhua Education Group Limited</w:t>
            </w:r>
          </w:p>
        </w:tc>
        <w:tc>
          <w:tcPr>
            <w:vAlign w:val="center"/>
          </w:tcPr>
          <w:p>
            <w:pPr>
              <w:jc w:val="center"/>
            </w:pPr>
            <w:r>
              <w:rPr>
                <w:color w:val="000000"/>
                <w:sz w:val="24"/>
              </w:rPr>
              <w:t>中国新华教育集团有限公司</w:t>
            </w:r>
          </w:p>
        </w:tc>
        <w:tc>
          <w:tcPr>
            <w:vAlign w:val="center"/>
          </w:tcPr>
          <w:p>
            <w:pPr>
              <w:jc w:val="center"/>
            </w:pPr>
            <w:r>
              <w:rPr>
                <w:color w:val="000000"/>
                <w:sz w:val="24"/>
              </w:rPr>
              <w:t>2779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1,000,000</w:t>
            </w:r>
          </w:p>
        </w:tc>
        <w:tc>
          <w:tcPr>
            <w:vAlign w:val="center"/>
          </w:tcPr>
          <w:p>
            <w:pPr>
              <w:jc w:val="right"/>
            </w:pPr>
            <w:r>
              <w:rPr>
                <w:color w:val="000000"/>
                <w:sz w:val="24"/>
              </w:rPr>
              <w:t>2,204,496.05</w:t>
            </w:r>
          </w:p>
        </w:tc>
        <w:tc>
          <w:tcPr>
            <w:vAlign w:val="center"/>
          </w:tcPr>
          <w:p>
            <w:pPr>
              <w:jc w:val="right"/>
            </w:pPr>
            <w:r>
              <w:rPr>
                <w:color w:val="000000"/>
                <w:sz w:val="24"/>
              </w:rPr>
              <w:t>4.71</w:t>
            </w:r>
          </w:p>
        </w:tc>
      </w:tr>
      <w:tr>
        <w:tc>
          <w:tcPr>
            <w:vAlign w:val="center"/>
          </w:tcPr>
          <w:p>
            <w:pPr>
              <w:jc w:val="center"/>
            </w:pPr>
            <w:r>
              <w:rPr>
                <w:color w:val="000000"/>
                <w:sz w:val="24"/>
              </w:rPr>
              <w:t>4</w:t>
            </w:r>
          </w:p>
        </w:tc>
        <w:tc>
          <w:tcPr>
            <w:vAlign w:val="center"/>
          </w:tcPr>
          <w:p>
            <w:pPr>
              <w:jc w:val="center"/>
            </w:pPr>
            <w:r>
              <w:rPr>
                <w:color w:val="000000"/>
                <w:sz w:val="24"/>
              </w:rPr>
              <w:t>Hong Kong Exchanges And Clearing Limited</w:t>
            </w:r>
          </w:p>
        </w:tc>
        <w:tc>
          <w:tcPr>
            <w:vAlign w:val="center"/>
          </w:tcPr>
          <w:p>
            <w:pPr>
              <w:jc w:val="center"/>
            </w:pPr>
            <w:r>
              <w:rPr>
                <w:color w:val="000000"/>
                <w:sz w:val="24"/>
              </w:rPr>
              <w:t>香港交易及结算所有限公司</w:t>
            </w:r>
          </w:p>
        </w:tc>
        <w:tc>
          <w:tcPr>
            <w:vAlign w:val="center"/>
          </w:tcPr>
          <w:p>
            <w:pPr>
              <w:jc w:val="center"/>
            </w:pPr>
            <w:r>
              <w:rPr>
                <w:color w:val="000000"/>
                <w:sz w:val="24"/>
              </w:rPr>
              <w:t>388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9,000</w:t>
            </w:r>
          </w:p>
        </w:tc>
        <w:tc>
          <w:tcPr>
            <w:vAlign w:val="center"/>
          </w:tcPr>
          <w:p>
            <w:pPr>
              <w:jc w:val="right"/>
            </w:pPr>
            <w:r>
              <w:rPr>
                <w:color w:val="000000"/>
                <w:sz w:val="24"/>
              </w:rPr>
              <w:t>2,112,198.86</w:t>
            </w:r>
          </w:p>
        </w:tc>
        <w:tc>
          <w:tcPr>
            <w:vAlign w:val="center"/>
          </w:tcPr>
          <w:p>
            <w:pPr>
              <w:jc w:val="right"/>
            </w:pPr>
            <w:r>
              <w:rPr>
                <w:color w:val="000000"/>
                <w:sz w:val="24"/>
              </w:rPr>
              <w:t>4.52</w:t>
            </w:r>
          </w:p>
        </w:tc>
      </w:tr>
      <w:tr>
        <w:tc>
          <w:tcPr>
            <w:vAlign w:val="center"/>
          </w:tcPr>
          <w:p>
            <w:pPr>
              <w:jc w:val="center"/>
            </w:pPr>
            <w:r>
              <w:rPr>
                <w:color w:val="000000"/>
                <w:sz w:val="24"/>
              </w:rPr>
              <w:t>5</w:t>
            </w:r>
          </w:p>
        </w:tc>
        <w:tc>
          <w:tcPr>
            <w:vAlign w:val="center"/>
          </w:tcPr>
          <w:p>
            <w:pPr>
              <w:jc w:val="center"/>
            </w:pPr>
            <w:r>
              <w:rPr>
                <w:color w:val="000000"/>
                <w:sz w:val="24"/>
              </w:rPr>
              <w:t>Anhui Conch Cement Company Limited</w:t>
            </w:r>
          </w:p>
        </w:tc>
        <w:tc>
          <w:tcPr>
            <w:vAlign w:val="center"/>
          </w:tcPr>
          <w:p>
            <w:pPr>
              <w:jc w:val="center"/>
            </w:pPr>
            <w:r>
              <w:rPr>
                <w:color w:val="000000"/>
                <w:sz w:val="24"/>
              </w:rPr>
              <w:t>安徽海螺水泥股份有限公司</w:t>
            </w:r>
          </w:p>
        </w:tc>
        <w:tc>
          <w:tcPr>
            <w:vAlign w:val="center"/>
          </w:tcPr>
          <w:p>
            <w:pPr>
              <w:jc w:val="center"/>
            </w:pPr>
            <w:r>
              <w:rPr>
                <w:color w:val="000000"/>
                <w:sz w:val="24"/>
              </w:rPr>
              <w:t>914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50,000</w:t>
            </w:r>
          </w:p>
        </w:tc>
        <w:tc>
          <w:tcPr>
            <w:vAlign w:val="center"/>
          </w:tcPr>
          <w:p>
            <w:pPr>
              <w:jc w:val="right"/>
            </w:pPr>
            <w:r>
              <w:rPr>
                <w:color w:val="000000"/>
                <w:sz w:val="24"/>
              </w:rPr>
              <w:t>2,056,528.90</w:t>
            </w:r>
          </w:p>
        </w:tc>
        <w:tc>
          <w:tcPr>
            <w:vAlign w:val="center"/>
          </w:tcPr>
          <w:p>
            <w:pPr>
              <w:jc w:val="right"/>
            </w:pPr>
            <w:r>
              <w:rPr>
                <w:color w:val="000000"/>
                <w:sz w:val="24"/>
              </w:rPr>
              <w:t>4.40</w:t>
            </w:r>
          </w:p>
        </w:tc>
      </w:tr>
      <w:tr>
        <w:tc>
          <w:tcPr>
            <w:vAlign w:val="center"/>
          </w:tcPr>
          <w:p>
            <w:pPr>
              <w:jc w:val="center"/>
            </w:pPr>
            <w:r>
              <w:rPr>
                <w:color w:val="000000"/>
                <w:sz w:val="24"/>
              </w:rPr>
              <w:t>6</w:t>
            </w:r>
          </w:p>
        </w:tc>
        <w:tc>
          <w:tcPr>
            <w:vAlign w:val="center"/>
          </w:tcPr>
          <w:p>
            <w:pPr>
              <w:jc w:val="center"/>
            </w:pPr>
            <w:r>
              <w:rPr>
                <w:color w:val="000000"/>
                <w:sz w:val="24"/>
              </w:rPr>
              <w:t>YiChang HEC ChangJiang Pharmaceutical Co., Ltd.</w:t>
            </w:r>
          </w:p>
        </w:tc>
        <w:tc>
          <w:tcPr>
            <w:vAlign w:val="center"/>
          </w:tcPr>
          <w:p>
            <w:pPr>
              <w:jc w:val="center"/>
            </w:pPr>
            <w:r>
              <w:rPr>
                <w:color w:val="000000"/>
                <w:sz w:val="24"/>
              </w:rPr>
              <w:t>宜昌东阳光长江药业股份有限公司</w:t>
            </w:r>
          </w:p>
        </w:tc>
        <w:tc>
          <w:tcPr>
            <w:vAlign w:val="center"/>
          </w:tcPr>
          <w:p>
            <w:pPr>
              <w:jc w:val="center"/>
            </w:pPr>
            <w:r>
              <w:rPr>
                <w:color w:val="000000"/>
                <w:sz w:val="24"/>
              </w:rPr>
              <w:t>1558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70,000</w:t>
            </w:r>
          </w:p>
        </w:tc>
        <w:tc>
          <w:tcPr>
            <w:vAlign w:val="center"/>
          </w:tcPr>
          <w:p>
            <w:pPr>
              <w:jc w:val="right"/>
            </w:pPr>
            <w:r>
              <w:rPr>
                <w:color w:val="000000"/>
                <w:sz w:val="24"/>
              </w:rPr>
              <w:t>2,041,517.74</w:t>
            </w:r>
          </w:p>
        </w:tc>
        <w:tc>
          <w:tcPr>
            <w:vAlign w:val="center"/>
          </w:tcPr>
          <w:p>
            <w:pPr>
              <w:jc w:val="right"/>
            </w:pPr>
            <w:r>
              <w:rPr>
                <w:color w:val="000000"/>
                <w:sz w:val="24"/>
              </w:rPr>
              <w:t>4.37</w:t>
            </w:r>
          </w:p>
        </w:tc>
      </w:tr>
      <w:tr>
        <w:tc>
          <w:tcPr>
            <w:vAlign w:val="center"/>
          </w:tcPr>
          <w:p>
            <w:pPr>
              <w:jc w:val="center"/>
            </w:pPr>
            <w:r>
              <w:rPr>
                <w:color w:val="000000"/>
                <w:sz w:val="24"/>
              </w:rPr>
              <w:t>7</w:t>
            </w:r>
          </w:p>
        </w:tc>
        <w:tc>
          <w:tcPr>
            <w:vAlign w:val="center"/>
          </w:tcPr>
          <w:p>
            <w:pPr>
              <w:jc w:val="center"/>
            </w:pPr>
            <w:r>
              <w:rPr>
                <w:color w:val="000000"/>
                <w:sz w:val="24"/>
              </w:rPr>
              <w:t>Sun Art Retail Group Limited</w:t>
            </w:r>
          </w:p>
        </w:tc>
        <w:tc>
          <w:tcPr>
            <w:vAlign w:val="center"/>
          </w:tcPr>
          <w:p>
            <w:pPr>
              <w:jc w:val="center"/>
            </w:pPr>
            <w:r>
              <w:rPr>
                <w:color w:val="000000"/>
                <w:sz w:val="24"/>
              </w:rPr>
              <w:t>高鑫零售有限公司</w:t>
            </w:r>
          </w:p>
        </w:tc>
        <w:tc>
          <w:tcPr>
            <w:vAlign w:val="center"/>
          </w:tcPr>
          <w:p>
            <w:pPr>
              <w:jc w:val="center"/>
            </w:pPr>
            <w:r>
              <w:rPr>
                <w:color w:val="000000"/>
                <w:sz w:val="24"/>
              </w:rPr>
              <w:t>6808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300,000</w:t>
            </w:r>
          </w:p>
        </w:tc>
        <w:tc>
          <w:tcPr>
            <w:vAlign w:val="center"/>
          </w:tcPr>
          <w:p>
            <w:pPr>
              <w:jc w:val="right"/>
            </w:pPr>
            <w:r>
              <w:rPr>
                <w:color w:val="000000"/>
                <w:sz w:val="24"/>
              </w:rPr>
              <w:t>1,968,606.40</w:t>
            </w:r>
          </w:p>
        </w:tc>
        <w:tc>
          <w:tcPr>
            <w:vAlign w:val="center"/>
          </w:tcPr>
          <w:p>
            <w:pPr>
              <w:jc w:val="right"/>
            </w:pPr>
            <w:r>
              <w:rPr>
                <w:color w:val="000000"/>
                <w:sz w:val="24"/>
              </w:rPr>
              <w:t>4.21</w:t>
            </w:r>
          </w:p>
        </w:tc>
      </w:tr>
      <w:tr>
        <w:tc>
          <w:tcPr>
            <w:vAlign w:val="center"/>
          </w:tcPr>
          <w:p>
            <w:pPr>
              <w:jc w:val="center"/>
            </w:pPr>
            <w:r>
              <w:rPr>
                <w:color w:val="000000"/>
                <w:sz w:val="24"/>
              </w:rPr>
              <w:t>8</w:t>
            </w:r>
          </w:p>
        </w:tc>
        <w:tc>
          <w:tcPr>
            <w:vAlign w:val="center"/>
          </w:tcPr>
          <w:p>
            <w:pPr>
              <w:jc w:val="center"/>
            </w:pPr>
            <w:r>
              <w:rPr>
                <w:color w:val="000000"/>
                <w:sz w:val="24"/>
              </w:rPr>
              <w:t>Shandong Weigao Group Medical Polymer Company Limited</w:t>
            </w:r>
          </w:p>
        </w:tc>
        <w:tc>
          <w:tcPr>
            <w:vAlign w:val="center"/>
          </w:tcPr>
          <w:p>
            <w:pPr>
              <w:jc w:val="center"/>
            </w:pPr>
            <w:r>
              <w:rPr>
                <w:color w:val="000000"/>
                <w:sz w:val="24"/>
              </w:rPr>
              <w:t>山东威高集团医用高分子制品股份有限公司</w:t>
            </w:r>
          </w:p>
        </w:tc>
        <w:tc>
          <w:tcPr>
            <w:vAlign w:val="center"/>
          </w:tcPr>
          <w:p>
            <w:pPr>
              <w:jc w:val="center"/>
            </w:pPr>
            <w:r>
              <w:rPr>
                <w:color w:val="000000"/>
                <w:sz w:val="24"/>
              </w:rPr>
              <w:t>1066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300,000</w:t>
            </w:r>
          </w:p>
        </w:tc>
        <w:tc>
          <w:tcPr>
            <w:vAlign w:val="center"/>
          </w:tcPr>
          <w:p>
            <w:pPr>
              <w:jc w:val="right"/>
            </w:pPr>
            <w:r>
              <w:rPr>
                <w:color w:val="000000"/>
                <w:sz w:val="24"/>
              </w:rPr>
              <w:t>1,930,006.27</w:t>
            </w:r>
          </w:p>
        </w:tc>
        <w:tc>
          <w:tcPr>
            <w:vAlign w:val="center"/>
          </w:tcPr>
          <w:p>
            <w:pPr>
              <w:jc w:val="right"/>
            </w:pPr>
            <w:r>
              <w:rPr>
                <w:color w:val="000000"/>
                <w:sz w:val="24"/>
              </w:rPr>
              <w:t>4.13</w:t>
            </w:r>
          </w:p>
        </w:tc>
      </w:tr>
      <w:tr>
        <w:tc>
          <w:tcPr>
            <w:vAlign w:val="center"/>
          </w:tcPr>
          <w:p>
            <w:pPr>
              <w:jc w:val="center"/>
            </w:pPr>
            <w:r>
              <w:rPr>
                <w:color w:val="000000"/>
                <w:sz w:val="24"/>
              </w:rPr>
              <w:t>9</w:t>
            </w:r>
          </w:p>
        </w:tc>
        <w:tc>
          <w:tcPr>
            <w:vAlign w:val="center"/>
          </w:tcPr>
          <w:p>
            <w:pPr>
              <w:jc w:val="center"/>
            </w:pPr>
            <w:r>
              <w:rPr>
                <w:color w:val="000000"/>
                <w:sz w:val="24"/>
              </w:rPr>
              <w:t>China Jinmao Holdings Group Limited</w:t>
            </w:r>
          </w:p>
        </w:tc>
        <w:tc>
          <w:tcPr>
            <w:vAlign w:val="center"/>
          </w:tcPr>
          <w:p>
            <w:pPr>
              <w:jc w:val="center"/>
            </w:pPr>
            <w:r>
              <w:rPr>
                <w:color w:val="000000"/>
                <w:sz w:val="24"/>
              </w:rPr>
              <w:t>中国金茂控股集团有限公司</w:t>
            </w:r>
          </w:p>
        </w:tc>
        <w:tc>
          <w:tcPr>
            <w:vAlign w:val="center"/>
          </w:tcPr>
          <w:p>
            <w:pPr>
              <w:jc w:val="center"/>
            </w:pPr>
            <w:r>
              <w:rPr>
                <w:color w:val="000000"/>
                <w:sz w:val="24"/>
              </w:rPr>
              <w:t>817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400,000</w:t>
            </w:r>
          </w:p>
        </w:tc>
        <w:tc>
          <w:tcPr>
            <w:vAlign w:val="center"/>
          </w:tcPr>
          <w:p>
            <w:pPr>
              <w:jc w:val="right"/>
            </w:pPr>
            <w:r>
              <w:rPr>
                <w:color w:val="000000"/>
                <w:sz w:val="24"/>
              </w:rPr>
              <w:t>1,756,734.60</w:t>
            </w:r>
          </w:p>
        </w:tc>
        <w:tc>
          <w:tcPr>
            <w:vAlign w:val="center"/>
          </w:tcPr>
          <w:p>
            <w:pPr>
              <w:jc w:val="right"/>
            </w:pPr>
            <w:r>
              <w:rPr>
                <w:color w:val="000000"/>
                <w:sz w:val="24"/>
              </w:rPr>
              <w:t>3.76</w:t>
            </w:r>
          </w:p>
        </w:tc>
      </w:tr>
      <w:tr>
        <w:tc>
          <w:tcPr>
            <w:vAlign w:val="center"/>
          </w:tcPr>
          <w:p>
            <w:pPr>
              <w:jc w:val="center"/>
            </w:pPr>
            <w:r>
              <w:rPr>
                <w:color w:val="000000"/>
                <w:sz w:val="24"/>
              </w:rPr>
              <w:t>10</w:t>
            </w:r>
          </w:p>
        </w:tc>
        <w:tc>
          <w:tcPr>
            <w:vAlign w:val="center"/>
          </w:tcPr>
          <w:p>
            <w:pPr>
              <w:jc w:val="center"/>
            </w:pPr>
            <w:r>
              <w:rPr>
                <w:color w:val="000000"/>
                <w:sz w:val="24"/>
              </w:rPr>
              <w:t>AIA Group Limited</w:t>
            </w:r>
          </w:p>
        </w:tc>
        <w:tc>
          <w:tcPr>
            <w:vAlign w:val="center"/>
          </w:tcPr>
          <w:p>
            <w:pPr>
              <w:jc w:val="center"/>
            </w:pPr>
            <w:r>
              <w:rPr>
                <w:color w:val="000000"/>
                <w:sz w:val="24"/>
              </w:rPr>
              <w:t>友邦保险控股有限公司</w:t>
            </w:r>
          </w:p>
        </w:tc>
        <w:tc>
          <w:tcPr>
            <w:vAlign w:val="center"/>
          </w:tcPr>
          <w:p>
            <w:pPr>
              <w:jc w:val="center"/>
            </w:pPr>
            <w:r>
              <w:rPr>
                <w:color w:val="000000"/>
                <w:sz w:val="24"/>
              </w:rPr>
              <w:t>1299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25,000</w:t>
            </w:r>
          </w:p>
        </w:tc>
        <w:tc>
          <w:tcPr>
            <w:vAlign w:val="center"/>
          </w:tcPr>
          <w:p>
            <w:pPr>
              <w:jc w:val="right"/>
            </w:pPr>
            <w:r>
              <w:rPr>
                <w:color w:val="000000"/>
                <w:sz w:val="24"/>
              </w:rPr>
              <w:t>1,675,888.78</w:t>
            </w:r>
          </w:p>
        </w:tc>
        <w:tc>
          <w:tcPr>
            <w:vAlign w:val="center"/>
          </w:tcPr>
          <w:p>
            <w:pPr>
              <w:jc w:val="right"/>
            </w:pPr>
            <w:r>
              <w:rPr>
                <w:color w:val="000000"/>
                <w:sz w:val="24"/>
              </w:rPr>
              <w:t>3.58</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type="dxa" w:w="8868"/>
        <w:jc w:val="center"/>
        <w:tblInd w:type="dxa" w:w="15"/>
        <w:tblLayout w:type="fixed"/>
        <w:tblLook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23,700.48</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1,172.96</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54,181.92</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
            </w:r>
            <w:r w:rsidRPr="008640AE">
              <w:rPr>
                <w:color w:val="000000"/>
                <w:sz w:val="24"/>
              </w:rPr>
              <w:lastRenderedPageBreak/>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lastRenderedPageBreak/>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79,055.36</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36,915,122.15</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1,578,542.56</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6,853,321.73</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31,640,342.98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 xml:space="preserve">    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t xml:space="preserve">    本基金管理人本报告期内未进行本基金的申购、赎回、红利再投等；本基金管理人本报告期末持有本基金份额0.00份，占本基金期末总份额的0.00%。</w:t>
      </w:r>
    </w:p>
    <w:p w:rsidP="005546C0" w:rsidR="00200B62" w:rsidRDefault="00200B62"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8</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1、中国证监会批准交银施罗德全球自然资源证券投资基金募集的文件； </w:t>
      </w:r>
    </w:p>
    <w:p>
      <w:pPr>
        <w:spacing w:before="29" w:line="288" w:lineRule="auto"/>
        <w:ind w:firstLine="480" w:firstLineChars="200"/>
        <w:rPr>
          <w:color w:val="000000"/>
          <w:sz w:val="24"/>
        </w:rPr>
      </w:pPr>
      <w:r>
        <w:rPr>
          <w:color w:val="000000"/>
          <w:sz w:val="24"/>
        </w:rPr>
        <w:t xml:space="preserve">2、《交银施罗德全球自然资源证券投资基金基金合同》； </w:t>
      </w:r>
    </w:p>
    <w:p>
      <w:pPr>
        <w:spacing w:before="29" w:line="288" w:lineRule="auto"/>
        <w:ind w:firstLine="480" w:firstLineChars="200"/>
        <w:rPr>
          <w:color w:val="000000"/>
          <w:sz w:val="24"/>
        </w:rPr>
      </w:pPr>
      <w:r>
        <w:rPr>
          <w:color w:val="000000"/>
          <w:sz w:val="24"/>
        </w:rPr>
        <w:t>3、《交银施罗德全球自然资源证券投资基金招募说明书》；</w:t>
      </w:r>
    </w:p>
    <w:p>
      <w:pPr>
        <w:spacing w:before="29" w:line="288" w:lineRule="auto"/>
        <w:ind w:firstLine="480" w:firstLineChars="200"/>
        <w:rPr>
          <w:color w:val="000000"/>
          <w:sz w:val="24"/>
        </w:rPr>
      </w:pPr>
      <w:r>
        <w:rPr>
          <w:color w:val="000000"/>
          <w:sz w:val="24"/>
        </w:rPr>
        <w:t xml:space="preserve">4、《交银施罗德全球自然资源证券投资基金托管协议》； </w:t>
      </w:r>
    </w:p>
    <w:p>
      <w:pPr>
        <w:spacing w:before="29" w:line="288" w:lineRule="auto"/>
        <w:ind w:firstLine="480" w:firstLineChars="200"/>
        <w:rPr>
          <w:color w:val="000000"/>
          <w:sz w:val="24"/>
        </w:rPr>
      </w:pPr>
      <w:r>
        <w:rPr>
          <w:color w:val="000000"/>
          <w:sz w:val="24"/>
        </w:rPr>
        <w:t>5、基金管理人业务资格批件、营业执照；</w:t>
      </w:r>
    </w:p>
    <w:p>
      <w:pPr>
        <w:spacing w:before="29" w:line="288" w:lineRule="auto"/>
        <w:ind w:firstLine="480" w:firstLineChars="200"/>
        <w:rPr>
          <w:color w:val="000000"/>
          <w:sz w:val="24"/>
        </w:rPr>
      </w:pPr>
      <w:r>
        <w:rPr>
          <w:color w:val="000000"/>
          <w:sz w:val="24"/>
        </w:rPr>
        <w:t>6、基金托管人业务资格批件、营业执照；</w:t>
      </w:r>
    </w:p>
    <w:p>
      <w:pPr>
        <w:spacing w:before="29" w:line="288" w:lineRule="auto"/>
        <w:ind w:firstLine="480" w:firstLineChars="200"/>
        <w:rPr>
          <w:color w:val="000000"/>
          <w:sz w:val="24"/>
        </w:rPr>
      </w:pPr>
      <w:r>
        <w:rPr>
          <w:color w:val="000000"/>
          <w:sz w:val="24"/>
        </w:rPr>
        <w:t>7、关于申请募集交银施罗德全球自然资源证券投资基金之法律意见书；</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8、报告期内交银施罗德全球自然资源证券投资基金在指定报刊上各项公告的原稿。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F6" w:rsidRDefault="008278F6">
      <w:r>
        <w:separator/>
      </w:r>
    </w:p>
  </w:endnote>
  <w:endnote w:type="continuationSeparator" w:id="0">
    <w:p w:rsidR="008278F6" w:rsidRDefault="0082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BB3041">
      <w:rPr>
        <w:noProof/>
        <w:kern w:val="0"/>
        <w:szCs w:val="21"/>
      </w:rPr>
      <w:t>13</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BB3041">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8278F6" w:rsidRDefault="008278F6">
      <w:r>
        <w:separator/>
      </w:r>
    </w:p>
  </w:footnote>
  <w:footnote w:id="0" w:type="continuationSeparator">
    <w:p w:rsidR="008278F6" w:rsidRDefault="008278F6">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交银施罗德全球自然资源证券投资基金2019年第1季度报告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4.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header5.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20"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103</TotalTime>
  <Pages>19</Pages>
  <Words>3075</Words>
  <Characters>17533</Characters>
  <Application>Microsoft Office Word</Application>
  <DocSecurity>0</DocSecurity>
  <Lines>146</Lines>
  <Paragraphs>41</Paragraphs>
  <ScaleCrop>false</ScaleCrop>
  <Company>TRT. Ltd. Co.</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Administrator</cp:lastModifiedBy>
  <cp:lastPrinted>2007-07-19T00:46:00Z</cp:lastPrinted>
  <dcterms:modified xsi:type="dcterms:W3CDTF">2018-09-13T02:59:00Z</dcterms:modified>
  <cp:revision>240</cp:revision>
</cp:coreProperties>
</file>