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5546C0" w:rsidR="00397616" w:rsidRDefault="00397616" w:rsidRPr="008640AE">
      <w:pPr>
        <w:autoSpaceDE w:val="0"/>
        <w:autoSpaceDN w:val="0"/>
        <w:adjustRightInd w:val="0"/>
        <w:spacing w:before="29" w:line="288" w:lineRule="auto"/>
        <w:jc w:val="left"/>
        <w:rPr>
          <w:color w:val="000000"/>
          <w:kern w:val="0"/>
          <w:sz w:val="24"/>
        </w:rPr>
      </w:pPr>
    </w:p>
    <w:p w:rsidP="005546C0" w:rsidR="00397616" w:rsidRDefault="00397616" w:rsidRPr="008640AE">
      <w:pPr>
        <w:autoSpaceDE w:val="0"/>
        <w:autoSpaceDN w:val="0"/>
        <w:adjustRightInd w:val="0"/>
        <w:spacing w:before="29" w:line="288" w:lineRule="auto"/>
        <w:jc w:val="left"/>
        <w:rPr>
          <w:color w:val="000000"/>
          <w:kern w:val="0"/>
          <w:sz w:val="24"/>
        </w:rPr>
      </w:pPr>
    </w:p>
    <w:p w:rsidP="005546C0" w:rsidR="00397616" w:rsidRDefault="00397616" w:rsidRPr="008640AE">
      <w:pPr>
        <w:autoSpaceDE w:val="0"/>
        <w:autoSpaceDN w:val="0"/>
        <w:adjustRightInd w:val="0"/>
        <w:spacing w:before="29" w:line="288" w:lineRule="auto"/>
        <w:jc w:val="left"/>
        <w:rPr>
          <w:color w:val="000000"/>
          <w:kern w:val="0"/>
          <w:sz w:val="24"/>
        </w:rPr>
      </w:pPr>
    </w:p>
    <w:p w:rsidP="005546C0" w:rsidR="00F22F00" w:rsidRDefault="00F22F00" w:rsidRPr="008640AE">
      <w:pPr>
        <w:autoSpaceDE w:val="0"/>
        <w:autoSpaceDN w:val="0"/>
        <w:adjustRightInd w:val="0"/>
        <w:spacing w:before="29" w:line="288" w:lineRule="auto"/>
        <w:jc w:val="left"/>
        <w:rPr>
          <w:color w:val="000000"/>
          <w:kern w:val="0"/>
          <w:sz w:val="24"/>
        </w:rPr>
      </w:pPr>
    </w:p>
    <w:p w:rsidP="005546C0" w:rsidR="00F22F00" w:rsidRDefault="00F22F00" w:rsidRPr="006A23FB">
      <w:pPr>
        <w:spacing w:before="29" w:line="288" w:lineRule="auto"/>
        <w:jc w:val="center"/>
        <w:rPr>
          <w:b/>
          <w:sz w:val="36"/>
          <w:szCs w:val="36"/>
        </w:rPr>
      </w:pPr>
      <w:r w:rsidRPr="006A23FB">
        <w:rPr>
          <w:b/>
          <w:sz w:val="36"/>
          <w:szCs w:val="36"/>
        </w:rPr>
        <w:t>交银施罗德全球自然资源证券投资基金</w:t>
      </w:r>
    </w:p>
    <w:p w:rsidP="005546C0" w:rsidR="00F22F00" w:rsidRDefault="00F22F00" w:rsidRPr="006A23FB">
      <w:pPr>
        <w:spacing w:before="29" w:line="288" w:lineRule="auto"/>
        <w:jc w:val="center"/>
        <w:rPr>
          <w:b/>
          <w:sz w:val="36"/>
          <w:szCs w:val="36"/>
        </w:rPr>
      </w:pPr>
      <w:r w:rsidRPr="006A23FB">
        <w:rPr>
          <w:b/>
          <w:sz w:val="36"/>
          <w:szCs w:val="36"/>
        </w:rPr>
        <w:t>2019年第1季度报告</w:t>
      </w:r>
    </w:p>
    <w:p w:rsidP="005546C0" w:rsidR="00397616" w:rsidRDefault="00623556" w:rsidRPr="006A23FB">
      <w:pPr>
        <w:spacing w:before="29" w:line="288" w:lineRule="auto"/>
        <w:jc w:val="center"/>
        <w:rPr>
          <w:b/>
          <w:sz w:val="36"/>
          <w:szCs w:val="36"/>
        </w:rPr>
      </w:pPr>
      <w:r w:rsidRPr="006A23FB">
        <w:rPr>
          <w:b/>
          <w:sz w:val="36"/>
          <w:szCs w:val="36"/>
        </w:rPr>
        <w:t>2019年3月31日</w:t>
      </w: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ind w:firstLine="2168" w:firstLineChars="900"/>
        <w:rPr>
          <w:b/>
          <w:color w:val="000000"/>
          <w:sz w:val="24"/>
        </w:rPr>
      </w:pPr>
    </w:p>
    <w:p w:rsidP="005546C0" w:rsidR="003063E8" w:rsidRDefault="007D1292" w:rsidRPr="006A23FB">
      <w:pPr>
        <w:spacing w:before="29" w:line="288" w:lineRule="auto"/>
        <w:ind w:firstLine="2168" w:firstLineChars="900"/>
        <w:rPr>
          <w:b/>
          <w:color w:val="000000"/>
          <w:sz w:val="24"/>
        </w:rPr>
      </w:pPr>
      <w:r w:rsidRPr="006A23FB">
        <w:rPr>
          <w:b/>
          <w:color w:val="000000"/>
          <w:sz w:val="24"/>
        </w:rPr>
        <w:t>基金管理人：</w:t>
      </w:r>
      <w:r w:rsidRPr="006A23FB">
        <w:rPr>
          <w:b/>
          <w:color w:val="000000"/>
          <w:sz w:val="24"/>
        </w:rPr>
        <w:t>交银施罗德基金管理有限公司</w:t>
      </w:r>
    </w:p>
    <w:p w:rsidP="005546C0" w:rsidR="003063E8" w:rsidRDefault="007D1292" w:rsidRPr="006A23FB">
      <w:pPr>
        <w:spacing w:before="29" w:line="288" w:lineRule="auto"/>
        <w:ind w:firstLine="2168" w:firstLineChars="900"/>
        <w:rPr>
          <w:b/>
          <w:color w:val="000000"/>
          <w:sz w:val="24"/>
        </w:rPr>
      </w:pPr>
      <w:r w:rsidRPr="006A23FB">
        <w:rPr>
          <w:b/>
          <w:color w:val="000000"/>
          <w:sz w:val="24"/>
        </w:rPr>
        <w:t>基金托管人：</w:t>
      </w:r>
      <w:r w:rsidRPr="006A23FB">
        <w:rPr>
          <w:b/>
          <w:color w:val="000000"/>
          <w:sz w:val="24"/>
        </w:rPr>
        <w:t>中国建设银行股份有限公司</w:t>
      </w:r>
    </w:p>
    <w:p w:rsidP="005546C0" w:rsidR="007D1292" w:rsidRDefault="007D1292" w:rsidRPr="006A23FB">
      <w:pPr>
        <w:spacing w:before="29" w:line="288" w:lineRule="auto"/>
        <w:ind w:firstLine="2168" w:firstLineChars="900"/>
        <w:rPr>
          <w:b/>
          <w:color w:val="000000"/>
          <w:sz w:val="24"/>
        </w:rPr>
      </w:pPr>
      <w:r w:rsidRPr="006A23FB">
        <w:rPr>
          <w:b/>
          <w:color w:val="000000"/>
          <w:sz w:val="24"/>
        </w:rPr>
        <w:t>报告送出日期：</w:t>
      </w:r>
      <w:r w:rsidR="00CB44DE" w:rsidRPr="006A23FB">
        <w:rPr>
          <w:b/>
          <w:color w:val="000000"/>
          <w:sz w:val="24"/>
        </w:rPr>
        <w:t/>
      </w:r>
      <w:r w:rsidR="00623556" w:rsidRPr="006A23FB">
        <w:rPr>
          <w:b/>
          <w:color w:val="000000"/>
          <w:sz w:val="24"/>
        </w:rPr>
        <w:t/>
      </w:r>
      <w:r w:rsidR="00CB44DE" w:rsidRPr="006A23FB">
        <w:rPr>
          <w:b/>
          <w:color w:val="000000"/>
          <w:sz w:val="24"/>
        </w:rPr>
        <w:t>二〇一九年四月二十日</w:t>
      </w:r>
    </w:p>
    <w:p w:rsidP="005546C0" w:rsidR="00CC4CB4" w:rsidRDefault="00CC4CB4" w:rsidRPr="008640AE">
      <w:pPr>
        <w:spacing w:before="29" w:line="288" w:lineRule="auto"/>
        <w:ind w:firstLine="2168" w:firstLineChars="900"/>
        <w:rPr>
          <w:b/>
          <w:color w:val="000000"/>
          <w:sz w:val="24"/>
        </w:rPr>
        <w:sectPr w:rsidR="00CC4CB4" w:rsidRPr="008640AE" w:rsidSect="00C6069A">
          <w:headerReference r:id="rId7" w:type="even"/>
          <w:headerReference r:id="rId8" w:type="default"/>
          <w:footerReference r:id="rId9" w:type="even"/>
          <w:footerReference r:id="rId10" w:type="default"/>
          <w:headerReference r:id="rId11" w:type="first"/>
          <w:footerReference r:id="rId12" w:type="first"/>
          <w:pgSz w:h="15840" w:w="11926"/>
          <w:pgMar w:bottom="851" w:footer="992" w:gutter="0" w:header="851" w:left="1440" w:right="1440" w:top="1418"/>
          <w:cols w:space="720"/>
          <w:noEndnote/>
          <w:titlePg/>
          <w:docGrid w:linePitch="286"/>
        </w:sectPr>
      </w:pPr>
    </w:p>
    <w:p w:rsidP="00BB3041" w:rsidR="0076518F" w:rsidRDefault="0076518F" w:rsidRPr="008640AE">
      <w:pPr>
        <w:pStyle w:val="1"/>
        <w:spacing w:afterLines="100" w:beforeLines="100" w:line="288" w:lineRule="auto"/>
        <w:jc w:val="center"/>
        <w:rPr>
          <w:b w:val="0"/>
          <w:color w:val="000000"/>
          <w:kern w:val="0"/>
          <w:sz w:val="24"/>
          <w:szCs w:val="24"/>
        </w:rPr>
      </w:pPr>
      <w:r w:rsidRPr="008640AE">
        <w:rPr>
          <w:color w:val="000000"/>
          <w:kern w:val="0"/>
          <w:sz w:val="24"/>
          <w:szCs w:val="24"/>
        </w:rPr>
        <w:lastRenderedPageBreak/>
        <w:t xml:space="preserve">§1  </w:t>
      </w:r>
      <w:r w:rsidRPr="008640AE">
        <w:rPr>
          <w:color w:val="000000"/>
          <w:kern w:val="0"/>
          <w:sz w:val="24"/>
          <w:szCs w:val="24"/>
        </w:rPr>
        <w:t>重要提示</w:t>
      </w:r>
    </w:p>
    <w:p>
      <w:pPr>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rPr>
      </w:pPr>
      <w:r>
        <w:rPr>
          <w:color w:val="000000"/>
          <w:sz w:val="24"/>
        </w:rPr>
        <w:t xml:space="preserve">基金托管人中国建设银行股份有限公司根据本基金合同规定，于2019年4月19日复核了本报告中的财务指标、净值表现和投资组合报告等内容，保证复核内容不存在虚假记载、误导性陈述或者重大遗漏。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rPr>
      </w:pPr>
      <w:r>
        <w:rPr>
          <w:color w:val="000000"/>
          <w:sz w:val="24"/>
        </w:rPr>
        <w:t>本报告中财务资料未经审计。</w:t>
      </w:r>
    </w:p>
    <w:p w:rsidP="005546C0" w:rsidR="007D1292" w:rsidRDefault="007D1292" w:rsidRPr="008640AE">
      <w:pPr>
        <w:spacing w:before="29" w:line="288" w:lineRule="auto"/>
        <w:ind w:firstLine="480" w:firstLineChars="200"/>
        <w:rPr>
          <w:color w:val="000000"/>
          <w:sz w:val="24"/>
        </w:rPr>
      </w:pPr>
      <w:r w:rsidRPr="008640AE">
        <w:rPr>
          <w:color w:val="000000"/>
          <w:sz w:val="24"/>
        </w:rPr>
        <w:t>本报告期自2019年1月1日起至3月31日止。</w:t>
      </w:r>
    </w:p>
    <w:p w:rsidP="005546C0" w:rsidR="00110D1F" w:rsidRDefault="00110D1F" w:rsidRPr="008640AE">
      <w:pPr>
        <w:spacing w:before="29" w:line="288" w:lineRule="auto"/>
        <w:ind w:firstLine="480" w:firstLineChars="200"/>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§2  </w:t>
      </w:r>
      <w:r w:rsidRPr="008640AE">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135"/>
        <w:gridCol w:w="2866"/>
        <w:gridCol w:w="2867"/>
      </w:tblGrid>
      <w:tr w:rsidR="00363E15" w:rsidRPr="008640AE" w:rsidTr="0010282F">
        <w:trPr>
          <w:jc w:val="center"/>
        </w:trPr>
        <w:tc>
          <w:tcPr>
            <w:tcW w:type="dxa" w:w="3135"/>
            <w:vAlign w:val="center"/>
          </w:tcPr>
          <w:p w:rsidP="005546C0" w:rsidR="00363E15" w:rsidRDefault="00363E15" w:rsidRPr="008640AE">
            <w:pPr>
              <w:adjustRightInd w:val="0"/>
              <w:spacing w:before="29" w:line="288" w:lineRule="auto"/>
              <w:ind w:left="17"/>
              <w:jc w:val="left"/>
              <w:rPr>
                <w:kern w:val="0"/>
                <w:sz w:val="24"/>
              </w:rPr>
            </w:pPr>
            <w:r w:rsidRPr="008640AE">
              <w:rPr>
                <w:kern w:val="0"/>
                <w:sz w:val="24"/>
              </w:rPr>
              <w:t>基金简称</w:t>
            </w:r>
          </w:p>
        </w:tc>
        <w:tc>
          <w:tcPr>
            <w:tcW w:type="dxa" w:w="5733"/>
            <w:gridSpan w:val="2"/>
            <w:vAlign w:val="center"/>
          </w:tcPr>
          <w:p w:rsidP="005546C0" w:rsidR="00363E15" w:rsidRDefault="00363E15" w:rsidRPr="008640AE">
            <w:pPr>
              <w:adjustRightInd w:val="0"/>
              <w:spacing w:before="29" w:line="288" w:lineRule="auto"/>
              <w:ind w:left="17"/>
              <w:jc w:val="left"/>
              <w:rPr>
                <w:color w:val="000000"/>
                <w:kern w:val="0"/>
                <w:sz w:val="24"/>
              </w:rPr>
            </w:pPr>
            <w:r w:rsidRPr="008640AE">
              <w:rPr>
                <w:color w:val="000000"/>
                <w:kern w:val="0"/>
                <w:sz w:val="24"/>
              </w:rPr>
              <w:t>交银全球资源混合(QDII)</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基金主代码</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519709</w:t>
            </w:r>
          </w:p>
        </w:tc>
      </w:tr>
      <w:tr w:rsidR="005837E4" w:rsidRPr="008640AE" w:rsidTr="0010282F">
        <w:trPr>
          <w:jc w:val="center"/>
        </w:trPr>
        <w:tc>
          <w:tcPr>
            <w:tcW w:type="dxa" w:w="3135"/>
            <w:vAlign w:val="center"/>
          </w:tcPr>
          <w:p w:rsidP="005546C0" w:rsidR="005837E4" w:rsidRDefault="005837E4" w:rsidRPr="008640AE">
            <w:pPr>
              <w:adjustRightInd w:val="0"/>
              <w:spacing w:before="29" w:line="288" w:lineRule="auto"/>
              <w:ind w:left="17"/>
              <w:jc w:val="left"/>
              <w:rPr>
                <w:kern w:val="0"/>
                <w:sz w:val="24"/>
              </w:rPr>
            </w:pPr>
            <w:r w:rsidRPr="008640AE">
              <w:rPr>
                <w:kern w:val="0"/>
                <w:sz w:val="24"/>
              </w:rPr>
              <w:t>交易代码</w:t>
            </w:r>
          </w:p>
        </w:tc>
        <w:tc>
          <w:tcPr>
            <w:tcW w:type="dxa" w:w="5733"/>
            <w:gridSpan w:val="2"/>
            <w:vAlign w:val="center"/>
          </w:tcPr>
          <w:p w:rsidP="005546C0" w:rsidR="005837E4" w:rsidRDefault="005837E4" w:rsidRPr="008640AE">
            <w:pPr>
              <w:adjustRightInd w:val="0"/>
              <w:spacing w:before="29" w:line="288" w:lineRule="auto"/>
              <w:ind w:left="17"/>
              <w:jc w:val="left"/>
              <w:rPr>
                <w:color w:val="000000"/>
                <w:kern w:val="0"/>
                <w:sz w:val="24"/>
              </w:rPr>
            </w:pPr>
            <w:r w:rsidRPr="008640AE">
              <w:rPr>
                <w:kern w:val="0"/>
                <w:sz w:val="24"/>
              </w:rPr>
              <w:t>519709</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基金运作方式</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契约型开放式</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基金合同生效日</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2012年5月22日</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报告期末基金份额总额</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31,640,342.98</w:t>
            </w:r>
            <w:r w:rsidRPr="008640AE">
              <w:rPr>
                <w:color w:val="000000"/>
                <w:kern w:val="0"/>
                <w:sz w:val="24"/>
              </w:rPr>
              <w:t>份</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投资目标</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在全球范围内精选自然资源相关行业的上市公司，通过积极主动的资产配置和组合管理，在有效控制组合下行风险的前提下力争实现资本的长期保值增值。</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投资策略</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业绩比较基准</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MSCI全球原材料总收益指数收益率×65%＋MSCI全球能源总收益指数收益率×35%</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风险收益特征</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基金管理人</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交银施罗德基金管理有限公司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基金托管人</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中国建设银行股份有限公司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境外投资顾问英文名称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Schroder Investment Management Limited</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境外投资顾问中文名称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施罗德投资管理有限公司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境外资产托管人英文名称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JPMorgan Chase Bank，National Association</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境外资产托管人中文名称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摩根大通银行</w:t>
            </w:r>
          </w:p>
        </w:tc>
      </w:tr>
    </w:tbl>
    <w:p w:rsidP="005546C0" w:rsidR="001C1457" w:rsidRDefault="001C1457"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§3  </w:t>
      </w:r>
      <w:r w:rsidRPr="008640AE">
        <w:rPr>
          <w:color w:val="000000"/>
          <w:kern w:val="0"/>
          <w:sz w:val="24"/>
          <w:szCs w:val="24"/>
        </w:rPr>
        <w:t>主要财务指标和基金净值表现</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3.1 </w:t>
      </w:r>
      <w:r w:rsidRPr="008640AE">
        <w:rPr>
          <w:b/>
          <w:color w:val="000000"/>
          <w:kern w:val="0"/>
          <w:sz w:val="24"/>
        </w:rPr>
        <w:t>主要财务指标</w:t>
      </w:r>
    </w:p>
    <w:p w:rsidP="005546C0" w:rsidR="0076518F" w:rsidRDefault="0076518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7"/>
        <w:gridCol w:w="2706"/>
        <w:gridCol w:w="2555"/>
      </w:tblGrid>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jc w:val="center"/>
              <w:rPr>
                <w:kern w:val="0"/>
                <w:sz w:val="24"/>
              </w:rPr>
            </w:pPr>
            <w:r w:rsidRPr="008640AE">
              <w:rPr>
                <w:kern w:val="0"/>
                <w:sz w:val="24"/>
              </w:rPr>
              <w:t>主要财务指标</w:t>
            </w:r>
            <w:r w:rsidR="001B28D0" w:rsidRPr="008640AE">
              <w:rPr>
                <w:kern w:val="0"/>
                <w:sz w:val="24"/>
              </w:rPr>
              <w:t/>
            </w:r>
          </w:p>
        </w:tc>
        <w:tc>
          <w:tcPr>
            <w:tcW w:type="dxa" w:w="4962"/>
            <w:hMerge w:val="restart"/>
            <w:vAlign w:val="center"/>
          </w:tcPr>
          <w:p w:rsidP="005546C0" w:rsidR="000306F0" w:rsidRDefault="000306F0" w:rsidRPr="008640AE">
            <w:pPr>
              <w:adjustRightInd w:val="0"/>
              <w:spacing w:before="29" w:line="288" w:lineRule="auto"/>
              <w:ind w:left="17"/>
              <w:jc w:val="center"/>
              <w:rPr>
                <w:color w:val="000000"/>
                <w:sz w:val="24"/>
              </w:rPr>
            </w:pPr>
            <w:r w:rsidRPr="008640AE">
              <w:rPr>
                <w:color w:val="000000"/>
                <w:sz w:val="24"/>
              </w:rPr>
              <w:t>报告期</w:t>
            </w:r>
          </w:p>
          <w:p w:rsidP="005546C0" w:rsidR="007D1292" w:rsidRDefault="000306F0" w:rsidRPr="008640AE">
            <w:pPr>
              <w:adjustRightInd w:val="0"/>
              <w:spacing w:before="29" w:line="288" w:lineRule="auto"/>
              <w:ind w:left="17"/>
              <w:jc w:val="center"/>
              <w:rPr>
                <w:color w:val="000000"/>
                <w:sz w:val="24"/>
              </w:rPr>
            </w:pPr>
            <w:r w:rsidRPr="008640AE">
              <w:rPr>
                <w:color w:val="000000"/>
                <w:sz w:val="24"/>
              </w:rPr>
              <w:t>(2019年1月1日-2019年3月31日)</w:t>
            </w:r>
          </w:p>
        </w:tc>
        <w:tc>
          <w:tcPr>
            <w:tcW w:type="dxa" w:w="2410"/>
            <w:hMerge/>
            <w:vAlign w:val="center"/>
          </w:tcPr>
          <w:p w:rsidP="005546C0" w:rsidR="007D1292" w:rsidRDefault="007D1292" w:rsidRPr="008640AE">
            <w:pPr>
              <w:adjustRightInd w:val="0"/>
              <w:spacing w:before="29" w:line="288" w:lineRule="auto"/>
              <w:ind w:left="17"/>
              <w:jc w:val="center"/>
              <w:rPr>
                <w:color w:val="000000"/>
                <w:sz w:val="24"/>
              </w:rPr>
            </w:pPr>
            <w:r w:rsidRPr="008640AE">
              <w:rPr>
                <w:color w:val="000000"/>
                <w:sz w:val="24"/>
              </w:rPr>
              <w:t>上期金额</w:t>
            </w:r>
            <w:r w:rsidR="0018734E" w:rsidRPr="008640AE">
              <w:rPr>
                <w:color w:val="000000"/>
                <w:sz w:val="24"/>
              </w:rPr>
              <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1.</w:t>
            </w:r>
            <w:r w:rsidRPr="008640AE">
              <w:rPr>
                <w:kern w:val="0"/>
                <w:sz w:val="24"/>
              </w:rPr>
              <w:t>本期已实现收益</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-470,544.16</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2.</w:t>
            </w:r>
            <w:r w:rsidRPr="008640AE">
              <w:rPr>
                <w:kern w:val="0"/>
                <w:sz w:val="24"/>
              </w:rPr>
              <w:t>本期利润</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4,335,858.00</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3.</w:t>
            </w:r>
            <w:r w:rsidRPr="008640AE">
              <w:rPr>
                <w:kern w:val="0"/>
                <w:sz w:val="24"/>
              </w:rPr>
              <w:t>加权平均基金份额本期利润</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0.1241</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4.</w:t>
            </w:r>
            <w:r w:rsidRPr="008640AE">
              <w:rPr>
                <w:kern w:val="0"/>
                <w:sz w:val="24"/>
              </w:rPr>
              <w:t>期末基金资产净值</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46,768,982.94</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trHeight w:val="158"/>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5.</w:t>
            </w:r>
            <w:r w:rsidRPr="008640AE">
              <w:rPr>
                <w:kern w:val="0"/>
                <w:sz w:val="24"/>
              </w:rPr>
              <w:t>期末基金份额净值</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1.478</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bl>
    <w:p>
      <w:pPr>
        <w:autoSpaceDE w:val="0"/>
        <w:autoSpaceDN w:val="0"/>
        <w:adjustRightInd w:val="0"/>
        <w:spacing w:before="29" w:line="288" w:lineRule="auto"/>
        <w:jc w:val="left"/>
        <w:rPr>
          <w:color w:val="000000"/>
          <w:sz w:val="24"/>
        </w:rPr>
      </w:pPr>
      <w:r>
        <w:rPr>
          <w:color w:val="000000"/>
          <w:sz w:val="24"/>
        </w:rPr>
        <w:t xml:space="preserve">注：1、上述基金业绩指标不包括持有人认购或交易基金的各项费用，计入费用后的实际收益水平要低于所列数字； </w:t>
      </w:r>
    </w:p>
    <w:p w:rsidP="005546C0" w:rsidR="007D1292" w:rsidRDefault="007D1292" w:rsidRPr="008640AE">
      <w:pPr>
        <w:autoSpaceDE w:val="0"/>
        <w:autoSpaceDN w:val="0"/>
        <w:adjustRightInd w:val="0"/>
        <w:spacing w:before="29" w:line="288" w:lineRule="auto"/>
        <w:jc w:val="left"/>
        <w:rPr>
          <w:color w:val="000000"/>
          <w:sz w:val="24"/>
        </w:rPr>
      </w:pPr>
      <w:r w:rsidRPr="008640AE">
        <w:rPr>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3.2 </w:t>
      </w:r>
      <w:r w:rsidRPr="008640AE">
        <w:rPr>
          <w:b/>
          <w:color w:val="000000"/>
          <w:kern w:val="0"/>
          <w:sz w:val="24"/>
        </w:rPr>
        <w:t>基金净值表现</w:t>
      </w:r>
    </w:p>
    <w:p w:rsidP="005546C0" w:rsidR="0076518F" w:rsidRDefault="0076518F" w:rsidRPr="008640AE">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640AE">
          <w:rPr>
            <w:b/>
            <w:color w:val="000000"/>
            <w:kern w:val="0"/>
            <w:sz w:val="24"/>
          </w:rPr>
          <w:t>3.2.1</w:t>
        </w:r>
      </w:smartTag>
      <w:r w:rsidRPr="008640AE">
        <w:rPr>
          <w:b/>
          <w:color w:val="000000"/>
          <w:kern w:val="0"/>
          <w:sz w:val="24"/>
        </w:rPr>
        <w:t>本报告期基金份额净值增长率及其与同期业绩比较基准收益率的比较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4A0"/>
      </w:tblPr>
      <w:tblGrid>
        <w:gridCol w:w="1701"/>
        <w:gridCol w:w="1194"/>
        <w:gridCol w:w="1194"/>
        <w:gridCol w:w="1194"/>
        <w:gridCol w:w="1343"/>
        <w:gridCol w:w="1194"/>
        <w:gridCol w:w="1048"/>
      </w:tblGrid>
      <w:tr w:rsidR="007D1292" w:rsidRPr="008640AE" w:rsidTr="00811B44">
        <w:trPr>
          <w:jc w:val="center"/>
        </w:trPr>
        <w:tc>
          <w:tcPr>
            <w:tcW w:type="dxa" w:w="161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阶段</w:t>
            </w:r>
            <w:r w:rsidR="00026BFF" w:rsidRPr="008640AE">
              <w:rPr>
                <w:color w:val="000000"/>
                <w:sz w:val="24"/>
              </w:rPr>
              <w:t/>
            </w:r>
          </w:p>
        </w:tc>
        <w:tc>
          <w:tcPr>
            <w:tcW w:type="dxa" w:w="1134"/>
            <w:shd w:color="auto" w:fill="auto" w:val="clear"/>
            <w:vAlign w:val="center"/>
          </w:tcPr>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净值增</w:t>
            </w:r>
          </w:p>
          <w:p w:rsidP="005546C0" w:rsidR="007D1292" w:rsidRDefault="006A3F7F" w:rsidRPr="008640AE">
            <w:pPr>
              <w:autoSpaceDE w:val="0"/>
              <w:autoSpaceDN w:val="0"/>
              <w:adjustRightInd w:val="0"/>
              <w:spacing w:before="29" w:line="288" w:lineRule="auto"/>
              <w:ind w:left="17"/>
              <w:jc w:val="center"/>
              <w:rPr>
                <w:color w:val="000000"/>
                <w:sz w:val="24"/>
              </w:rPr>
            </w:pPr>
            <w:r w:rsidRPr="008640AE">
              <w:rPr>
                <w:color w:val="000000"/>
                <w:kern w:val="0"/>
                <w:sz w:val="24"/>
              </w:rPr>
              <w:t>长率</w:t>
            </w:r>
            <w:r w:rsidRPr="008640AE">
              <w:rPr>
                <w:rFonts w:hAnsi="宋体"/>
                <w:color w:val="000000"/>
                <w:kern w:val="0"/>
                <w:sz w:val="24"/>
              </w:rPr>
              <w:t>①</w:t>
            </w:r>
          </w:p>
        </w:tc>
        <w:tc>
          <w:tcPr>
            <w:tcW w:type="dxa" w:w="1134"/>
            <w:shd w:color="auto" w:fill="auto" w:val="clear"/>
            <w:vAlign w:val="center"/>
          </w:tcPr>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净值增长</w:t>
            </w:r>
          </w:p>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率标准差</w:t>
            </w:r>
          </w:p>
          <w:p w:rsidP="005546C0" w:rsidR="007D1292" w:rsidRDefault="006A3F7F" w:rsidRPr="008640AE">
            <w:pPr>
              <w:autoSpaceDE w:val="0"/>
              <w:autoSpaceDN w:val="0"/>
              <w:adjustRightInd w:val="0"/>
              <w:spacing w:before="29" w:line="288" w:lineRule="auto"/>
              <w:ind w:left="17"/>
              <w:jc w:val="center"/>
              <w:rPr>
                <w:color w:val="000000"/>
                <w:sz w:val="24"/>
              </w:rPr>
            </w:pPr>
            <w:r w:rsidRPr="008640AE">
              <w:rPr>
                <w:rFonts w:hAnsi="宋体"/>
                <w:color w:val="000000"/>
                <w:kern w:val="0"/>
                <w:sz w:val="24"/>
              </w:rPr>
              <w:t>②</w:t>
            </w:r>
          </w:p>
        </w:tc>
        <w:tc>
          <w:tcPr>
            <w:tcW w:type="dxa" w:w="113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业绩比较基准收益率</w:t>
            </w:r>
            <w:r w:rsidRPr="008640AE">
              <w:rPr>
                <w:rFonts w:hAnsi="宋体"/>
                <w:color w:val="000000"/>
                <w:sz w:val="24"/>
              </w:rPr>
              <w:t>③</w:t>
            </w:r>
          </w:p>
        </w:tc>
        <w:tc>
          <w:tcPr>
            <w:tcW w:type="dxa" w:w="1275"/>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业绩比较基准收益率标准差</w:t>
            </w:r>
            <w:r w:rsidRPr="008640AE">
              <w:rPr>
                <w:rFonts w:hAnsi="宋体"/>
                <w:color w:val="000000"/>
                <w:sz w:val="24"/>
              </w:rPr>
              <w:t>④</w:t>
            </w:r>
          </w:p>
        </w:tc>
        <w:tc>
          <w:tcPr>
            <w:tcW w:type="dxa" w:w="113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rFonts w:hAnsi="宋体"/>
                <w:color w:val="000000"/>
                <w:sz w:val="24"/>
              </w:rPr>
              <w:t>①</w:t>
            </w:r>
            <w:r w:rsidRPr="008640AE">
              <w:rPr>
                <w:color w:val="000000"/>
                <w:sz w:val="24"/>
              </w:rPr>
              <w:t>-</w:t>
            </w:r>
            <w:r w:rsidRPr="008640AE">
              <w:rPr>
                <w:rFonts w:hAnsi="宋体"/>
                <w:color w:val="000000"/>
                <w:sz w:val="24"/>
              </w:rPr>
              <w:t>③</w:t>
            </w:r>
          </w:p>
        </w:tc>
        <w:tc>
          <w:tcPr>
            <w:tcW w:type="dxa" w:w="995"/>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rFonts w:hAnsi="宋体"/>
                <w:color w:val="000000"/>
                <w:sz w:val="24"/>
              </w:rPr>
              <w:t>②</w:t>
            </w:r>
            <w:r w:rsidRPr="008640AE">
              <w:rPr>
                <w:color w:val="000000"/>
                <w:sz w:val="24"/>
              </w:rPr>
              <w:t>-</w:t>
            </w:r>
            <w:r w:rsidRPr="008640AE">
              <w:rPr>
                <w:rFonts w:hAnsi="宋体"/>
                <w:color w:val="000000"/>
                <w:sz w:val="24"/>
              </w:rPr>
              <w:t>④</w:t>
            </w:r>
          </w:p>
        </w:tc>
      </w:tr>
      <w:tr>
        <w:tc>
          <w:tcPr>
            <w:vAlign w:val="center"/>
          </w:tcPr>
          <w:p>
            <w:pPr>
              <w:jc w:val="left"/>
            </w:pPr>
            <w:r>
              <w:rPr>
                <w:color w:val="000000"/>
                <w:sz w:val="24"/>
              </w:rPr>
              <w:t>过去三个月</w:t>
            </w:r>
          </w:p>
        </w:tc>
        <w:tc>
          <w:tcPr>
            <w:vAlign w:val="center"/>
          </w:tcPr>
          <w:p>
            <w:pPr>
              <w:jc w:val="right"/>
            </w:pPr>
            <w:r>
              <w:rPr>
                <w:color w:val="000000"/>
                <w:sz w:val="24"/>
              </w:rPr>
              <w:t>8.92%</w:t>
            </w:r>
          </w:p>
        </w:tc>
        <w:tc>
          <w:tcPr>
            <w:vAlign w:val="center"/>
          </w:tcPr>
          <w:p>
            <w:pPr>
              <w:jc w:val="right"/>
            </w:pPr>
            <w:r>
              <w:rPr>
                <w:color w:val="000000"/>
                <w:sz w:val="24"/>
              </w:rPr>
              <w:t>1.10%</w:t>
            </w:r>
          </w:p>
        </w:tc>
        <w:tc>
          <w:tcPr>
            <w:vAlign w:val="center"/>
          </w:tcPr>
          <w:p>
            <w:pPr>
              <w:jc w:val="right"/>
            </w:pPr>
            <w:r>
              <w:rPr>
                <w:color w:val="000000"/>
                <w:sz w:val="24"/>
              </w:rPr>
              <w:t>11.68%</w:t>
            </w:r>
          </w:p>
        </w:tc>
        <w:tc>
          <w:tcPr>
            <w:vAlign w:val="center"/>
          </w:tcPr>
          <w:p>
            <w:pPr>
              <w:jc w:val="right"/>
            </w:pPr>
            <w:r>
              <w:rPr>
                <w:color w:val="000000"/>
                <w:sz w:val="24"/>
              </w:rPr>
              <w:t>0.89%</w:t>
            </w:r>
          </w:p>
        </w:tc>
        <w:tc>
          <w:tcPr>
            <w:vAlign w:val="center"/>
          </w:tcPr>
          <w:p>
            <w:pPr>
              <w:jc w:val="right"/>
            </w:pPr>
            <w:r>
              <w:rPr>
                <w:color w:val="000000"/>
                <w:sz w:val="24"/>
              </w:rPr>
              <w:t>-2.76%</w:t>
            </w:r>
          </w:p>
        </w:tc>
        <w:tc>
          <w:tcPr>
            <w:vAlign w:val="center"/>
          </w:tcPr>
          <w:p>
            <w:pPr>
              <w:jc w:val="right"/>
            </w:pPr>
            <w:r>
              <w:rPr>
                <w:color w:val="000000"/>
                <w:sz w:val="24"/>
              </w:rPr>
              <w:t>0.21%</w:t>
            </w:r>
          </w:p>
        </w:tc>
      </w:tr>
    </w:tbl>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3.2.2</w:t>
      </w:r>
      <w:r w:rsidR="00E97B3C" w:rsidRPr="009D7D27">
        <w:rPr>
          <w:rFonts w:hint="eastAsia"/>
          <w:b/>
          <w:color w:val="000000"/>
          <w:kern w:val="0"/>
          <w:sz w:val="24"/>
        </w:rPr>
        <w:t>自基金合同生效以来</w:t>
      </w:r>
      <w:r w:rsidR="006A3F7F" w:rsidRPr="008640AE">
        <w:rPr>
          <w:b/>
          <w:color w:val="000000"/>
          <w:kern w:val="0"/>
          <w:sz w:val="24"/>
        </w:rPr>
        <w:t>基金份额累计净值增长率变动及其与同期业绩比较基准收益率变动的比较</w:t>
      </w:r>
    </w:p>
    <w:p w:rsidP="005546C0" w:rsidR="00A96FD9" w:rsidRDefault="00A96FD9" w:rsidRPr="008640AE">
      <w:pPr>
        <w:spacing w:before="29" w:line="288" w:lineRule="auto"/>
        <w:jc w:val="center"/>
        <w:rPr>
          <w:sz w:val="24"/>
        </w:rPr>
      </w:pPr>
      <w:r w:rsidRPr="008640AE">
        <w:rPr>
          <w:sz w:val="24"/>
        </w:rPr>
        <w:t>交银施罗德全球自然资源证券投资基金</w:t>
      </w:r>
    </w:p>
    <w:p w:rsidP="005546C0" w:rsidR="00FB39F7" w:rsidRDefault="00F94B4D" w:rsidRPr="008640AE">
      <w:pPr>
        <w:pStyle w:val="a5"/>
        <w:snapToGrid w:val="0"/>
        <w:spacing w:before="29" w:line="288" w:lineRule="auto"/>
        <w:ind w:firstLine="480"/>
        <w:jc w:val="center"/>
        <w:rPr>
          <w:rFonts w:ascii="Times New Roman" w:hAnsi="Times New Roman"/>
          <w:color w:val="000000"/>
          <w:sz w:val="24"/>
          <w:szCs w:val="24"/>
        </w:rPr>
      </w:pPr>
      <w:r w:rsidRPr="008640AE">
        <w:rPr>
          <w:rFonts w:ascii="Times New Roman" w:hAnsi="Times New Roman"/>
          <w:color w:val="000000"/>
          <w:sz w:val="24"/>
          <w:szCs w:val="24"/>
        </w:rPr>
        <w:t>份额累计净值增长率与业绩比较基准收益率历史走势对比图</w:t>
      </w:r>
    </w:p>
    <w:p w:rsidP="005546C0" w:rsidR="005908C0" w:rsidRDefault="005908C0" w:rsidRPr="008640AE">
      <w:pPr>
        <w:spacing w:before="29" w:line="288" w:lineRule="auto"/>
        <w:jc w:val="center"/>
        <w:rPr>
          <w:sz w:val="24"/>
        </w:rPr>
      </w:pPr>
      <w:r w:rsidRPr="008640AE">
        <w:rPr>
          <w:color w:val="000000"/>
          <w:kern w:val="0"/>
          <w:sz w:val="24"/>
        </w:rPr>
        <w:t>（</w:t>
      </w:r>
      <w:r w:rsidR="00623556" w:rsidRPr="008640AE">
        <w:rPr>
          <w:color w:val="000000"/>
          <w:kern w:val="0"/>
          <w:sz w:val="24"/>
        </w:rPr>
        <w:t>2012年5月22日</w:t>
      </w:r>
      <w:r w:rsidRPr="008640AE">
        <w:rPr>
          <w:color w:val="000000"/>
          <w:kern w:val="0"/>
          <w:sz w:val="24"/>
        </w:rPr>
        <w:t>至</w:t>
      </w:r>
      <w:r w:rsidRPr="008640AE">
        <w:rPr>
          <w:color w:val="000000"/>
          <w:kern w:val="0"/>
          <w:sz w:val="24"/>
        </w:rPr>
        <w:t>2019年3月31日</w:t>
      </w:r>
      <w:r w:rsidRPr="008640AE">
        <w:rPr>
          <w:color w:val="000000"/>
          <w:kern w:val="0"/>
          <w:sz w:val="24"/>
        </w:rPr>
        <w:t>）</w:t>
      </w:r>
    </w:p>
    <w:p w:rsidP="005546C0" w:rsidR="00A96FD9" w:rsidRDefault="00566F22" w:rsidRPr="008640AE">
      <w:pPr>
        <w:tabs>
          <w:tab w:pos="1800" w:val="left"/>
        </w:tabs>
        <w:spacing w:before="29" w:line="288" w:lineRule="auto"/>
        <w:jc w:val="center"/>
        <w:rPr>
          <w:color w:val="000000"/>
          <w:sz w:val="24"/>
        </w:rPr>
      </w:pPr>
      <w:r w:rsidRPr="008640AE">
        <w:rPr>
          <w:noProof/>
          <w:color w:val="000000"/>
          <w:sz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3"/>
                    <a:stretch>
                      <a:fillRect/>
                    </a:stretch>
                  </pic:blipFill>
                  <pic:spPr>
                    <a:xfrm>
                      <a:off x="0" y="0"/>
                      <a:ext cx="5731510" cy="3356610"/>
                    </a:xfrm>
                    <a:prstGeom prst="rect">
                      <a:avLst/>
                    </a:prstGeom>
                  </pic:spPr>
                </pic:pic>
              </a:graphicData>
            </a:graphic>
          </wp:inline>
        </w:drawing>
      </w:r>
    </w:p>
    <w:p w:rsidP="005546C0" w:rsidR="00A96FD9" w:rsidRDefault="00A96FD9" w:rsidRPr="008640AE">
      <w:pPr>
        <w:autoSpaceDE w:val="0"/>
        <w:autoSpaceDN w:val="0"/>
        <w:adjustRightInd w:val="0"/>
        <w:spacing w:before="29" w:line="288" w:lineRule="auto"/>
        <w:jc w:val="left"/>
        <w:rPr>
          <w:color w:val="000000"/>
          <w:sz w:val="24"/>
        </w:rPr>
      </w:pPr>
      <w:r w:rsidRPr="008640AE">
        <w:rPr>
          <w:color w:val="000000"/>
          <w:sz w:val="24"/>
        </w:rPr>
        <w:t/>
      </w:r>
      <w:r w:rsidR="00FB7363" w:rsidRPr="008640AE">
        <w:rPr>
          <w:color w:val="000000"/>
          <w:sz w:val="24"/>
        </w:rPr>
        <w:t/>
      </w:r>
      <w:r w:rsidRPr="008640AE">
        <w:rPr>
          <w:color w:val="000000"/>
          <w:sz w:val="24"/>
        </w:rPr>
        <w:t>注：本基金建仓期为自基金合同生效日起的6个月。截至建仓期结束，本基金各项资产配置比例符合基金合同及招募说明书有关投资比例的约定。</w:t>
      </w:r>
    </w:p>
    <w:p w:rsidP="005546C0" w:rsidR="00EA3F21" w:rsidRDefault="00EA3F21"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§4  </w:t>
      </w:r>
      <w:r w:rsidRPr="008640AE">
        <w:rPr>
          <w:color w:val="000000"/>
          <w:kern w:val="0"/>
          <w:sz w:val="24"/>
          <w:szCs w:val="24"/>
        </w:rPr>
        <w:t>管理人报告</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4.1 </w:t>
      </w:r>
      <w:r w:rsidRPr="008640AE">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0A0"/>
      </w:tblPr>
      <w:tblGrid>
        <w:gridCol w:w="846"/>
        <w:gridCol w:w="845"/>
        <w:gridCol w:w="1549"/>
        <w:gridCol w:w="1548"/>
        <w:gridCol w:w="1407"/>
        <w:gridCol w:w="2673"/>
      </w:tblGrid>
      <w:tr w:rsidR="007D1292" w:rsidRPr="008640AE" w:rsidTr="00811B44">
        <w:trPr>
          <w:trHeight w:val="292"/>
          <w:jc w:val="center"/>
        </w:trPr>
        <w:tc>
          <w:tcPr>
            <w:tcW w:type="dxa" w:w="851"/>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姓名</w:t>
            </w:r>
          </w:p>
        </w:tc>
        <w:tc>
          <w:tcPr>
            <w:tcW w:type="dxa" w:w="850"/>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职务</w:t>
            </w:r>
          </w:p>
        </w:tc>
        <w:tc>
          <w:tcPr>
            <w:tcW w:type="dxa" w:w="3119"/>
            <w:gridSpan w:val="2"/>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任本基金的基金经理期限</w:t>
            </w:r>
          </w:p>
        </w:tc>
        <w:tc>
          <w:tcPr>
            <w:tcW w:type="dxa" w:w="1417"/>
            <w:vMerge w:val="restart"/>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证券从业年限</w:t>
            </w:r>
          </w:p>
        </w:tc>
        <w:tc>
          <w:tcPr>
            <w:tcW w:type="dxa" w:w="2694"/>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说明</w:t>
            </w:r>
          </w:p>
        </w:tc>
      </w:tr>
      <w:tr w:rsidR="007D1292" w:rsidRPr="008640AE" w:rsidTr="00811B44">
        <w:trPr>
          <w:jc w:val="center"/>
        </w:trPr>
        <w:tc>
          <w:tcPr>
            <w:tcW w:type="dxa" w:w="851"/>
            <w:vMerge/>
            <w:vAlign w:val="center"/>
          </w:tcPr>
          <w:p w:rsidP="005546C0" w:rsidR="007D1292" w:rsidRDefault="007D1292" w:rsidRPr="008640AE">
            <w:pPr>
              <w:widowControl/>
              <w:spacing w:before="29" w:line="288" w:lineRule="auto"/>
              <w:jc w:val="left"/>
              <w:rPr>
                <w:color w:val="000000"/>
                <w:kern w:val="0"/>
                <w:sz w:val="24"/>
              </w:rPr>
            </w:pPr>
          </w:p>
        </w:tc>
        <w:tc>
          <w:tcPr>
            <w:tcW w:type="dxa" w:w="850"/>
            <w:vMerge/>
            <w:vAlign w:val="center"/>
          </w:tcPr>
          <w:p w:rsidP="005546C0" w:rsidR="007D1292" w:rsidRDefault="007D1292" w:rsidRPr="008640AE">
            <w:pPr>
              <w:widowControl/>
              <w:spacing w:before="29" w:line="288" w:lineRule="auto"/>
              <w:jc w:val="left"/>
              <w:rPr>
                <w:color w:val="000000"/>
                <w:kern w:val="0"/>
                <w:sz w:val="24"/>
              </w:rPr>
            </w:pPr>
          </w:p>
        </w:tc>
        <w:tc>
          <w:tcPr>
            <w:tcW w:type="dxa" w:w="1560"/>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任职日期</w:t>
            </w:r>
          </w:p>
        </w:tc>
        <w:tc>
          <w:tcPr>
            <w:tcW w:type="dxa" w:w="1559"/>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离任日期</w:t>
            </w:r>
          </w:p>
        </w:tc>
        <w:tc>
          <w:tcPr>
            <w:tcW w:type="dxa" w:w="1417"/>
            <w:vMerge/>
            <w:vAlign w:val="center"/>
          </w:tcPr>
          <w:p w:rsidP="005546C0" w:rsidR="007D1292" w:rsidRDefault="007D1292" w:rsidRPr="008640AE">
            <w:pPr>
              <w:widowControl/>
              <w:spacing w:before="29" w:line="288" w:lineRule="auto"/>
              <w:jc w:val="left"/>
              <w:rPr>
                <w:color w:val="000000"/>
                <w:kern w:val="0"/>
                <w:sz w:val="24"/>
              </w:rPr>
            </w:pPr>
          </w:p>
        </w:tc>
        <w:tc>
          <w:tcPr>
            <w:tcW w:type="dxa" w:w="2694"/>
            <w:vMerge/>
            <w:vAlign w:val="center"/>
          </w:tcPr>
          <w:p w:rsidP="005546C0" w:rsidR="007D1292" w:rsidRDefault="007D1292" w:rsidRPr="008640AE">
            <w:pPr>
              <w:widowControl/>
              <w:spacing w:before="29" w:line="288" w:lineRule="auto"/>
              <w:jc w:val="left"/>
              <w:rPr>
                <w:color w:val="000000"/>
                <w:kern w:val="0"/>
                <w:sz w:val="24"/>
              </w:rPr>
            </w:pPr>
          </w:p>
        </w:tc>
      </w:tr>
      <w:tr>
        <w:tc>
          <w:tcPr>
            <w:vAlign w:val="center"/>
          </w:tcPr>
          <w:p>
            <w:pPr>
              <w:jc w:val="center"/>
            </w:pPr>
            <w:r>
              <w:rPr>
                <w:color w:val="000000"/>
                <w:sz w:val="24"/>
              </w:rPr>
              <w:t>陈俊华</w:t>
            </w:r>
          </w:p>
        </w:tc>
        <w:tc>
          <w:tcPr>
            <w:vAlign w:val="center"/>
          </w:tcPr>
          <w:p>
            <w:pPr>
              <w:jc w:val="center"/>
            </w:pPr>
            <w:r>
              <w:rPr>
                <w:color w:val="000000"/>
                <w:sz w:val="24"/>
              </w:rPr>
              <w:t>交银环球精选混合(QDII)、交银全球资源混合(QDII)、交银沪港深价值精选混合、交银核心资产混合的基金经理，公司跨境投资副总监</w:t>
            </w:r>
          </w:p>
        </w:tc>
        <w:tc>
          <w:tcPr>
            <w:vAlign w:val="center"/>
          </w:tcPr>
          <w:p>
            <w:pPr>
              <w:jc w:val="center"/>
            </w:pPr>
            <w:r>
              <w:rPr>
                <w:color w:val="000000"/>
                <w:sz w:val="24"/>
              </w:rPr>
              <w:t>2015-11-21</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left"/>
            </w:pPr>
            <w:r>
              <w:rPr>
                <w:color w:val="000000"/>
                <w:sz w:val="24"/>
              </w:rPr>
              <w:t>陈俊华女士，中国国籍，上海交通大学金融学硕士。历任国泰君安证券研究部研究员、中国国际金融有限公司研究部公用事业组负责人。2015年加入交银施罗德基金管理有限公司。</w:t>
            </w:r>
          </w:p>
        </w:tc>
      </w:tr>
      <w:tr>
        <w:tc>
          <w:tcPr>
            <w:vAlign w:val="center"/>
          </w:tcPr>
          <w:p>
            <w:pPr>
              <w:jc w:val="center"/>
            </w:pPr>
            <w:r>
              <w:rPr>
                <w:color w:val="000000"/>
                <w:sz w:val="24"/>
              </w:rPr>
              <w:t>周中</w:t>
            </w:r>
          </w:p>
        </w:tc>
        <w:tc>
          <w:tcPr>
            <w:vAlign w:val="center"/>
          </w:tcPr>
          <w:p>
            <w:pPr>
              <w:jc w:val="center"/>
            </w:pPr>
            <w:r>
              <w:rPr>
                <w:color w:val="000000"/>
                <w:sz w:val="24"/>
              </w:rPr>
              <w:t>交银环球精选混合(QDII)、交银全球资源混合(QDII)、交银创新成长混合的基金经理</w:t>
            </w:r>
          </w:p>
        </w:tc>
        <w:tc>
          <w:tcPr>
            <w:vAlign w:val="center"/>
          </w:tcPr>
          <w:p>
            <w:pPr>
              <w:jc w:val="center"/>
            </w:pPr>
            <w:r>
              <w:rPr>
                <w:color w:val="000000"/>
                <w:sz w:val="24"/>
              </w:rPr>
              <w:t>2015-12-12</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left"/>
            </w:pPr>
            <w:r>
              <w:rPr>
                <w:color w:val="000000"/>
                <w:sz w:val="24"/>
              </w:rPr>
              <w:t>周中先生，中国国籍，复旦大学金融学硕士。历任野村证券亚太区股票研究部研究助理，中银国际证券研究部研究员、高级经理，瑞银证券研究部行业分析师、董事。2015年加入交银施罗德基金管理有限公司。</w:t>
            </w:r>
          </w:p>
        </w:tc>
      </w:tr>
    </w:tbl>
    <w:p w:rsidP="005546C0" w:rsidR="00A47E47" w:rsidRDefault="00A47E47" w:rsidRPr="008640AE">
      <w:pPr>
        <w:autoSpaceDE w:val="0"/>
        <w:autoSpaceDN w:val="0"/>
        <w:adjustRightInd w:val="0"/>
        <w:spacing w:before="29" w:line="288" w:lineRule="auto"/>
        <w:jc w:val="left"/>
        <w:rPr>
          <w:color w:val="000000"/>
          <w:sz w:val="24"/>
        </w:rPr>
      </w:pPr>
      <w:r w:rsidRPr="008640AE">
        <w:rPr>
          <w:color w:val="000000"/>
          <w:sz w:val="24"/>
        </w:rPr>
        <w:t>注：基金经理（或基金经理小组）期后变动（如有）敬请关注基金管理人发布的相关公告。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B95E5A" w:rsidRPr="008640AE">
      <w:pPr>
        <w:autoSpaceDE w:val="0"/>
        <w:autoSpaceDN w:val="0"/>
        <w:adjustRightInd w:val="0"/>
        <w:spacing w:before="29" w:line="288" w:lineRule="auto"/>
        <w:jc w:val="left"/>
        <w:rPr>
          <w:b/>
          <w:color w:val="000000"/>
          <w:kern w:val="0"/>
          <w:sz w:val="24"/>
        </w:rPr>
      </w:pPr>
      <w:r w:rsidRPr="008640AE">
        <w:rPr>
          <w:b/>
          <w:color w:val="000000"/>
          <w:kern w:val="0"/>
          <w:sz w:val="24"/>
        </w:rPr>
        <w:t/>
      </w:r>
      <w:r w:rsidR="0076518F" w:rsidRPr="008640AE">
        <w:rPr>
          <w:b/>
          <w:color w:val="000000"/>
          <w:kern w:val="0"/>
          <w:sz w:val="24"/>
        </w:rPr>
        <w:t>4.</w:t>
      </w:r>
      <w:r w:rsidR="00F077D2" w:rsidRPr="008640AE">
        <w:rPr>
          <w:b/>
          <w:color w:val="000000"/>
          <w:kern w:val="0"/>
          <w:sz w:val="24"/>
        </w:rPr>
        <w:t>2</w:t>
      </w:r>
      <w:r w:rsidR="0076518F" w:rsidRPr="008640AE">
        <w:rPr>
          <w:b/>
          <w:color w:val="000000"/>
          <w:kern w:val="0"/>
          <w:sz w:val="24"/>
        </w:rPr>
        <w:t>境外投资顾问为本基金提供投资建议的主要成员简介</w:t>
      </w:r>
    </w:p>
    <w:tbl>
      <w:tblPr>
        <w:tblStyle w:val="af7"/>
        <w:tblW w:type="dxa" w:w="8868"/>
        <w:jc w:val="center"/>
        <w:tblLayout w:type="fixed"/>
        <w:tblCellMar>
          <w:top w:type="dxa" w:w="57"/>
          <w:bottom w:type="dxa" w:w="57"/>
        </w:tblCellMar>
        <w:tblLook w:val="04A0"/>
      </w:tblPr>
      <w:tblGrid>
        <w:gridCol w:w="2070"/>
        <w:gridCol w:w="2465"/>
        <w:gridCol w:w="2116"/>
        <w:gridCol w:w="2217"/>
      </w:tblGrid>
      <w:tr w:rsidR="004061D9" w:rsidRPr="008640AE" w:rsidTr="00811B44">
        <w:trPr>
          <w:jc w:val="center"/>
        </w:trPr>
        <w:tc>
          <w:tcPr>
            <w:tcW w:type="dxa" w:w="1988"/>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姓名</w:t>
            </w:r>
          </w:p>
        </w:tc>
        <w:tc>
          <w:tcPr>
            <w:tcW w:type="dxa" w:w="2366"/>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在境外投资顾问所任职务</w:t>
            </w:r>
          </w:p>
        </w:tc>
        <w:tc>
          <w:tcPr>
            <w:tcW w:type="dxa" w:w="2031"/>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证券从业年限</w:t>
            </w:r>
          </w:p>
        </w:tc>
        <w:tc>
          <w:tcPr>
            <w:tcW w:type="dxa" w:w="2128"/>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说明</w:t>
            </w:r>
          </w:p>
        </w:tc>
      </w:tr>
      <w:tr>
        <w:tc>
          <w:tcPr>
            <w:vAlign w:val="center"/>
          </w:tcPr>
          <w:p>
            <w:pPr>
              <w:jc w:val="center"/>
            </w:pPr>
            <w:r>
              <w:rPr>
                <w:color w:val="000000"/>
                <w:sz w:val="24"/>
              </w:rPr>
              <w:t>Simon Webber</w:t>
            </w:r>
          </w:p>
        </w:tc>
        <w:tc>
          <w:tcPr>
            <w:vAlign w:val="center"/>
          </w:tcPr>
          <w:p>
            <w:pPr>
              <w:jc w:val="center"/>
            </w:pPr>
            <w:r>
              <w:rPr>
                <w:color w:val="000000"/>
                <w:sz w:val="24"/>
              </w:rPr>
              <w:t>施罗德集团多区域（全球及国际）股票投资主管、全球和国际股票基金经理、全球气候变化股票基金经理</w:t>
            </w:r>
          </w:p>
        </w:tc>
        <w:tc>
          <w:tcPr>
            <w:vAlign w:val="center"/>
          </w:tcPr>
          <w:p>
            <w:pPr>
              <w:jc w:val="center"/>
            </w:pPr>
            <w:r>
              <w:rPr>
                <w:color w:val="000000"/>
                <w:sz w:val="24"/>
              </w:rPr>
              <w:t>20年</w:t>
            </w:r>
          </w:p>
        </w:tc>
        <w:tc>
          <w:tcPr>
            <w:vAlign w:val="center"/>
          </w:tcPr>
          <w:p>
            <w:pPr>
              <w:jc w:val="left"/>
            </w:pPr>
            <w:r>
              <w:rPr>
                <w:color w:val="000000"/>
                <w:sz w:val="24"/>
              </w:rPr>
              <w:t>Simon Webber先生，英国曼彻斯特大学物理学学士，CFA。1999年加入施罗德投资管理有限公司，历任全球技术团队分析员。</w:t>
            </w:r>
          </w:p>
        </w:tc>
      </w:tr>
    </w:tbl>
    <w:p w:rsidP="005546C0" w:rsidR="00FB47E0" w:rsidRDefault="00FB47E0" w:rsidRPr="008640AE">
      <w:pPr>
        <w:autoSpaceDE w:val="0"/>
        <w:autoSpaceDN w:val="0"/>
        <w:adjustRightInd w:val="0"/>
        <w:spacing w:before="29" w:line="288" w:lineRule="auto"/>
        <w:jc w:val="left"/>
        <w:rPr>
          <w:color w:val="000000"/>
          <w:kern w:val="0"/>
          <w:sz w:val="24"/>
        </w:rPr>
      </w:pPr>
    </w:p>
    <w:p w:rsidP="005546C0" w:rsidR="0076518F" w:rsidRDefault="00B95E5A" w:rsidRPr="008640AE">
      <w:pPr>
        <w:autoSpaceDE w:val="0"/>
        <w:autoSpaceDN w:val="0"/>
        <w:adjustRightInd w:val="0"/>
        <w:spacing w:before="29" w:line="288" w:lineRule="auto"/>
        <w:jc w:val="left"/>
        <w:rPr>
          <w:b/>
          <w:color w:val="000000"/>
          <w:kern w:val="0"/>
          <w:sz w:val="24"/>
        </w:rPr>
      </w:pPr>
      <w:r w:rsidRPr="008640AE">
        <w:rPr>
          <w:b/>
          <w:color w:val="000000"/>
          <w:kern w:val="0"/>
          <w:sz w:val="24"/>
        </w:rPr>
        <w:t/>
      </w:r>
      <w:r w:rsidR="0076518F" w:rsidRPr="008640AE">
        <w:rPr>
          <w:b/>
          <w:color w:val="000000"/>
          <w:kern w:val="0"/>
          <w:sz w:val="24"/>
        </w:rPr>
        <w:t>4.</w:t>
      </w:r>
      <w:r w:rsidR="00A32FDA" w:rsidRPr="008640AE">
        <w:rPr>
          <w:b/>
          <w:color w:val="000000"/>
          <w:kern w:val="0"/>
          <w:sz w:val="24"/>
        </w:rPr>
        <w:t>3</w:t>
      </w:r>
      <w:r w:rsidR="0076518F" w:rsidRPr="008640AE">
        <w:rPr>
          <w:b/>
          <w:color w:val="000000"/>
          <w:kern w:val="0"/>
          <w:sz w:val="24"/>
        </w:rPr>
        <w:t>报告期内本基金运作遵规守信情况说明</w:t>
      </w:r>
    </w:p>
    <w:p w:rsidP="005546C0" w:rsidR="00363E15" w:rsidRDefault="00363E15" w:rsidRPr="008640AE">
      <w:pPr>
        <w:spacing w:before="29" w:line="288" w:lineRule="auto"/>
        <w:ind w:firstLine="480" w:firstLineChars="200"/>
        <w:rPr>
          <w:color w:val="000000"/>
          <w:sz w:val="24"/>
        </w:rPr>
      </w:pPr>
      <w:r w:rsidRPr="008640AE">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4</w:t>
      </w:r>
      <w:r w:rsidRPr="008640AE">
        <w:rPr>
          <w:b/>
          <w:color w:val="000000"/>
          <w:kern w:val="0"/>
          <w:sz w:val="24"/>
        </w:rPr>
        <w:t>公平交易专项说明</w:t>
      </w:r>
    </w:p>
    <w:p w:rsidP="005546C0" w:rsidR="00AB42E2" w:rsidRDefault="00AB42E2" w:rsidRPr="008640AE">
      <w:pPr>
        <w:spacing w:before="29" w:line="288" w:lineRule="auto"/>
        <w:rPr>
          <w:sz w:val="24"/>
        </w:rPr>
      </w:pPr>
      <w:r w:rsidRPr="008640AE">
        <w:rPr>
          <w:sz w:val="24"/>
        </w:rPr>
        <w:t>4.</w:t>
      </w:r>
      <w:r w:rsidR="00A32FDA" w:rsidRPr="008640AE">
        <w:rPr>
          <w:sz w:val="24"/>
        </w:rPr>
        <w:t>4.1</w:t>
      </w:r>
      <w:r w:rsidRPr="008640AE">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5546C0" w:rsidR="00AB42E2" w:rsidRDefault="001F3C28" w:rsidRPr="008640AE">
      <w:pPr>
        <w:spacing w:before="29" w:line="288" w:lineRule="auto"/>
        <w:ind w:firstLine="480" w:firstLineChars="200"/>
        <w:rPr>
          <w:color w:val="000000"/>
          <w:sz w:val="24"/>
        </w:rPr>
      </w:pPr>
      <w:r w:rsidRPr="008640AE">
        <w:rPr>
          <w:color w:val="000000"/>
          <w:sz w:val="24"/>
        </w:rPr>
        <w:t>报告期内本公司严格执行公平交易制度，公平对待旗下各投资组合，未发现任何违反公平交易的行为。</w:t>
      </w:r>
    </w:p>
    <w:p w:rsidP="005546C0" w:rsidR="00EA3F21" w:rsidRDefault="00EA3F21" w:rsidRPr="008640AE">
      <w:pPr>
        <w:spacing w:before="29" w:line="288" w:lineRule="auto"/>
        <w:ind w:firstLine="480" w:firstLineChars="200"/>
        <w:rPr>
          <w:color w:val="000000"/>
          <w:sz w:val="24"/>
        </w:rPr>
      </w:pPr>
    </w:p>
    <w:p w:rsidP="005546C0" w:rsidR="00AB42E2" w:rsidRDefault="00AB42E2" w:rsidRPr="008640AE">
      <w:pPr>
        <w:spacing w:before="29" w:line="288" w:lineRule="auto"/>
        <w:rPr>
          <w:sz w:val="24"/>
        </w:rPr>
      </w:pPr>
      <w:r w:rsidRPr="008640AE">
        <w:rPr>
          <w:sz w:val="24"/>
        </w:rPr>
        <w:t>4.</w:t>
      </w:r>
      <w:r w:rsidR="00A32FDA" w:rsidRPr="008640AE">
        <w:rPr>
          <w:sz w:val="24"/>
        </w:rPr>
        <w:t>4</w:t>
      </w:r>
      <w:r w:rsidRPr="008640AE">
        <w:rPr>
          <w:sz w:val="24"/>
        </w:rPr>
        <w:t>.</w:t>
      </w:r>
      <w:r w:rsidR="00A32FDA" w:rsidRPr="008640AE">
        <w:rPr>
          <w:sz w:val="24"/>
        </w:rPr>
        <w:t>2</w:t>
      </w:r>
      <w:r w:rsidRPr="008640AE">
        <w:rPr>
          <w:sz w:val="24"/>
        </w:rPr>
        <w:t>异常交易行为的专项说明</w:t>
      </w:r>
    </w:p>
    <w:p w:rsidP="005546C0" w:rsidR="001F3C28" w:rsidRDefault="001F3C28" w:rsidRPr="008640AE">
      <w:pPr>
        <w:spacing w:before="29" w:line="288" w:lineRule="auto"/>
        <w:ind w:firstLine="480" w:firstLineChars="200"/>
        <w:rPr>
          <w:color w:val="000000"/>
          <w:sz w:val="24"/>
        </w:rPr>
      </w:pPr>
      <w:r w:rsidRPr="008640AE">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5546C0" w:rsidR="0076518F" w:rsidRDefault="0076518F" w:rsidRPr="008640AE">
      <w:pPr>
        <w:autoSpaceDE w:val="0"/>
        <w:autoSpaceDN w:val="0"/>
        <w:adjustRightInd w:val="0"/>
        <w:spacing w:before="29" w:line="288" w:lineRule="auto"/>
        <w:jc w:val="left"/>
        <w:rPr>
          <w:b/>
          <w:color w:val="000000"/>
          <w:kern w:val="0"/>
          <w:sz w:val="24"/>
        </w:rPr>
      </w:pPr>
    </w:p>
    <w:p w:rsidP="005546C0" w:rsidR="00462B61" w:rsidRDefault="009D0169" w:rsidRPr="008640AE">
      <w:pPr>
        <w:spacing w:before="29" w:line="288" w:lineRule="auto"/>
        <w:rPr>
          <w:sz w:val="24"/>
        </w:rPr>
      </w:pPr>
      <w:r w:rsidRPr="008640AE">
        <w:rPr>
          <w:b/>
          <w:color w:val="000000"/>
          <w:kern w:val="0"/>
          <w:sz w:val="24"/>
        </w:rPr>
        <w:t>4.5</w:t>
      </w:r>
      <w:r w:rsidRPr="008640AE">
        <w:rPr>
          <w:b/>
          <w:color w:val="000000"/>
          <w:kern w:val="0"/>
          <w:sz w:val="24"/>
        </w:rPr>
        <w:t>报告期内基金的投资策略和业绩表现说明</w:t>
      </w:r>
    </w:p>
    <w:p>
      <w:pPr>
        <w:spacing w:before="29" w:line="288" w:lineRule="auto"/>
        <w:ind w:firstLine="480" w:firstLineChars="200"/>
        <w:rPr>
          <w:color w:val="000000"/>
          <w:sz w:val="24"/>
        </w:rPr>
      </w:pPr>
      <w:r>
        <w:rPr>
          <w:color w:val="000000"/>
          <w:sz w:val="24"/>
        </w:rPr>
        <w:t>2019年一季度A股市场和H股市场均出现了比较明显的复苏。沪深300指数在内部政策利好和外部美联储加息预期改善的背景之下一季度大幅反弹28.62%，恒生指数也在外部金融环境改善之下上涨12.40%。A股的农业、计算机和非银金融在一季度表现出色。港股的地产、消费品和工业板块领跑市场。</w:t>
      </w:r>
    </w:p>
    <w:p>
      <w:pPr>
        <w:spacing w:before="29" w:line="288" w:lineRule="auto"/>
        <w:ind w:firstLine="480" w:firstLineChars="200"/>
        <w:rPr>
          <w:color w:val="000000"/>
          <w:sz w:val="24"/>
        </w:rPr>
      </w:pPr>
      <w:r>
        <w:rPr>
          <w:color w:val="000000"/>
          <w:sz w:val="24"/>
        </w:rPr>
        <w:t>本基金在一季度重点投资于港股的能源、建材和消费服务板块，个股总体表现相对稳定。</w:t>
      </w:r>
    </w:p>
    <w:p w:rsidP="005546C0" w:rsidR="00B0116D" w:rsidRDefault="00B0116D" w:rsidRPr="008640AE">
      <w:pPr>
        <w:spacing w:before="29" w:line="288" w:lineRule="auto"/>
        <w:ind w:firstLine="480" w:firstLineChars="200"/>
        <w:rPr>
          <w:color w:val="000000"/>
          <w:sz w:val="24"/>
        </w:rPr>
      </w:pPr>
      <w:r w:rsidRPr="008640AE">
        <w:rPr>
          <w:color w:val="000000"/>
          <w:sz w:val="24"/>
        </w:rPr>
        <w:t>展望2019年二季度，我们认为流动性改善推动的市场上涨阶段性告一段落，港股市场将回归到基本面驱动阶段。目前全球经济的不确定性增加，可能会在今年显著影响股票市场的走势。我们将持续关注那些在经济周期下行过程中竞争力不受影响的公司，在下一轮经济的企稳回升过程中，这样的企业往往能够提供较好的超额回报。我们将积极寻找具有较好成长性的行业和优质的上市公司，在合适的价格买入，坚持自下而上精选个股的投资策略，力争为投资者创造较好的收益。</w:t>
      </w:r>
    </w:p>
    <w:p w:rsidP="005546C0" w:rsidR="00FD7298" w:rsidRDefault="00B0116D" w:rsidRPr="008640AE">
      <w:pPr>
        <w:spacing w:before="29" w:line="288" w:lineRule="auto"/>
        <w:ind w:firstLine="480" w:firstLineChars="200"/>
        <w:rPr>
          <w:color w:val="000000"/>
          <w:sz w:val="24"/>
        </w:rPr>
      </w:pPr>
      <w:r w:rsidRPr="008640AE">
        <w:rPr>
          <w:color w:val="000000"/>
          <w:sz w:val="24"/>
        </w:rPr>
        <w:t>本基金（各类）份额净值及业绩表现请见“3.1 主要财务指标” 及“3.2.1本报告期基金份额净值增长率及其与同期业绩比较基准收益率的比较”部分披露。</w:t>
      </w:r>
    </w:p>
    <w:p w:rsidP="005546C0" w:rsidR="00C736BB" w:rsidRDefault="00C736BB" w:rsidRPr="008640AE">
      <w:pPr>
        <w:spacing w:before="29" w:line="288" w:lineRule="auto"/>
        <w:ind w:firstLine="480" w:firstLineChars="200"/>
        <w:rPr>
          <w:color w:val="000000"/>
          <w:sz w:val="24"/>
        </w:rPr>
      </w:pPr>
    </w:p>
    <w:p w:rsidP="00C477A2" w:rsidR="00C477A2" w:rsidRDefault="00C477A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C477A2" w:rsidR="00C477A2" w:rsidRDefault="00C477A2">
      <w:pPr>
        <w:spacing w:before="29" w:line="288" w:lineRule="auto"/>
        <w:ind w:firstLine="480" w:firstLineChars="200"/>
        <w:rPr>
          <w:color w:val="000000"/>
          <w:sz w:val="24"/>
        </w:rPr>
      </w:pPr>
      <w:r w:rsidRPr="002070B4">
        <w:rPr>
          <w:color w:val="000000"/>
          <w:sz w:val="24"/>
        </w:rPr>
        <w:lastRenderedPageBreak/>
        <w:t>本基金本报告期内无需预警说明。</w:t>
      </w:r>
    </w:p>
    <w:p w:rsidP="005546C0" w:rsidR="00EA3F21" w:rsidRDefault="00EA3F21" w:rsidRPr="008640AE">
      <w:pPr>
        <w:spacing w:before="29" w:line="288" w:lineRule="auto"/>
        <w:ind w:firstLine="480" w:firstLineChars="200"/>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§5  </w:t>
      </w:r>
      <w:r w:rsidRPr="008640AE">
        <w:rPr>
          <w:color w:val="000000"/>
          <w:kern w:val="0"/>
          <w:sz w:val="24"/>
          <w:szCs w:val="24"/>
        </w:rPr>
        <w:t>投资组合报告</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5.1 </w:t>
      </w:r>
      <w:r w:rsidRPr="008640AE">
        <w:rPr>
          <w:b/>
          <w:color w:val="000000"/>
          <w:kern w:val="0"/>
          <w:sz w:val="24"/>
        </w:rPr>
        <w:t>报告期末基金资产组合情况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05"/>
        <w:gridCol w:w="3957"/>
        <w:gridCol w:w="2644"/>
        <w:gridCol w:w="1462"/>
      </w:tblGrid>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序号</w:t>
            </w:r>
          </w:p>
        </w:tc>
        <w:tc>
          <w:tcPr>
            <w:tcW w:type="dxa" w:w="4253"/>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项目</w:t>
            </w:r>
            <w:r w:rsidR="00304106" w:rsidRPr="008640AE">
              <w:rPr>
                <w:color w:val="000000"/>
                <w:sz w:val="24"/>
              </w:rPr>
              <w:t/>
            </w:r>
          </w:p>
        </w:tc>
        <w:tc>
          <w:tcPr>
            <w:tcW w:type="dxa" w:w="2835"/>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金额</w:t>
            </w:r>
            <w:r w:rsidR="00A17766" w:rsidRPr="008640AE">
              <w:rPr>
                <w:color w:val="000000"/>
                <w:kern w:val="0"/>
                <w:sz w:val="24"/>
              </w:rPr>
              <w:t>（</w:t>
            </w:r>
            <w:r w:rsidR="002655D4" w:rsidRPr="008640AE">
              <w:rPr>
                <w:color w:val="000000"/>
                <w:sz w:val="24"/>
              </w:rPr>
              <w:t>人民币</w:t>
            </w:r>
            <w:r w:rsidRPr="008640AE">
              <w:rPr>
                <w:color w:val="000000"/>
                <w:sz w:val="24"/>
              </w:rPr>
              <w:t>元</w:t>
            </w:r>
            <w:r w:rsidR="00A17766" w:rsidRPr="008640AE">
              <w:rPr>
                <w:color w:val="000000"/>
                <w:kern w:val="0"/>
                <w:sz w:val="24"/>
              </w:rPr>
              <w:t>）</w:t>
            </w:r>
          </w:p>
        </w:tc>
        <w:tc>
          <w:tcPr>
            <w:tcW w:type="dxa" w:w="1559"/>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占基金总资产的比例</w:t>
            </w:r>
            <w:r w:rsidR="00041090" w:rsidRPr="008640AE">
              <w:rPr>
                <w:color w:val="000000"/>
                <w:kern w:val="0"/>
                <w:sz w:val="24"/>
              </w:rPr>
              <w:t>（％）</w:t>
            </w:r>
          </w:p>
        </w:tc>
      </w:tr>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1</w:t>
            </w:r>
          </w:p>
        </w:tc>
        <w:tc>
          <w:tcPr>
            <w:tcW w:type="dxa" w:w="4253"/>
            <w:shd w:color="auto" w:fill="auto" w:val="clear"/>
            <w:vAlign w:val="center"/>
          </w:tcPr>
          <w:p w:rsidP="005546C0" w:rsidR="00363E15" w:rsidRDefault="00363E15" w:rsidRPr="008640AE">
            <w:pPr>
              <w:spacing w:before="29" w:line="288" w:lineRule="auto"/>
              <w:ind w:left="17"/>
              <w:jc w:val="left"/>
              <w:rPr>
                <w:sz w:val="24"/>
              </w:rPr>
            </w:pPr>
            <w:r w:rsidRPr="008640AE">
              <w:rPr>
                <w:color w:val="000000"/>
                <w:sz w:val="24"/>
              </w:rPr>
              <w:t>权益投资</w:t>
            </w:r>
          </w:p>
        </w:tc>
        <w:tc>
          <w:tcPr>
            <w:tcW w:type="dxa" w:w="2835"/>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41,365,326.91</w:t>
            </w:r>
          </w:p>
        </w:tc>
        <w:tc>
          <w:tcPr>
            <w:tcW w:type="dxa" w:w="1559"/>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86.86</w:t>
            </w:r>
          </w:p>
        </w:tc>
      </w:tr>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p>
        </w:tc>
        <w:tc>
          <w:tcPr>
            <w:tcW w:type="dxa" w:w="4253"/>
            <w:shd w:color="auto" w:fill="auto" w:val="clear"/>
            <w:vAlign w:val="center"/>
          </w:tcPr>
          <w:p w:rsidP="005546C0" w:rsidR="00363E15" w:rsidRDefault="00363E15" w:rsidRPr="008640AE">
            <w:pPr>
              <w:spacing w:before="29" w:line="288" w:lineRule="auto"/>
              <w:ind w:left="17"/>
              <w:jc w:val="left"/>
              <w:rPr>
                <w:sz w:val="24"/>
              </w:rPr>
            </w:pPr>
            <w:r w:rsidRPr="008640AE">
              <w:rPr>
                <w:color w:val="000000"/>
                <w:sz w:val="24"/>
              </w:rPr>
              <w:t>其中：</w:t>
            </w:r>
            <w:r w:rsidR="00E462F4" w:rsidRPr="008640AE">
              <w:rPr>
                <w:color w:val="000000"/>
                <w:sz w:val="24"/>
              </w:rPr>
              <w:t>普通股</w:t>
            </w:r>
          </w:p>
        </w:tc>
        <w:tc>
          <w:tcPr>
            <w:tcW w:type="dxa" w:w="2835"/>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
            </w:r>
            <w:r w:rsidR="008B0A73" w:rsidRPr="008640AE">
              <w:rPr>
                <w:color w:val="000000"/>
                <w:sz w:val="24"/>
              </w:rPr>
              <w:t/>
            </w:r>
            <w:r w:rsidRPr="008640AE">
              <w:rPr>
                <w:color w:val="000000"/>
                <w:sz w:val="24"/>
              </w:rPr>
              <w:t>41,365,326.91</w:t>
            </w:r>
          </w:p>
        </w:tc>
        <w:tc>
          <w:tcPr>
            <w:tcW w:type="dxa" w:w="1559"/>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
            </w:r>
            <w:r w:rsidR="008620ED" w:rsidRPr="008640AE">
              <w:rPr>
                <w:color w:val="000000"/>
                <w:sz w:val="24"/>
              </w:rPr>
              <w:t/>
            </w:r>
            <w:r w:rsidRPr="008640AE">
              <w:rPr>
                <w:color w:val="000000"/>
                <w:sz w:val="24"/>
              </w:rPr>
              <w:t>86.86</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firstLine="720" w:firstLineChars="300" w:left="17"/>
              <w:jc w:val="left"/>
              <w:rPr>
                <w:color w:val="000000"/>
                <w:sz w:val="24"/>
              </w:rPr>
            </w:pPr>
            <w:r w:rsidRPr="008640AE">
              <w:rPr>
                <w:color w:val="000000"/>
                <w:sz w:val="24"/>
              </w:rPr>
              <w:t>存托凭证</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type="dxa" w:w="851"/>
            <w:shd w:color="auto" w:fill="auto" w:val="clear"/>
            <w:vAlign w:val="center"/>
          </w:tcPr>
          <w:p w:rsidP="005546C0" w:rsidR="00CE4499" w:rsidRDefault="00CE4499" w:rsidRPr="008640AE">
            <w:pPr>
              <w:spacing w:before="29" w:line="288" w:lineRule="auto"/>
              <w:ind w:left="17"/>
              <w:jc w:val="center"/>
              <w:rPr>
                <w:color w:val="000000"/>
                <w:sz w:val="24"/>
              </w:rPr>
            </w:pPr>
          </w:p>
        </w:tc>
        <w:tc>
          <w:tcPr>
            <w:tcW w:type="dxa" w:w="4253"/>
            <w:shd w:color="auto" w:fill="auto" w:val="clear"/>
            <w:vAlign w:val="center"/>
          </w:tcPr>
          <w:p w:rsidP="005546C0" w:rsidR="00CE4499" w:rsidRDefault="00CE4499" w:rsidRPr="008640AE">
            <w:pPr>
              <w:spacing w:before="29" w:line="288" w:lineRule="auto"/>
              <w:ind w:firstLine="720" w:firstLineChars="300" w:left="17"/>
              <w:jc w:val="left"/>
              <w:rPr>
                <w:color w:val="000000"/>
                <w:sz w:val="24"/>
              </w:rPr>
            </w:pPr>
            <w:r w:rsidRPr="008640AE">
              <w:rPr>
                <w:color w:val="000000"/>
                <w:sz w:val="24"/>
              </w:rPr>
              <w:t>优先股</w:t>
            </w:r>
          </w:p>
        </w:tc>
        <w:tc>
          <w:tcPr>
            <w:tcW w:type="dxa" w:w="2835"/>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type="dxa" w:w="851"/>
            <w:shd w:color="auto" w:fill="auto" w:val="clear"/>
            <w:vAlign w:val="center"/>
          </w:tcPr>
          <w:p w:rsidP="005546C0" w:rsidR="00CE4499" w:rsidRDefault="00CE4499" w:rsidRPr="008640AE">
            <w:pPr>
              <w:spacing w:before="29" w:line="288" w:lineRule="auto"/>
              <w:ind w:left="17"/>
              <w:jc w:val="center"/>
              <w:rPr>
                <w:color w:val="000000"/>
                <w:sz w:val="24"/>
              </w:rPr>
            </w:pPr>
          </w:p>
        </w:tc>
        <w:tc>
          <w:tcPr>
            <w:tcW w:type="dxa" w:w="4253"/>
            <w:shd w:color="auto" w:fill="auto" w:val="clear"/>
            <w:vAlign w:val="center"/>
          </w:tcPr>
          <w:p w:rsidP="005546C0" w:rsidR="00CE4499" w:rsidRDefault="00CE4499" w:rsidRPr="008640AE">
            <w:pPr>
              <w:spacing w:before="29" w:line="288" w:lineRule="auto"/>
              <w:ind w:firstLine="720" w:firstLineChars="300" w:left="17"/>
              <w:jc w:val="left"/>
              <w:rPr>
                <w:color w:val="000000"/>
                <w:sz w:val="24"/>
              </w:rPr>
            </w:pPr>
            <w:r w:rsidRPr="008640AE">
              <w:rPr>
                <w:color w:val="000000"/>
                <w:sz w:val="24"/>
              </w:rPr>
              <w:t>房地产信托</w:t>
            </w:r>
          </w:p>
        </w:tc>
        <w:tc>
          <w:tcPr>
            <w:tcW w:type="dxa" w:w="2835"/>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adjustRightInd w:val="0"/>
              <w:snapToGrid w:val="0"/>
              <w:spacing w:before="29" w:line="288" w:lineRule="auto"/>
              <w:jc w:val="center"/>
              <w:rPr>
                <w:color w:val="000000"/>
                <w:sz w:val="24"/>
              </w:rPr>
            </w:pPr>
            <w:r w:rsidRPr="008640AE">
              <w:rPr>
                <w:color w:val="000000"/>
                <w:sz w:val="24"/>
              </w:rPr>
              <w:lastRenderedPageBreak/>
              <w:t>2</w:t>
            </w: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基金投资</w:t>
            </w:r>
          </w:p>
        </w:tc>
        <w:tc>
          <w:tcPr>
            <w:tcW w:type="dxa" w:w="2835"/>
            <w:shd w:color="auto" w:fill="auto" w:val="clear"/>
            <w:vAlign w:val="center"/>
          </w:tcPr>
          <w:p w:rsidP="005546C0" w:rsidR="00E462F4" w:rsidRDefault="006C4E16"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C4E16"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3</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固定收益投资</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00900F02" w:rsidRPr="008640AE">
              <w:rPr>
                <w:color w:val="000000"/>
                <w:sz w:val="24"/>
              </w:rPr>
              <w:t/>
            </w: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其中：债券</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utoSpaceDE w:val="0"/>
              <w:autoSpaceDN w:val="0"/>
              <w:adjustRightInd w:val="0"/>
              <w:spacing w:before="29" w:line="288" w:lineRule="auto"/>
              <w:ind w:firstLine="720" w:firstLineChars="300" w:left="17"/>
              <w:jc w:val="left"/>
              <w:rPr>
                <w:color w:val="000000"/>
                <w:sz w:val="24"/>
              </w:rPr>
            </w:pPr>
            <w:r w:rsidRPr="008640AE">
              <w:rPr>
                <w:color w:val="000000"/>
                <w:sz w:val="24"/>
              </w:rPr>
              <w:t>资产支持证券</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4</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金融衍生品投资</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其中：远期</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Del="00455464" w:rsidP="005546C0" w:rsidR="00E462F4" w:rsidRDefault="00E462F4" w:rsidRPr="008640AE">
            <w:pPr>
              <w:adjustRightInd w:val="0"/>
              <w:snapToGrid w:val="0"/>
              <w:spacing w:before="29" w:line="288" w:lineRule="auto"/>
              <w:ind w:firstLine="720" w:firstLineChars="300"/>
              <w:rPr>
                <w:color w:val="000000"/>
                <w:sz w:val="24"/>
              </w:rPr>
            </w:pPr>
            <w:r w:rsidRPr="008640AE">
              <w:rPr>
                <w:color w:val="000000"/>
                <w:sz w:val="24"/>
              </w:rPr>
              <w:t>期货</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ind w:firstLine="720" w:firstLineChars="300"/>
              <w:rPr>
                <w:color w:val="000000"/>
                <w:sz w:val="24"/>
              </w:rPr>
            </w:pPr>
            <w:r w:rsidRPr="008640AE">
              <w:rPr>
                <w:color w:val="000000"/>
                <w:sz w:val="24"/>
              </w:rPr>
              <w:t>期权</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ind w:firstLine="715" w:firstLineChars="298"/>
              <w:rPr>
                <w:color w:val="000000"/>
                <w:sz w:val="24"/>
              </w:rPr>
            </w:pPr>
            <w:r w:rsidRPr="008640AE">
              <w:rPr>
                <w:color w:val="000000"/>
                <w:sz w:val="24"/>
              </w:rPr>
              <w:t>权证</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5</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买入返售金融资产</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其中：买断式回购的买入返售金融资产</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adjustRightInd w:val="0"/>
              <w:snapToGrid w:val="0"/>
              <w:spacing w:before="29" w:line="288" w:lineRule="auto"/>
              <w:jc w:val="center"/>
              <w:rPr>
                <w:color w:val="000000"/>
                <w:sz w:val="24"/>
              </w:rPr>
            </w:pPr>
            <w:r w:rsidRPr="008640AE">
              <w:rPr>
                <w:color w:val="000000"/>
                <w:sz w:val="24"/>
              </w:rPr>
              <w:t>6</w:t>
            </w: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货币市场工具</w:t>
            </w:r>
          </w:p>
        </w:tc>
        <w:tc>
          <w:tcPr>
            <w:tcW w:type="dxa" w:w="2835"/>
            <w:shd w:color="auto" w:fill="auto" w:val="clear"/>
            <w:vAlign w:val="center"/>
          </w:tcPr>
          <w:p w:rsidP="005546C0" w:rsidR="00E462F4" w:rsidRDefault="00CE7FC6"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CE7FC6"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7</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银行存款和结算备付金合计</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6,179,322.14</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12.98</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
            </w:r>
            <w:r w:rsidRPr="008640AE">
              <w:rPr>
                <w:color w:val="000000"/>
                <w:sz w:val="24"/>
              </w:rPr>
              <w:lastRenderedPageBreak/>
              <w:t/>
            </w:r>
            <w:r w:rsidR="00466B17" w:rsidRPr="008640AE">
              <w:rPr>
                <w:color w:val="000000"/>
                <w:sz w:val="24"/>
              </w:rPr>
              <w:t/>
            </w:r>
            <w:r w:rsidRPr="008640AE">
              <w:rPr>
                <w:color w:val="000000"/>
                <w:sz w:val="24"/>
              </w:rPr>
              <w:t>8</w:t>
            </w:r>
          </w:p>
        </w:tc>
        <w:tc>
          <w:tcPr>
            <w:tcW w:type="dxa" w:w="4253"/>
            <w:shd w:color="auto" w:fill="auto" w:val="clear"/>
            <w:vAlign w:val="center"/>
          </w:tcPr>
          <w:p w:rsidP="005546C0" w:rsidR="00E462F4" w:rsidRDefault="001303FF" w:rsidRPr="008640AE">
            <w:pPr>
              <w:spacing w:before="29" w:line="288" w:lineRule="auto"/>
              <w:jc w:val="left"/>
              <w:rPr>
                <w:sz w:val="24"/>
              </w:rPr>
            </w:pPr>
            <w:r w:rsidRPr="008640AE">
              <w:rPr>
                <w:color w:val="000000"/>
                <w:sz w:val="24"/>
              </w:rPr>
              <w:lastRenderedPageBreak/>
              <w:t>其他</w:t>
            </w:r>
            <w:r w:rsidR="00E462F4" w:rsidRPr="008640AE">
              <w:rPr>
                <w:color w:val="000000"/>
                <w:sz w:val="24"/>
              </w:rPr>
              <w:t>资产</w:t>
            </w:r>
          </w:p>
        </w:tc>
        <w:tc>
          <w:tcPr>
            <w:tcW w:type="dxa" w:w="2835"/>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
            </w:r>
            <w:r w:rsidRPr="008640AE">
              <w:rPr>
                <w:color w:val="000000"/>
                <w:sz w:val="24"/>
              </w:rPr>
              <w:lastRenderedPageBreak/>
              <w:t>79,055.36</w:t>
            </w:r>
          </w:p>
        </w:tc>
        <w:tc>
          <w:tcPr>
            <w:tcW w:type="dxa" w:w="1559"/>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lastRenderedPageBreak/>
              <w:t/>
            </w:r>
            <w:r w:rsidRPr="008640AE">
              <w:rPr>
                <w:color w:val="000000"/>
                <w:sz w:val="24"/>
              </w:rPr>
              <w:lastRenderedPageBreak/>
              <w:t>0.17</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lastRenderedPageBreak/>
              <w:t/>
            </w:r>
            <w:r w:rsidR="00466B17" w:rsidRPr="008640AE">
              <w:rPr>
                <w:color w:val="000000"/>
                <w:sz w:val="24"/>
              </w:rPr>
              <w:t/>
            </w:r>
            <w:r w:rsidRPr="008640AE">
              <w:rPr>
                <w:color w:val="000000"/>
                <w:sz w:val="24"/>
              </w:rPr>
              <w:t>9</w:t>
            </w:r>
          </w:p>
        </w:tc>
        <w:tc>
          <w:tcPr>
            <w:tcW w:type="dxa" w:w="4253"/>
            <w:shd w:color="auto" w:fill="auto" w:val="clear"/>
            <w:vAlign w:val="center"/>
          </w:tcPr>
          <w:p w:rsidP="005546C0" w:rsidR="00E462F4" w:rsidRDefault="00E462F4" w:rsidRPr="008640AE">
            <w:pPr>
              <w:spacing w:before="29" w:line="288" w:lineRule="auto"/>
              <w:jc w:val="left"/>
              <w:rPr>
                <w:sz w:val="24"/>
              </w:rPr>
            </w:pPr>
            <w:r w:rsidRPr="008640AE">
              <w:rPr>
                <w:color w:val="000000"/>
                <w:sz w:val="24"/>
              </w:rPr>
              <w:t>合计</w:t>
            </w:r>
          </w:p>
        </w:tc>
        <w:tc>
          <w:tcPr>
            <w:tcW w:type="dxa" w:w="2835"/>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47,623,704.41</w:t>
            </w:r>
          </w:p>
        </w:tc>
        <w:tc>
          <w:tcPr>
            <w:tcW w:type="dxa" w:w="1559"/>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100.00</w:t>
            </w:r>
          </w:p>
        </w:tc>
      </w:tr>
    </w:tbl>
    <w:p w:rsidP="005546C0" w:rsidR="00363E15" w:rsidRDefault="00363E15" w:rsidRPr="008640AE">
      <w:pPr>
        <w:autoSpaceDE w:val="0"/>
        <w:autoSpaceDN w:val="0"/>
        <w:adjustRightInd w:val="0"/>
        <w:spacing w:before="29" w:line="288" w:lineRule="auto"/>
        <w:jc w:val="left"/>
        <w:rPr>
          <w:color w:val="000000"/>
          <w:sz w:val="24"/>
        </w:rPr>
      </w:pPr>
      <w:r w:rsidRPr="008640AE">
        <w:rPr>
          <w:color w:val="000000"/>
          <w:sz w:val="24"/>
        </w:rPr>
        <w:t>注：本基金本报告期末未持有通过港股通投资的股票。</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5.2 </w:t>
      </w:r>
      <w:r w:rsidRPr="008640AE">
        <w:rPr>
          <w:b/>
          <w:color w:val="000000"/>
          <w:kern w:val="0"/>
          <w:sz w:val="24"/>
        </w:rPr>
        <w:t>报告期末在各个国家（地区）证券市场的股票及存托凭证投资分布</w:t>
      </w:r>
    </w:p>
    <w:tbl>
      <w:tblPr>
        <w:tblStyle w:val="af7"/>
        <w:tblW w:type="dxa" w:w="8868"/>
        <w:jc w:val="center"/>
        <w:tblLayout w:type="fixed"/>
        <w:tblCellMar>
          <w:top w:type="dxa" w:w="57"/>
          <w:bottom w:type="dxa" w:w="57"/>
        </w:tblCellMar>
        <w:tblLook w:val="04A0"/>
      </w:tblPr>
      <w:tblGrid>
        <w:gridCol w:w="2484"/>
        <w:gridCol w:w="3214"/>
        <w:gridCol w:w="3170"/>
      </w:tblGrid>
      <w:tr w:rsidR="002C042C" w:rsidRPr="008640AE" w:rsidTr="00811B44">
        <w:trPr>
          <w:jc w:val="center"/>
        </w:trPr>
        <w:tc>
          <w:tcPr>
            <w:tcW w:type="dxa" w:w="2410"/>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国家（地区）</w:t>
            </w:r>
          </w:p>
        </w:tc>
        <w:tc>
          <w:tcPr>
            <w:tcW w:type="dxa" w:w="3118"/>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公允价值</w:t>
            </w:r>
            <w:r w:rsidRPr="008640AE">
              <w:rPr>
                <w:color w:val="000000"/>
                <w:kern w:val="0"/>
                <w:sz w:val="24"/>
              </w:rPr>
              <w:t>(</w:t>
            </w:r>
            <w:r w:rsidRPr="008640AE">
              <w:rPr>
                <w:color w:val="000000"/>
                <w:kern w:val="0"/>
                <w:sz w:val="24"/>
              </w:rPr>
              <w:t>人民币元</w:t>
            </w:r>
            <w:r w:rsidRPr="008640AE">
              <w:rPr>
                <w:color w:val="000000"/>
                <w:kern w:val="0"/>
                <w:sz w:val="24"/>
              </w:rPr>
              <w:t>)</w:t>
            </w:r>
          </w:p>
        </w:tc>
        <w:tc>
          <w:tcPr>
            <w:tcW w:type="dxa" w:w="3076"/>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tc>
          <w:tcPr>
            <w:vAlign w:val="center"/>
          </w:tcPr>
          <w:p>
            <w:pPr>
              <w:jc w:val="left"/>
            </w:pPr>
            <w:r>
              <w:rPr>
                <w:color w:val="000000"/>
                <w:sz w:val="24"/>
              </w:rPr>
              <w:t>香港</w:t>
            </w:r>
          </w:p>
        </w:tc>
        <w:tc>
          <w:tcPr>
            <w:vAlign w:val="center"/>
          </w:tcPr>
          <w:p>
            <w:pPr>
              <w:jc w:val="right"/>
            </w:pPr>
            <w:r>
              <w:rPr>
                <w:color w:val="000000"/>
                <w:sz w:val="24"/>
              </w:rPr>
              <w:t>41,365,326.91</w:t>
            </w:r>
          </w:p>
        </w:tc>
        <w:tc>
          <w:tcPr>
            <w:vAlign w:val="center"/>
          </w:tcPr>
          <w:p>
            <w:pPr>
              <w:jc w:val="right"/>
            </w:pPr>
            <w:r>
              <w:rPr>
                <w:color w:val="000000"/>
                <w:sz w:val="24"/>
              </w:rPr>
              <w:t>88.45</w:t>
            </w:r>
          </w:p>
        </w:tc>
      </w:tr>
      <w:tr w:rsidR="002C042C" w:rsidRPr="008640AE" w:rsidTr="00811B44">
        <w:trPr>
          <w:jc w:val="center"/>
        </w:trPr>
        <w:tc>
          <w:tcPr>
            <w:tcW w:type="dxa" w:w="2410"/>
            <w:vAlign w:val="center"/>
          </w:tcPr>
          <w:p w:rsidP="005546C0" w:rsidR="002C042C" w:rsidRDefault="002C042C" w:rsidRPr="008640AE">
            <w:pPr>
              <w:autoSpaceDE w:val="0"/>
              <w:autoSpaceDN w:val="0"/>
              <w:adjustRightInd w:val="0"/>
              <w:spacing w:before="29" w:line="288" w:lineRule="auto"/>
              <w:jc w:val="left"/>
              <w:rPr>
                <w:color w:val="000000"/>
                <w:sz w:val="24"/>
              </w:rPr>
            </w:pPr>
            <w:r w:rsidRPr="008640AE">
              <w:rPr>
                <w:color w:val="000000"/>
                <w:sz w:val="24"/>
              </w:rPr>
              <w:t>合计</w:t>
            </w:r>
          </w:p>
        </w:tc>
        <w:tc>
          <w:tcPr>
            <w:tcW w:type="dxa" w:w="3118"/>
            <w:vAlign w:val="center"/>
          </w:tcPr>
          <w:p w:rsidP="005546C0" w:rsidR="002C042C" w:rsidRDefault="002C042C" w:rsidRPr="008640AE">
            <w:pPr>
              <w:autoSpaceDE w:val="0"/>
              <w:autoSpaceDN w:val="0"/>
              <w:adjustRightInd w:val="0"/>
              <w:spacing w:before="29" w:line="288" w:lineRule="auto"/>
              <w:jc w:val="right"/>
              <w:rPr>
                <w:color w:val="000000"/>
                <w:sz w:val="24"/>
              </w:rPr>
            </w:pPr>
            <w:r w:rsidRPr="008640AE">
              <w:rPr>
                <w:color w:val="000000"/>
                <w:sz w:val="24"/>
              </w:rPr>
              <w:t>41,365,326.91</w:t>
            </w:r>
          </w:p>
        </w:tc>
        <w:tc>
          <w:tcPr>
            <w:tcW w:type="dxa" w:w="3076"/>
            <w:vAlign w:val="center"/>
          </w:tcPr>
          <w:p w:rsidP="005546C0" w:rsidR="002C042C" w:rsidRDefault="002C042C" w:rsidRPr="008640AE">
            <w:pPr>
              <w:autoSpaceDE w:val="0"/>
              <w:autoSpaceDN w:val="0"/>
              <w:adjustRightInd w:val="0"/>
              <w:spacing w:before="29" w:line="288" w:lineRule="auto"/>
              <w:jc w:val="right"/>
              <w:rPr>
                <w:color w:val="000000"/>
                <w:sz w:val="24"/>
              </w:rPr>
            </w:pPr>
            <w:r w:rsidRPr="008640AE">
              <w:rPr>
                <w:color w:val="000000"/>
                <w:sz w:val="24"/>
              </w:rPr>
              <w:t>88.45</w:t>
            </w:r>
          </w:p>
        </w:tc>
      </w:tr>
    </w:tbl>
    <w:p>
      <w:pPr>
        <w:autoSpaceDE w:val="0"/>
        <w:autoSpaceDN w:val="0"/>
        <w:adjustRightInd w:val="0"/>
        <w:spacing w:before="29" w:line="288" w:lineRule="auto"/>
        <w:jc w:val="left"/>
        <w:rPr>
          <w:color w:val="000000"/>
          <w:sz w:val="24"/>
        </w:rPr>
      </w:pPr>
      <w:r>
        <w:rPr>
          <w:color w:val="000000"/>
          <w:sz w:val="24"/>
        </w:rPr>
        <w:t>注：1、国家（地区）类别根据其所在的证券交易所确定；</w:t>
      </w:r>
    </w:p>
    <w:p w:rsidP="005546C0" w:rsidR="00363E15" w:rsidRDefault="00363E15" w:rsidRPr="008640AE">
      <w:pPr>
        <w:autoSpaceDE w:val="0"/>
        <w:autoSpaceDN w:val="0"/>
        <w:adjustRightInd w:val="0"/>
        <w:spacing w:before="29" w:line="288" w:lineRule="auto"/>
        <w:jc w:val="left"/>
        <w:rPr>
          <w:color w:val="000000"/>
          <w:sz w:val="24"/>
        </w:rPr>
      </w:pPr>
      <w:r w:rsidRPr="008640AE">
        <w:rPr>
          <w:color w:val="000000"/>
          <w:sz w:val="24"/>
        </w:rPr>
        <w:t xml:space="preserve">    2、ADR、GDR按照存托凭证本身挂牌的证券交易所确定。</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C37E98"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5.3 </w:t>
      </w:r>
      <w:r w:rsidRPr="008640AE">
        <w:rPr>
          <w:b/>
          <w:color w:val="000000"/>
          <w:kern w:val="0"/>
          <w:sz w:val="24"/>
        </w:rPr>
        <w:t>报告期末按行业分类的股票及存托凭证投资组合</w:t>
      </w:r>
    </w:p>
    <w:tbl>
      <w:tblPr>
        <w:tblStyle w:val="af7"/>
        <w:tblW w:type="dxa" w:w="8868"/>
        <w:jc w:val="center"/>
        <w:tblLayout w:type="fixed"/>
        <w:tblCellMar>
          <w:top w:type="dxa" w:w="57"/>
          <w:bottom w:type="dxa" w:w="57"/>
        </w:tblCellMar>
        <w:tblLook w:val="04A0"/>
      </w:tblPr>
      <w:tblGrid>
        <w:gridCol w:w="2904"/>
        <w:gridCol w:w="2657"/>
        <w:gridCol w:w="3307"/>
      </w:tblGrid>
      <w:tr w:rsidR="00C37E98" w:rsidRPr="008640AE" w:rsidTr="002E4075">
        <w:trPr>
          <w:jc w:val="center"/>
        </w:trPr>
        <w:tc>
          <w:tcPr>
            <w:tcW w:type="dxa" w:w="2787"/>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行业类别</w:t>
            </w:r>
            <w:r w:rsidR="00304E97" w:rsidRPr="008640AE">
              <w:rPr>
                <w:color w:val="000000"/>
                <w:kern w:val="0"/>
                <w:sz w:val="24"/>
              </w:rPr>
              <w:t/>
            </w:r>
          </w:p>
        </w:tc>
        <w:tc>
          <w:tcPr>
            <w:tcW w:type="dxa" w:w="2551"/>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公允价值（人民币元）</w:t>
            </w:r>
          </w:p>
        </w:tc>
        <w:tc>
          <w:tcPr>
            <w:tcW w:type="dxa" w:w="3175"/>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tc>
          <w:tcPr>
            <w:vAlign w:val="center"/>
          </w:tcPr>
          <w:p>
            <w:pPr>
              <w:jc w:val="left"/>
            </w:pPr>
            <w:r>
              <w:rPr>
                <w:color w:val="000000"/>
                <w:sz w:val="24"/>
              </w:rPr>
              <w:t>材料</w:t>
            </w:r>
          </w:p>
        </w:tc>
        <w:tc>
          <w:tcPr>
            <w:vAlign w:val="center"/>
          </w:tcPr>
          <w:p>
            <w:pPr>
              <w:jc w:val="right"/>
            </w:pPr>
            <w:r>
              <w:rPr>
                <w:color w:val="000000"/>
                <w:sz w:val="24"/>
              </w:rPr>
              <w:t>7,266,688.05</w:t>
            </w:r>
          </w:p>
        </w:tc>
        <w:tc>
          <w:tcPr>
            <w:vAlign w:val="center"/>
          </w:tcPr>
          <w:p>
            <w:pPr>
              <w:jc w:val="right"/>
            </w:pPr>
            <w:r>
              <w:rPr>
                <w:color w:val="000000"/>
                <w:sz w:val="24"/>
              </w:rPr>
              <w:t>15.54</w:t>
            </w:r>
          </w:p>
        </w:tc>
      </w:tr>
      <w:tr>
        <w:tc>
          <w:tcPr>
            <w:vAlign w:val="center"/>
          </w:tcPr>
          <w:p>
            <w:pPr>
              <w:jc w:val="left"/>
            </w:pPr>
            <w:r>
              <w:rPr>
                <w:color w:val="000000"/>
                <w:sz w:val="24"/>
              </w:rPr>
              <w:t>保健</w:t>
            </w:r>
          </w:p>
        </w:tc>
        <w:tc>
          <w:tcPr>
            <w:vAlign w:val="center"/>
          </w:tcPr>
          <w:p>
            <w:pPr>
              <w:jc w:val="right"/>
            </w:pPr>
            <w:r>
              <w:rPr>
                <w:color w:val="000000"/>
                <w:sz w:val="24"/>
              </w:rPr>
              <w:t>5,987,308.34</w:t>
            </w:r>
          </w:p>
        </w:tc>
        <w:tc>
          <w:tcPr>
            <w:vAlign w:val="center"/>
          </w:tcPr>
          <w:p>
            <w:pPr>
              <w:jc w:val="right"/>
            </w:pPr>
            <w:r>
              <w:rPr>
                <w:color w:val="000000"/>
                <w:sz w:val="24"/>
              </w:rPr>
              <w:t>12.80</w:t>
            </w:r>
          </w:p>
        </w:tc>
      </w:tr>
      <w:tr>
        <w:tc>
          <w:tcPr>
            <w:vAlign w:val="center"/>
          </w:tcPr>
          <w:p>
            <w:pPr>
              <w:jc w:val="left"/>
            </w:pPr>
            <w:r>
              <w:rPr>
                <w:color w:val="000000"/>
                <w:sz w:val="24"/>
              </w:rPr>
              <w:t>非必需消费品</w:t>
            </w:r>
          </w:p>
        </w:tc>
        <w:tc>
          <w:tcPr>
            <w:vAlign w:val="center"/>
          </w:tcPr>
          <w:p>
            <w:pPr>
              <w:jc w:val="right"/>
            </w:pPr>
            <w:r>
              <w:rPr>
                <w:color w:val="000000"/>
                <w:sz w:val="24"/>
              </w:rPr>
              <w:t>5,266,258.00</w:t>
            </w:r>
          </w:p>
        </w:tc>
        <w:tc>
          <w:tcPr>
            <w:vAlign w:val="center"/>
          </w:tcPr>
          <w:p>
            <w:pPr>
              <w:jc w:val="right"/>
            </w:pPr>
            <w:r>
              <w:rPr>
                <w:color w:val="000000"/>
                <w:sz w:val="24"/>
              </w:rPr>
              <w:t>11.26</w:t>
            </w:r>
          </w:p>
        </w:tc>
      </w:tr>
      <w:tr>
        <w:tc>
          <w:tcPr>
            <w:vAlign w:val="center"/>
          </w:tcPr>
          <w:p>
            <w:pPr>
              <w:jc w:val="left"/>
            </w:pPr>
            <w:r>
              <w:rPr>
                <w:color w:val="000000"/>
                <w:sz w:val="24"/>
              </w:rPr>
              <w:t>能源</w:t>
            </w:r>
          </w:p>
        </w:tc>
        <w:tc>
          <w:tcPr>
            <w:vAlign w:val="center"/>
          </w:tcPr>
          <w:p>
            <w:pPr>
              <w:jc w:val="right"/>
            </w:pPr>
            <w:r>
              <w:rPr>
                <w:color w:val="000000"/>
                <w:sz w:val="24"/>
              </w:rPr>
              <w:t>4,650,886.23</w:t>
            </w:r>
          </w:p>
        </w:tc>
        <w:tc>
          <w:tcPr>
            <w:vAlign w:val="center"/>
          </w:tcPr>
          <w:p>
            <w:pPr>
              <w:jc w:val="right"/>
            </w:pPr>
            <w:r>
              <w:rPr>
                <w:color w:val="000000"/>
                <w:sz w:val="24"/>
              </w:rPr>
              <w:t>9.94</w:t>
            </w:r>
          </w:p>
        </w:tc>
      </w:tr>
      <w:tr>
        <w:tc>
          <w:tcPr>
            <w:vAlign w:val="center"/>
          </w:tcPr>
          <w:p>
            <w:pPr>
              <w:jc w:val="left"/>
            </w:pPr>
            <w:r>
              <w:rPr>
                <w:color w:val="000000"/>
                <w:sz w:val="24"/>
              </w:rPr>
              <w:t>金融</w:t>
            </w:r>
          </w:p>
        </w:tc>
        <w:tc>
          <w:tcPr>
            <w:vAlign w:val="center"/>
          </w:tcPr>
          <w:p>
            <w:pPr>
              <w:jc w:val="right"/>
            </w:pPr>
            <w:r>
              <w:rPr>
                <w:color w:val="000000"/>
                <w:sz w:val="24"/>
              </w:rPr>
              <w:t>3,788,087.64</w:t>
            </w:r>
          </w:p>
        </w:tc>
        <w:tc>
          <w:tcPr>
            <w:vAlign w:val="center"/>
          </w:tcPr>
          <w:p>
            <w:pPr>
              <w:jc w:val="right"/>
            </w:pPr>
            <w:r>
              <w:rPr>
                <w:color w:val="000000"/>
                <w:sz w:val="24"/>
              </w:rPr>
              <w:t>8.10</w:t>
            </w:r>
          </w:p>
        </w:tc>
      </w:tr>
      <w:tr>
        <w:tc>
          <w:tcPr>
            <w:vAlign w:val="center"/>
          </w:tcPr>
          <w:p>
            <w:pPr>
              <w:jc w:val="left"/>
            </w:pPr>
            <w:r>
              <w:rPr>
                <w:color w:val="000000"/>
                <w:sz w:val="24"/>
              </w:rPr>
              <w:t>信息技术</w:t>
            </w:r>
          </w:p>
        </w:tc>
        <w:tc>
          <w:tcPr>
            <w:vAlign w:val="center"/>
          </w:tcPr>
          <w:p>
            <w:pPr>
              <w:jc w:val="right"/>
            </w:pPr>
            <w:r>
              <w:rPr>
                <w:color w:val="000000"/>
                <w:sz w:val="24"/>
              </w:rPr>
              <w:t>3,760,724.44</w:t>
            </w:r>
          </w:p>
        </w:tc>
        <w:tc>
          <w:tcPr>
            <w:vAlign w:val="center"/>
          </w:tcPr>
          <w:p>
            <w:pPr>
              <w:jc w:val="right"/>
            </w:pPr>
            <w:r>
              <w:rPr>
                <w:color w:val="000000"/>
                <w:sz w:val="24"/>
              </w:rPr>
              <w:t>8.04</w:t>
            </w:r>
          </w:p>
        </w:tc>
      </w:tr>
      <w:tr>
        <w:tc>
          <w:tcPr>
            <w:vAlign w:val="center"/>
          </w:tcPr>
          <w:p>
            <w:pPr>
              <w:jc w:val="left"/>
            </w:pPr>
            <w:r>
              <w:rPr>
                <w:color w:val="000000"/>
                <w:sz w:val="24"/>
              </w:rPr>
              <w:t>必需消费品</w:t>
            </w:r>
          </w:p>
        </w:tc>
        <w:tc>
          <w:tcPr>
            <w:vAlign w:val="center"/>
          </w:tcPr>
          <w:p>
            <w:pPr>
              <w:jc w:val="right"/>
            </w:pPr>
            <w:r>
              <w:rPr>
                <w:color w:val="000000"/>
                <w:sz w:val="24"/>
              </w:rPr>
              <w:t>3,657,576.34</w:t>
            </w:r>
          </w:p>
        </w:tc>
        <w:tc>
          <w:tcPr>
            <w:vAlign w:val="center"/>
          </w:tcPr>
          <w:p>
            <w:pPr>
              <w:jc w:val="right"/>
            </w:pPr>
            <w:r>
              <w:rPr>
                <w:color w:val="000000"/>
                <w:sz w:val="24"/>
              </w:rPr>
              <w:t>7.82</w:t>
            </w:r>
          </w:p>
        </w:tc>
      </w:tr>
      <w:tr>
        <w:tc>
          <w:tcPr>
            <w:vAlign w:val="center"/>
          </w:tcPr>
          <w:p>
            <w:pPr>
              <w:jc w:val="left"/>
            </w:pPr>
            <w:r>
              <w:rPr>
                <w:color w:val="000000"/>
                <w:sz w:val="24"/>
              </w:rPr>
              <w:t>工业</w:t>
            </w:r>
          </w:p>
        </w:tc>
        <w:tc>
          <w:tcPr>
            <w:vAlign w:val="center"/>
          </w:tcPr>
          <w:p>
            <w:pPr>
              <w:jc w:val="right"/>
            </w:pPr>
            <w:r>
              <w:rPr>
                <w:color w:val="000000"/>
                <w:sz w:val="24"/>
              </w:rPr>
              <w:t>3,559,789.35</w:t>
            </w:r>
          </w:p>
        </w:tc>
        <w:tc>
          <w:tcPr>
            <w:vAlign w:val="center"/>
          </w:tcPr>
          <w:p>
            <w:pPr>
              <w:jc w:val="right"/>
            </w:pPr>
            <w:r>
              <w:rPr>
                <w:color w:val="000000"/>
                <w:sz w:val="24"/>
              </w:rPr>
              <w:t>7.61</w:t>
            </w:r>
          </w:p>
        </w:tc>
      </w:tr>
      <w:tr>
        <w:tc>
          <w:tcPr>
            <w:vAlign w:val="center"/>
          </w:tcPr>
          <w:p>
            <w:pPr>
              <w:jc w:val="left"/>
            </w:pPr>
            <w:r>
              <w:rPr>
                <w:color w:val="000000"/>
                <w:sz w:val="24"/>
              </w:rPr>
              <w:t>房地产</w:t>
            </w:r>
          </w:p>
        </w:tc>
        <w:tc>
          <w:tcPr>
            <w:vAlign w:val="center"/>
          </w:tcPr>
          <w:p>
            <w:pPr>
              <w:jc w:val="right"/>
            </w:pPr>
            <w:r>
              <w:rPr>
                <w:color w:val="000000"/>
                <w:sz w:val="24"/>
              </w:rPr>
              <w:t>1,756,734.60</w:t>
            </w:r>
          </w:p>
        </w:tc>
        <w:tc>
          <w:tcPr>
            <w:vAlign w:val="center"/>
          </w:tcPr>
          <w:p>
            <w:pPr>
              <w:jc w:val="right"/>
            </w:pPr>
            <w:r>
              <w:rPr>
                <w:color w:val="000000"/>
                <w:sz w:val="24"/>
              </w:rPr>
              <w:t>3.76</w:t>
            </w:r>
          </w:p>
        </w:tc>
      </w:tr>
      <w:tr>
        <w:tc>
          <w:tcPr>
            <w:vAlign w:val="center"/>
          </w:tcPr>
          <w:p>
            <w:pPr>
              <w:jc w:val="left"/>
            </w:pPr>
            <w:r>
              <w:rPr>
                <w:color w:val="000000"/>
                <w:sz w:val="24"/>
              </w:rPr>
              <w:t>公共事业</w:t>
            </w:r>
          </w:p>
        </w:tc>
        <w:tc>
          <w:tcPr>
            <w:vAlign w:val="center"/>
          </w:tcPr>
          <w:p>
            <w:pPr>
              <w:jc w:val="right"/>
            </w:pPr>
            <w:r>
              <w:rPr>
                <w:color w:val="000000"/>
                <w:sz w:val="24"/>
              </w:rPr>
              <w:t>1,671,273.92</w:t>
            </w:r>
          </w:p>
        </w:tc>
        <w:tc>
          <w:tcPr>
            <w:vAlign w:val="center"/>
          </w:tcPr>
          <w:p>
            <w:pPr>
              <w:jc w:val="right"/>
            </w:pPr>
            <w:r>
              <w:rPr>
                <w:color w:val="000000"/>
                <w:sz w:val="24"/>
              </w:rPr>
              <w:t>3.57</w:t>
            </w:r>
          </w:p>
        </w:tc>
      </w:tr>
      <w:tr w:rsidR="00C37E98" w:rsidRPr="008640AE" w:rsidTr="002E4075">
        <w:trPr>
          <w:jc w:val="center"/>
        </w:trPr>
        <w:tc>
          <w:tcPr>
            <w:tcW w:type="dxa" w:w="2787"/>
            <w:vAlign w:val="center"/>
          </w:tcPr>
          <w:p w:rsidP="005546C0" w:rsidR="00C37E98" w:rsidRDefault="00C37E98" w:rsidRPr="008640AE">
            <w:pPr>
              <w:autoSpaceDE w:val="0"/>
              <w:autoSpaceDN w:val="0"/>
              <w:adjustRightInd w:val="0"/>
              <w:spacing w:before="29" w:line="288" w:lineRule="auto"/>
              <w:ind w:left="15"/>
              <w:jc w:val="left"/>
              <w:rPr>
                <w:color w:val="000000"/>
                <w:sz w:val="24"/>
              </w:rPr>
            </w:pPr>
            <w:r w:rsidRPr="008640AE">
              <w:rPr>
                <w:color w:val="000000"/>
                <w:sz w:val="24"/>
              </w:rPr>
              <w:t>合计</w:t>
            </w:r>
          </w:p>
        </w:tc>
        <w:tc>
          <w:tcPr>
            <w:tcW w:type="dxa" w:w="2551"/>
            <w:vAlign w:val="center"/>
          </w:tcPr>
          <w:p w:rsidP="005546C0" w:rsidR="00C37E98" w:rsidRDefault="00C37E98" w:rsidRPr="008640AE">
            <w:pPr>
              <w:autoSpaceDE w:val="0"/>
              <w:autoSpaceDN w:val="0"/>
              <w:adjustRightInd w:val="0"/>
              <w:spacing w:before="29" w:line="288" w:lineRule="auto"/>
              <w:ind w:left="15"/>
              <w:jc w:val="right"/>
              <w:rPr>
                <w:color w:val="000000"/>
                <w:sz w:val="24"/>
              </w:rPr>
            </w:pPr>
            <w:r w:rsidRPr="008640AE">
              <w:rPr>
                <w:color w:val="000000"/>
                <w:sz w:val="24"/>
              </w:rPr>
              <w:t/>
            </w:r>
            <w:r w:rsidRPr="008640AE">
              <w:rPr>
                <w:color w:val="000000"/>
                <w:sz w:val="24"/>
              </w:rPr>
              <w:lastRenderedPageBreak/>
              <w:t>41,365,326.91</w:t>
            </w:r>
          </w:p>
        </w:tc>
        <w:tc>
          <w:tcPr>
            <w:tcW w:type="dxa" w:w="3175"/>
            <w:vAlign w:val="center"/>
          </w:tcPr>
          <w:p w:rsidP="005546C0" w:rsidR="00C37E98" w:rsidRDefault="00C37E98" w:rsidRPr="008640AE">
            <w:pPr>
              <w:autoSpaceDE w:val="0"/>
              <w:autoSpaceDN w:val="0"/>
              <w:adjustRightInd w:val="0"/>
              <w:spacing w:before="29" w:line="288" w:lineRule="auto"/>
              <w:ind w:left="15"/>
              <w:jc w:val="right"/>
              <w:rPr>
                <w:color w:val="000000"/>
                <w:sz w:val="24"/>
              </w:rPr>
            </w:pPr>
            <w:r w:rsidRPr="008640AE">
              <w:rPr>
                <w:color w:val="000000"/>
                <w:sz w:val="24"/>
              </w:rPr>
              <w:lastRenderedPageBreak/>
              <w:t/>
            </w:r>
            <w:r w:rsidRPr="008640AE">
              <w:rPr>
                <w:color w:val="000000"/>
                <w:sz w:val="24"/>
              </w:rPr>
              <w:lastRenderedPageBreak/>
              <w:t>88.45</w:t>
            </w:r>
          </w:p>
        </w:tc>
      </w:tr>
    </w:tbl>
    <w:p w:rsidP="005546C0" w:rsidR="005B6AC7" w:rsidRDefault="00363E15" w:rsidRPr="008640AE">
      <w:pPr>
        <w:autoSpaceDE w:val="0"/>
        <w:autoSpaceDN w:val="0"/>
        <w:adjustRightInd w:val="0"/>
        <w:spacing w:before="29" w:line="288" w:lineRule="auto"/>
        <w:jc w:val="left"/>
        <w:rPr>
          <w:color w:val="000000"/>
          <w:sz w:val="24"/>
        </w:rPr>
      </w:pPr>
      <w:r w:rsidRPr="008640AE">
        <w:rPr>
          <w:color w:val="000000"/>
          <w:sz w:val="24"/>
        </w:rPr>
        <w:lastRenderedPageBreak/>
        <w:t/>
      </w:r>
      <w:r w:rsidR="000A521D" w:rsidRPr="008640AE">
        <w:rPr>
          <w:color w:val="000000"/>
          <w:sz w:val="24"/>
        </w:rPr>
        <w:t>注：以上分类采用全球行业分类标准（GICS）。</w:t>
      </w:r>
    </w:p>
    <w:p w:rsidP="005546C0" w:rsidR="000A521D" w:rsidRDefault="000A521D" w:rsidRPr="008640AE">
      <w:pPr>
        <w:autoSpaceDE w:val="0"/>
        <w:autoSpaceDN w:val="0"/>
        <w:adjustRightInd w:val="0"/>
        <w:spacing w:before="29" w:line="288" w:lineRule="auto"/>
        <w:jc w:val="left"/>
        <w:rPr>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5.4 </w:t>
      </w:r>
      <w:r w:rsidRPr="008640AE">
        <w:rPr>
          <w:b/>
          <w:color w:val="000000"/>
          <w:kern w:val="0"/>
          <w:sz w:val="24"/>
        </w:rPr>
        <w:t>报告期末按公允价值占基金资产净值比例大小排序的前十名股票及存托凭证投资明细</w:t>
      </w:r>
    </w:p>
    <w:tbl>
      <w:tblPr>
        <w:tblStyle w:val="af7"/>
        <w:tblW w:type="auto" w:w="0"/>
        <w:jc w:val="center"/>
        <w:tblLayout w:type="fixed"/>
        <w:tblCellMar>
          <w:top w:type="dxa" w:w="57"/>
          <w:bottom w:type="dxa" w:w="57"/>
        </w:tblCellMar>
        <w:tblLook w:val="04A0"/>
      </w:tblPr>
      <w:tblGrid>
        <w:gridCol w:w="1243"/>
        <w:gridCol w:w="971"/>
        <w:gridCol w:w="993"/>
        <w:gridCol w:w="725"/>
        <w:gridCol w:w="747"/>
        <w:gridCol w:w="975"/>
        <w:gridCol w:w="1175"/>
        <w:gridCol w:w="975"/>
        <w:gridCol w:w="1175"/>
      </w:tblGrid>
      <w:tr w:rsidR="001C7D5D" w:rsidRPr="00293A87" w:rsidTr="00811B44">
        <w:trPr>
          <w:jc w:val="center"/>
        </w:trPr>
        <w:tc>
          <w:tcPr>
            <w:tcW w:type="dxa" w:w="1243"/>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序号</w:t>
            </w:r>
          </w:p>
        </w:tc>
        <w:tc>
          <w:tcPr>
            <w:tcW w:type="dxa" w:w="971"/>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公司名称（英文）</w:t>
            </w:r>
          </w:p>
        </w:tc>
        <w:tc>
          <w:tcPr>
            <w:tcW w:type="dxa" w:w="993"/>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公司名称（中文）</w:t>
            </w:r>
          </w:p>
        </w:tc>
        <w:tc>
          <w:tcPr>
            <w:tcW w:type="dxa" w:w="725"/>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证券代码</w:t>
            </w:r>
          </w:p>
        </w:tc>
        <w:tc>
          <w:tcPr>
            <w:tcW w:type="dxa" w:w="747"/>
            <w:vAlign w:val="center"/>
          </w:tcPr>
          <w:p w:rsidP="005546C0" w:rsidR="001C7D5D" w:rsidRDefault="009B6E8F"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所在证券市场</w:t>
            </w:r>
          </w:p>
        </w:tc>
        <w:tc>
          <w:tcPr>
            <w:tcW w:type="dxa" w:w="9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所属国家</w:t>
            </w:r>
          </w:p>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（地区</w:t>
            </w:r>
            <w:r w:rsidR="009B6E8F" w:rsidRPr="00293A87">
              <w:rPr>
                <w:color w:val="000000"/>
                <w:kern w:val="0"/>
                <w:sz w:val="24"/>
              </w:rPr>
              <w:t>）</w:t>
            </w:r>
          </w:p>
        </w:tc>
        <w:tc>
          <w:tcPr>
            <w:tcW w:type="dxa" w:w="11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数量</w:t>
            </w:r>
          </w:p>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（股）</w:t>
            </w:r>
          </w:p>
        </w:tc>
        <w:tc>
          <w:tcPr>
            <w:tcW w:type="dxa" w:w="9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公允价值（人民币元）</w:t>
            </w:r>
          </w:p>
        </w:tc>
        <w:tc>
          <w:tcPr>
            <w:tcW w:type="dxa" w:w="11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China Conch Venture Holdings Limited</w:t>
            </w:r>
          </w:p>
        </w:tc>
        <w:tc>
          <w:tcPr>
            <w:vAlign w:val="center"/>
          </w:tcPr>
          <w:p>
            <w:pPr>
              <w:jc w:val="center"/>
            </w:pPr>
            <w:r>
              <w:rPr>
                <w:color w:val="000000"/>
                <w:sz w:val="24"/>
              </w:rPr>
              <w:t>中国海螺创业控股有限公司</w:t>
            </w:r>
          </w:p>
        </w:tc>
        <w:tc>
          <w:tcPr>
            <w:vAlign w:val="center"/>
          </w:tcPr>
          <w:p>
            <w:pPr>
              <w:jc w:val="center"/>
            </w:pPr>
            <w:r>
              <w:rPr>
                <w:color w:val="000000"/>
                <w:sz w:val="24"/>
              </w:rPr>
              <w:t>586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100,000</w:t>
            </w:r>
          </w:p>
        </w:tc>
        <w:tc>
          <w:tcPr>
            <w:vAlign w:val="center"/>
          </w:tcPr>
          <w:p>
            <w:pPr>
              <w:jc w:val="right"/>
            </w:pPr>
            <w:r>
              <w:rPr>
                <w:color w:val="000000"/>
                <w:sz w:val="24"/>
              </w:rPr>
              <w:t>2,410,363.39</w:t>
            </w:r>
          </w:p>
        </w:tc>
        <w:tc>
          <w:tcPr>
            <w:vAlign w:val="center"/>
          </w:tcPr>
          <w:p>
            <w:pPr>
              <w:jc w:val="right"/>
            </w:pPr>
            <w:r>
              <w:rPr>
                <w:color w:val="000000"/>
                <w:sz w:val="24"/>
              </w:rPr>
              <w:t>5.15</w:t>
            </w:r>
          </w:p>
        </w:tc>
      </w:tr>
      <w:tr>
        <w:tc>
          <w:tcPr>
            <w:vAlign w:val="center"/>
          </w:tcPr>
          <w:p>
            <w:pPr>
              <w:jc w:val="center"/>
            </w:pPr>
            <w:r>
              <w:rPr>
                <w:color w:val="000000"/>
                <w:sz w:val="24"/>
              </w:rPr>
              <w:t>2</w:t>
            </w:r>
          </w:p>
        </w:tc>
        <w:tc>
          <w:tcPr>
            <w:vAlign w:val="center"/>
          </w:tcPr>
          <w:p>
            <w:pPr>
              <w:jc w:val="center"/>
            </w:pPr>
            <w:r>
              <w:rPr>
                <w:color w:val="000000"/>
                <w:sz w:val="24"/>
              </w:rPr>
              <w:t>China Shenhua Energy Company Limited</w:t>
            </w:r>
          </w:p>
        </w:tc>
        <w:tc>
          <w:tcPr>
            <w:vAlign w:val="center"/>
          </w:tcPr>
          <w:p>
            <w:pPr>
              <w:jc w:val="center"/>
            </w:pPr>
            <w:r>
              <w:rPr>
                <w:color w:val="000000"/>
                <w:sz w:val="24"/>
              </w:rPr>
              <w:t>中国神华能源股份有限公司</w:t>
            </w:r>
          </w:p>
        </w:tc>
        <w:tc>
          <w:tcPr>
            <w:vAlign w:val="center"/>
          </w:tcPr>
          <w:p>
            <w:pPr>
              <w:jc w:val="center"/>
            </w:pPr>
            <w:r>
              <w:rPr>
                <w:color w:val="000000"/>
                <w:sz w:val="24"/>
              </w:rPr>
              <w:t>1088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150,000</w:t>
            </w:r>
          </w:p>
        </w:tc>
        <w:tc>
          <w:tcPr>
            <w:vAlign w:val="center"/>
          </w:tcPr>
          <w:p>
            <w:pPr>
              <w:jc w:val="right"/>
            </w:pPr>
            <w:r>
              <w:rPr>
                <w:color w:val="000000"/>
                <w:sz w:val="24"/>
              </w:rPr>
              <w:t>2,303,140.82</w:t>
            </w:r>
          </w:p>
        </w:tc>
        <w:tc>
          <w:tcPr>
            <w:vAlign w:val="center"/>
          </w:tcPr>
          <w:p>
            <w:pPr>
              <w:jc w:val="right"/>
            </w:pPr>
            <w:r>
              <w:rPr>
                <w:color w:val="000000"/>
                <w:sz w:val="24"/>
              </w:rPr>
              <w:t>4.92</w:t>
            </w:r>
          </w:p>
        </w:tc>
      </w:tr>
      <w:tr>
        <w:tc>
          <w:tcPr>
            <w:vAlign w:val="center"/>
          </w:tcPr>
          <w:p>
            <w:pPr>
              <w:jc w:val="center"/>
            </w:pPr>
            <w:r>
              <w:rPr>
                <w:color w:val="000000"/>
                <w:sz w:val="24"/>
              </w:rPr>
              <w:t>3</w:t>
            </w:r>
          </w:p>
        </w:tc>
        <w:tc>
          <w:tcPr>
            <w:vAlign w:val="center"/>
          </w:tcPr>
          <w:p>
            <w:pPr>
              <w:jc w:val="center"/>
            </w:pPr>
            <w:r>
              <w:rPr>
                <w:color w:val="000000"/>
                <w:sz w:val="24"/>
              </w:rPr>
              <w:t>China Xinhua Education Group Limited</w:t>
            </w:r>
          </w:p>
        </w:tc>
        <w:tc>
          <w:tcPr>
            <w:vAlign w:val="center"/>
          </w:tcPr>
          <w:p>
            <w:pPr>
              <w:jc w:val="center"/>
            </w:pPr>
            <w:r>
              <w:rPr>
                <w:color w:val="000000"/>
                <w:sz w:val="24"/>
              </w:rPr>
              <w:t>中国新华教育集团有限公司</w:t>
            </w:r>
          </w:p>
        </w:tc>
        <w:tc>
          <w:tcPr>
            <w:vAlign w:val="center"/>
          </w:tcPr>
          <w:p>
            <w:pPr>
              <w:jc w:val="center"/>
            </w:pPr>
            <w:r>
              <w:rPr>
                <w:color w:val="000000"/>
                <w:sz w:val="24"/>
              </w:rPr>
              <w:t>2779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1,000,000</w:t>
            </w:r>
          </w:p>
        </w:tc>
        <w:tc>
          <w:tcPr>
            <w:vAlign w:val="center"/>
          </w:tcPr>
          <w:p>
            <w:pPr>
              <w:jc w:val="right"/>
            </w:pPr>
            <w:r>
              <w:rPr>
                <w:color w:val="000000"/>
                <w:sz w:val="24"/>
              </w:rPr>
              <w:t>2,204,496.05</w:t>
            </w:r>
          </w:p>
        </w:tc>
        <w:tc>
          <w:tcPr>
            <w:vAlign w:val="center"/>
          </w:tcPr>
          <w:p>
            <w:pPr>
              <w:jc w:val="right"/>
            </w:pPr>
            <w:r>
              <w:rPr>
                <w:color w:val="000000"/>
                <w:sz w:val="24"/>
              </w:rPr>
              <w:t>4.71</w:t>
            </w:r>
          </w:p>
        </w:tc>
      </w:tr>
      <w:tr>
        <w:tc>
          <w:tcPr>
            <w:vAlign w:val="center"/>
          </w:tcPr>
          <w:p>
            <w:pPr>
              <w:jc w:val="center"/>
            </w:pPr>
            <w:r>
              <w:rPr>
                <w:color w:val="000000"/>
                <w:sz w:val="24"/>
              </w:rPr>
              <w:t>4</w:t>
            </w:r>
          </w:p>
        </w:tc>
        <w:tc>
          <w:tcPr>
            <w:vAlign w:val="center"/>
          </w:tcPr>
          <w:p>
            <w:pPr>
              <w:jc w:val="center"/>
            </w:pPr>
            <w:r>
              <w:rPr>
                <w:color w:val="000000"/>
                <w:sz w:val="24"/>
              </w:rPr>
              <w:t>Hong Kong Exchanges And Clearing Limited</w:t>
            </w:r>
          </w:p>
        </w:tc>
        <w:tc>
          <w:tcPr>
            <w:vAlign w:val="center"/>
          </w:tcPr>
          <w:p>
            <w:pPr>
              <w:jc w:val="center"/>
            </w:pPr>
            <w:r>
              <w:rPr>
                <w:color w:val="000000"/>
                <w:sz w:val="24"/>
              </w:rPr>
              <w:t>香港交易及结算所有限公司</w:t>
            </w:r>
          </w:p>
        </w:tc>
        <w:tc>
          <w:tcPr>
            <w:vAlign w:val="center"/>
          </w:tcPr>
          <w:p>
            <w:pPr>
              <w:jc w:val="center"/>
            </w:pPr>
            <w:r>
              <w:rPr>
                <w:color w:val="000000"/>
                <w:sz w:val="24"/>
              </w:rPr>
              <w:t>388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9,000</w:t>
            </w:r>
          </w:p>
        </w:tc>
        <w:tc>
          <w:tcPr>
            <w:vAlign w:val="center"/>
          </w:tcPr>
          <w:p>
            <w:pPr>
              <w:jc w:val="right"/>
            </w:pPr>
            <w:r>
              <w:rPr>
                <w:color w:val="000000"/>
                <w:sz w:val="24"/>
              </w:rPr>
              <w:t>2,112,198.86</w:t>
            </w:r>
          </w:p>
        </w:tc>
        <w:tc>
          <w:tcPr>
            <w:vAlign w:val="center"/>
          </w:tcPr>
          <w:p>
            <w:pPr>
              <w:jc w:val="right"/>
            </w:pPr>
            <w:r>
              <w:rPr>
                <w:color w:val="000000"/>
                <w:sz w:val="24"/>
              </w:rPr>
              <w:t>4.52</w:t>
            </w:r>
          </w:p>
        </w:tc>
      </w:tr>
      <w:tr>
        <w:tc>
          <w:tcPr>
            <w:vAlign w:val="center"/>
          </w:tcPr>
          <w:p>
            <w:pPr>
              <w:jc w:val="center"/>
            </w:pPr>
            <w:r>
              <w:rPr>
                <w:color w:val="000000"/>
                <w:sz w:val="24"/>
              </w:rPr>
              <w:t>5</w:t>
            </w:r>
          </w:p>
        </w:tc>
        <w:tc>
          <w:tcPr>
            <w:vAlign w:val="center"/>
          </w:tcPr>
          <w:p>
            <w:pPr>
              <w:jc w:val="center"/>
            </w:pPr>
            <w:r>
              <w:rPr>
                <w:color w:val="000000"/>
                <w:sz w:val="24"/>
              </w:rPr>
              <w:t>Anhui Conch Cement Company Limited</w:t>
            </w:r>
          </w:p>
        </w:tc>
        <w:tc>
          <w:tcPr>
            <w:vAlign w:val="center"/>
          </w:tcPr>
          <w:p>
            <w:pPr>
              <w:jc w:val="center"/>
            </w:pPr>
            <w:r>
              <w:rPr>
                <w:color w:val="000000"/>
                <w:sz w:val="24"/>
              </w:rPr>
              <w:t>安徽海螺水泥股份有限公司</w:t>
            </w:r>
          </w:p>
        </w:tc>
        <w:tc>
          <w:tcPr>
            <w:vAlign w:val="center"/>
          </w:tcPr>
          <w:p>
            <w:pPr>
              <w:jc w:val="center"/>
            </w:pPr>
            <w:r>
              <w:rPr>
                <w:color w:val="000000"/>
                <w:sz w:val="24"/>
              </w:rPr>
              <w:t>914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50,000</w:t>
            </w:r>
          </w:p>
        </w:tc>
        <w:tc>
          <w:tcPr>
            <w:vAlign w:val="center"/>
          </w:tcPr>
          <w:p>
            <w:pPr>
              <w:jc w:val="right"/>
            </w:pPr>
            <w:r>
              <w:rPr>
                <w:color w:val="000000"/>
                <w:sz w:val="24"/>
              </w:rPr>
              <w:t>2,056,528.90</w:t>
            </w:r>
          </w:p>
        </w:tc>
        <w:tc>
          <w:tcPr>
            <w:vAlign w:val="center"/>
          </w:tcPr>
          <w:p>
            <w:pPr>
              <w:jc w:val="right"/>
            </w:pPr>
            <w:r>
              <w:rPr>
                <w:color w:val="000000"/>
                <w:sz w:val="24"/>
              </w:rPr>
              <w:t>4.40</w:t>
            </w:r>
          </w:p>
        </w:tc>
      </w:tr>
      <w:tr>
        <w:tc>
          <w:tcPr>
            <w:vAlign w:val="center"/>
          </w:tcPr>
          <w:p>
            <w:pPr>
              <w:jc w:val="center"/>
            </w:pPr>
            <w:r>
              <w:rPr>
                <w:color w:val="000000"/>
                <w:sz w:val="24"/>
              </w:rPr>
              <w:t>6</w:t>
            </w:r>
          </w:p>
        </w:tc>
        <w:tc>
          <w:tcPr>
            <w:vAlign w:val="center"/>
          </w:tcPr>
          <w:p>
            <w:pPr>
              <w:jc w:val="center"/>
            </w:pPr>
            <w:r>
              <w:rPr>
                <w:color w:val="000000"/>
                <w:sz w:val="24"/>
              </w:rPr>
              <w:t>YiChang HEC ChangJiang Pharmaceutical Co., Ltd.</w:t>
            </w:r>
          </w:p>
        </w:tc>
        <w:tc>
          <w:tcPr>
            <w:vAlign w:val="center"/>
          </w:tcPr>
          <w:p>
            <w:pPr>
              <w:jc w:val="center"/>
            </w:pPr>
            <w:r>
              <w:rPr>
                <w:color w:val="000000"/>
                <w:sz w:val="24"/>
              </w:rPr>
              <w:t>宜昌东阳光长江药业股份有限公司</w:t>
            </w:r>
          </w:p>
        </w:tc>
        <w:tc>
          <w:tcPr>
            <w:vAlign w:val="center"/>
          </w:tcPr>
          <w:p>
            <w:pPr>
              <w:jc w:val="center"/>
            </w:pPr>
            <w:r>
              <w:rPr>
                <w:color w:val="000000"/>
                <w:sz w:val="24"/>
              </w:rPr>
              <w:t>1558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70,000</w:t>
            </w:r>
          </w:p>
        </w:tc>
        <w:tc>
          <w:tcPr>
            <w:vAlign w:val="center"/>
          </w:tcPr>
          <w:p>
            <w:pPr>
              <w:jc w:val="right"/>
            </w:pPr>
            <w:r>
              <w:rPr>
                <w:color w:val="000000"/>
                <w:sz w:val="24"/>
              </w:rPr>
              <w:t>2,041,517.74</w:t>
            </w:r>
          </w:p>
        </w:tc>
        <w:tc>
          <w:tcPr>
            <w:vAlign w:val="center"/>
          </w:tcPr>
          <w:p>
            <w:pPr>
              <w:jc w:val="right"/>
            </w:pPr>
            <w:r>
              <w:rPr>
                <w:color w:val="000000"/>
                <w:sz w:val="24"/>
              </w:rPr>
              <w:t>4.37</w:t>
            </w:r>
          </w:p>
        </w:tc>
      </w:tr>
      <w:tr>
        <w:tc>
          <w:tcPr>
            <w:vAlign w:val="center"/>
          </w:tcPr>
          <w:p>
            <w:pPr>
              <w:jc w:val="center"/>
            </w:pPr>
            <w:r>
              <w:rPr>
                <w:color w:val="000000"/>
                <w:sz w:val="24"/>
              </w:rPr>
              <w:t>7</w:t>
            </w:r>
          </w:p>
        </w:tc>
        <w:tc>
          <w:tcPr>
            <w:vAlign w:val="center"/>
          </w:tcPr>
          <w:p>
            <w:pPr>
              <w:jc w:val="center"/>
            </w:pPr>
            <w:r>
              <w:rPr>
                <w:color w:val="000000"/>
                <w:sz w:val="24"/>
              </w:rPr>
              <w:t>Sun Art Retail Group Limited</w:t>
            </w:r>
          </w:p>
        </w:tc>
        <w:tc>
          <w:tcPr>
            <w:vAlign w:val="center"/>
          </w:tcPr>
          <w:p>
            <w:pPr>
              <w:jc w:val="center"/>
            </w:pPr>
            <w:r>
              <w:rPr>
                <w:color w:val="000000"/>
                <w:sz w:val="24"/>
              </w:rPr>
              <w:t>高鑫零售有限公司</w:t>
            </w:r>
          </w:p>
        </w:tc>
        <w:tc>
          <w:tcPr>
            <w:vAlign w:val="center"/>
          </w:tcPr>
          <w:p>
            <w:pPr>
              <w:jc w:val="center"/>
            </w:pPr>
            <w:r>
              <w:rPr>
                <w:color w:val="000000"/>
                <w:sz w:val="24"/>
              </w:rPr>
              <w:t>6808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300,000</w:t>
            </w:r>
          </w:p>
        </w:tc>
        <w:tc>
          <w:tcPr>
            <w:vAlign w:val="center"/>
          </w:tcPr>
          <w:p>
            <w:pPr>
              <w:jc w:val="right"/>
            </w:pPr>
            <w:r>
              <w:rPr>
                <w:color w:val="000000"/>
                <w:sz w:val="24"/>
              </w:rPr>
              <w:t>1,968,606.40</w:t>
            </w:r>
          </w:p>
        </w:tc>
        <w:tc>
          <w:tcPr>
            <w:vAlign w:val="center"/>
          </w:tcPr>
          <w:p>
            <w:pPr>
              <w:jc w:val="right"/>
            </w:pPr>
            <w:r>
              <w:rPr>
                <w:color w:val="000000"/>
                <w:sz w:val="24"/>
              </w:rPr>
              <w:t>4.21</w:t>
            </w:r>
          </w:p>
        </w:tc>
      </w:tr>
      <w:tr>
        <w:tc>
          <w:tcPr>
            <w:vAlign w:val="center"/>
          </w:tcPr>
          <w:p>
            <w:pPr>
              <w:jc w:val="center"/>
            </w:pPr>
            <w:r>
              <w:rPr>
                <w:color w:val="000000"/>
                <w:sz w:val="24"/>
              </w:rPr>
              <w:t>8</w:t>
            </w:r>
          </w:p>
        </w:tc>
        <w:tc>
          <w:tcPr>
            <w:vAlign w:val="center"/>
          </w:tcPr>
          <w:p>
            <w:pPr>
              <w:jc w:val="center"/>
            </w:pPr>
            <w:r>
              <w:rPr>
                <w:color w:val="000000"/>
                <w:sz w:val="24"/>
              </w:rPr>
              <w:t>Shandong Weigao Group Medical Polymer Company Limited</w:t>
            </w:r>
          </w:p>
        </w:tc>
        <w:tc>
          <w:tcPr>
            <w:vAlign w:val="center"/>
          </w:tcPr>
          <w:p>
            <w:pPr>
              <w:jc w:val="center"/>
            </w:pPr>
            <w:r>
              <w:rPr>
                <w:color w:val="000000"/>
                <w:sz w:val="24"/>
              </w:rPr>
              <w:t>山东威高集团医用高分子制品股份有限公司</w:t>
            </w:r>
          </w:p>
        </w:tc>
        <w:tc>
          <w:tcPr>
            <w:vAlign w:val="center"/>
          </w:tcPr>
          <w:p>
            <w:pPr>
              <w:jc w:val="center"/>
            </w:pPr>
            <w:r>
              <w:rPr>
                <w:color w:val="000000"/>
                <w:sz w:val="24"/>
              </w:rPr>
              <w:t>1066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300,000</w:t>
            </w:r>
          </w:p>
        </w:tc>
        <w:tc>
          <w:tcPr>
            <w:vAlign w:val="center"/>
          </w:tcPr>
          <w:p>
            <w:pPr>
              <w:jc w:val="right"/>
            </w:pPr>
            <w:r>
              <w:rPr>
                <w:color w:val="000000"/>
                <w:sz w:val="24"/>
              </w:rPr>
              <w:t>1,930,006.27</w:t>
            </w:r>
          </w:p>
        </w:tc>
        <w:tc>
          <w:tcPr>
            <w:vAlign w:val="center"/>
          </w:tcPr>
          <w:p>
            <w:pPr>
              <w:jc w:val="right"/>
            </w:pPr>
            <w:r>
              <w:rPr>
                <w:color w:val="000000"/>
                <w:sz w:val="24"/>
              </w:rPr>
              <w:t>4.13</w:t>
            </w:r>
          </w:p>
        </w:tc>
      </w:tr>
      <w:tr>
        <w:tc>
          <w:tcPr>
            <w:vAlign w:val="center"/>
          </w:tcPr>
          <w:p>
            <w:pPr>
              <w:jc w:val="center"/>
            </w:pPr>
            <w:r>
              <w:rPr>
                <w:color w:val="000000"/>
                <w:sz w:val="24"/>
              </w:rPr>
              <w:t>9</w:t>
            </w:r>
          </w:p>
        </w:tc>
        <w:tc>
          <w:tcPr>
            <w:vAlign w:val="center"/>
          </w:tcPr>
          <w:p>
            <w:pPr>
              <w:jc w:val="center"/>
            </w:pPr>
            <w:r>
              <w:rPr>
                <w:color w:val="000000"/>
                <w:sz w:val="24"/>
              </w:rPr>
              <w:t>China Jinmao Holdings Group Limited</w:t>
            </w:r>
          </w:p>
        </w:tc>
        <w:tc>
          <w:tcPr>
            <w:vAlign w:val="center"/>
          </w:tcPr>
          <w:p>
            <w:pPr>
              <w:jc w:val="center"/>
            </w:pPr>
            <w:r>
              <w:rPr>
                <w:color w:val="000000"/>
                <w:sz w:val="24"/>
              </w:rPr>
              <w:t>中国金茂控股集团有限公司</w:t>
            </w:r>
          </w:p>
        </w:tc>
        <w:tc>
          <w:tcPr>
            <w:vAlign w:val="center"/>
          </w:tcPr>
          <w:p>
            <w:pPr>
              <w:jc w:val="center"/>
            </w:pPr>
            <w:r>
              <w:rPr>
                <w:color w:val="000000"/>
                <w:sz w:val="24"/>
              </w:rPr>
              <w:t>817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400,000</w:t>
            </w:r>
          </w:p>
        </w:tc>
        <w:tc>
          <w:tcPr>
            <w:vAlign w:val="center"/>
          </w:tcPr>
          <w:p>
            <w:pPr>
              <w:jc w:val="right"/>
            </w:pPr>
            <w:r>
              <w:rPr>
                <w:color w:val="000000"/>
                <w:sz w:val="24"/>
              </w:rPr>
              <w:t>1,756,734.60</w:t>
            </w:r>
          </w:p>
        </w:tc>
        <w:tc>
          <w:tcPr>
            <w:vAlign w:val="center"/>
          </w:tcPr>
          <w:p>
            <w:pPr>
              <w:jc w:val="right"/>
            </w:pPr>
            <w:r>
              <w:rPr>
                <w:color w:val="000000"/>
                <w:sz w:val="24"/>
              </w:rPr>
              <w:t>3.76</w:t>
            </w:r>
          </w:p>
        </w:tc>
      </w:tr>
      <w:tr>
        <w:tc>
          <w:tcPr>
            <w:vAlign w:val="center"/>
          </w:tcPr>
          <w:p>
            <w:pPr>
              <w:jc w:val="center"/>
            </w:pPr>
            <w:r>
              <w:rPr>
                <w:color w:val="000000"/>
                <w:sz w:val="24"/>
              </w:rPr>
              <w:t>10</w:t>
            </w:r>
          </w:p>
        </w:tc>
        <w:tc>
          <w:tcPr>
            <w:vAlign w:val="center"/>
          </w:tcPr>
          <w:p>
            <w:pPr>
              <w:jc w:val="center"/>
            </w:pPr>
            <w:r>
              <w:rPr>
                <w:color w:val="000000"/>
                <w:sz w:val="24"/>
              </w:rPr>
              <w:t>AIA Group Limited</w:t>
            </w:r>
          </w:p>
        </w:tc>
        <w:tc>
          <w:tcPr>
            <w:vAlign w:val="center"/>
          </w:tcPr>
          <w:p>
            <w:pPr>
              <w:jc w:val="center"/>
            </w:pPr>
            <w:r>
              <w:rPr>
                <w:color w:val="000000"/>
                <w:sz w:val="24"/>
              </w:rPr>
              <w:t>友邦保险控股有限公司</w:t>
            </w:r>
          </w:p>
        </w:tc>
        <w:tc>
          <w:tcPr>
            <w:vAlign w:val="center"/>
          </w:tcPr>
          <w:p>
            <w:pPr>
              <w:jc w:val="center"/>
            </w:pPr>
            <w:r>
              <w:rPr>
                <w:color w:val="000000"/>
                <w:sz w:val="24"/>
              </w:rPr>
              <w:t>1299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25,000</w:t>
            </w:r>
          </w:p>
        </w:tc>
        <w:tc>
          <w:tcPr>
            <w:vAlign w:val="center"/>
          </w:tcPr>
          <w:p>
            <w:pPr>
              <w:jc w:val="right"/>
            </w:pPr>
            <w:r>
              <w:rPr>
                <w:color w:val="000000"/>
                <w:sz w:val="24"/>
              </w:rPr>
              <w:t>1,675,888.78</w:t>
            </w:r>
          </w:p>
        </w:tc>
        <w:tc>
          <w:tcPr>
            <w:vAlign w:val="center"/>
          </w:tcPr>
          <w:p>
            <w:pPr>
              <w:jc w:val="right"/>
            </w:pPr>
            <w:r>
              <w:rPr>
                <w:color w:val="000000"/>
                <w:sz w:val="24"/>
              </w:rPr>
              <w:t>3.58</w:t>
            </w:r>
          </w:p>
        </w:tc>
      </w:tr>
    </w:tbl>
    <w:p w:rsidP="005546C0" w:rsidR="00521EDE" w:rsidRDefault="00521EDE" w:rsidRPr="008640AE">
      <w:pPr>
        <w:autoSpaceDE w:val="0"/>
        <w:autoSpaceDN w:val="0"/>
        <w:adjustRightInd w:val="0"/>
        <w:spacing w:before="29" w:line="288" w:lineRule="auto"/>
        <w:ind w:left="15"/>
        <w:jc w:val="left"/>
        <w:rPr>
          <w:color w:val="00000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5.5 </w:t>
      </w:r>
      <w:r w:rsidRPr="008640AE">
        <w:rPr>
          <w:b/>
          <w:color w:val="000000"/>
          <w:kern w:val="0"/>
          <w:sz w:val="24"/>
        </w:rPr>
        <w:t>报告期末按债券信用等级分类的债券投资组合</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5.6</w:t>
      </w:r>
      <w:r w:rsidR="00B37527" w:rsidRPr="008640AE">
        <w:rPr>
          <w:b/>
          <w:color w:val="000000"/>
          <w:kern w:val="0"/>
          <w:sz w:val="24"/>
        </w:rPr>
        <w:t>报告期末按公允价值占基金资产净值比例大小排序</w:t>
      </w:r>
      <w:r w:rsidRPr="008640AE">
        <w:rPr>
          <w:b/>
          <w:color w:val="000000"/>
          <w:kern w:val="0"/>
          <w:sz w:val="24"/>
        </w:rPr>
        <w:t>的前五名债券投资明细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5.7</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的前十名资产支持证券投资明细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本基金本报告期末未持有资产支持证券。</w:t>
      </w:r>
    </w:p>
    <w:p w:rsidP="005546C0" w:rsidR="005B6AC7" w:rsidRDefault="005B6AC7" w:rsidRPr="008640AE">
      <w:pPr>
        <w:autoSpaceDE w:val="0"/>
        <w:autoSpaceDN w:val="0"/>
        <w:adjustRightInd w:val="0"/>
        <w:spacing w:before="29" w:line="288" w:lineRule="auto"/>
        <w:ind w:left="15"/>
        <w:jc w:val="left"/>
        <w:rPr>
          <w:b/>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5.8 </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的前五名金融衍生品投资明细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lastRenderedPageBreak/>
        <w:t>本基金本报告期末未持有金融衍生品。</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AC424A" w:rsidRPr="008640AE">
      <w:pPr>
        <w:autoSpaceDE w:val="0"/>
        <w:autoSpaceDN w:val="0"/>
        <w:adjustRightInd w:val="0"/>
        <w:spacing w:before="29" w:line="288" w:lineRule="auto"/>
        <w:jc w:val="left"/>
        <w:rPr>
          <w:b/>
          <w:color w:val="000000"/>
          <w:kern w:val="0"/>
          <w:sz w:val="24"/>
        </w:rPr>
      </w:pPr>
      <w:r>
        <w:rPr>
          <w:b/>
          <w:color w:val="000000"/>
          <w:kern w:val="0"/>
          <w:sz w:val="24"/>
        </w:rPr>
        <w:t/>
      </w:r>
      <w:r>
        <w:rPr>
          <w:rFonts w:hint="eastAsia"/>
          <w:b/>
          <w:color w:val="000000"/>
          <w:kern w:val="0"/>
          <w:sz w:val="24"/>
        </w:rPr>
        <w:t/>
      </w:r>
      <w:r>
        <w:rPr>
          <w:b/>
          <w:color w:val="000000"/>
          <w:kern w:val="0"/>
          <w:sz w:val="24"/>
        </w:rPr>
        <w:t/>
      </w:r>
      <w:r>
        <w:rPr>
          <w:rFonts w:hint="eastAsia"/>
          <w:b/>
          <w:color w:val="000000"/>
          <w:kern w:val="0"/>
          <w:sz w:val="24"/>
        </w:rPr>
        <w:t/>
      </w:r>
      <w:r w:rsidRPr="008640AE">
        <w:rPr>
          <w:b/>
          <w:color w:val="000000"/>
          <w:kern w:val="0"/>
          <w:sz w:val="24"/>
        </w:rPr>
        <w:t>5</w:t>
      </w:r>
      <w:r>
        <w:rPr>
          <w:rFonts w:hint="eastAsia"/>
          <w:b/>
          <w:color w:val="000000"/>
          <w:kern w:val="0"/>
          <w:sz w:val="24"/>
        </w:rPr>
        <w:t>.</w:t>
      </w:r>
      <w:r>
        <w:rPr>
          <w:b/>
          <w:color w:val="000000"/>
          <w:kern w:val="0"/>
          <w:sz w:val="24"/>
        </w:rPr>
        <w:t/>
      </w:r>
      <w:r>
        <w:rPr>
          <w:rFonts w:hint="eastAsia"/>
          <w:b/>
          <w:color w:val="000000"/>
          <w:kern w:val="0"/>
          <w:sz w:val="24"/>
        </w:rPr>
        <w:t/>
      </w:r>
      <w:r w:rsidRPr="008640AE">
        <w:rPr>
          <w:b/>
          <w:color w:val="000000"/>
          <w:kern w:val="0"/>
          <w:sz w:val="24"/>
        </w:rPr>
        <w:t>9</w:t>
      </w:r>
      <w:r w:rsidR="0076518F" w:rsidRPr="008640AE">
        <w:rPr>
          <w:b/>
          <w:color w:val="000000"/>
          <w:kern w:val="0"/>
          <w:sz w:val="24"/>
        </w:rPr>
        <w:t>报告期末按公允价值占基金资产净值比例大小排序的前十名基金投资明细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本基金本报告期末未持有基金。</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2C1372" w:rsidRPr="008640AE">
      <w:pPr>
        <w:autoSpaceDE w:val="0"/>
        <w:autoSpaceDN w:val="0"/>
        <w:adjustRightInd w:val="0"/>
        <w:spacing w:before="29" w:line="288" w:lineRule="auto"/>
        <w:jc w:val="left"/>
        <w:rPr>
          <w:b/>
          <w:color w:val="000000"/>
          <w:kern w:val="0"/>
          <w:sz w:val="24"/>
        </w:rPr>
      </w:pPr>
      <w:r>
        <w:rPr>
          <w:b/>
          <w:color w:val="000000"/>
          <w:kern w:val="0"/>
          <w:sz w:val="24"/>
        </w:rPr>
        <w:t/>
      </w:r>
      <w:r>
        <w:rPr>
          <w:rFonts w:hint="eastAsia"/>
          <w:b/>
          <w:color w:val="000000"/>
          <w:kern w:val="0"/>
          <w:sz w:val="24"/>
        </w:rPr>
        <w:t/>
      </w:r>
      <w:r w:rsidRPr="008640AE">
        <w:rPr>
          <w:b/>
          <w:color w:val="000000"/>
          <w:kern w:val="0"/>
          <w:sz w:val="24"/>
        </w:rPr>
        <w:t>5</w:t>
      </w:r>
      <w:r>
        <w:rPr>
          <w:rFonts w:hint="eastAsia"/>
          <w:b/>
          <w:color w:val="000000"/>
          <w:kern w:val="0"/>
          <w:sz w:val="24"/>
        </w:rPr>
        <w:t>.</w:t>
      </w:r>
      <w:r>
        <w:rPr>
          <w:b/>
          <w:color w:val="000000"/>
          <w:kern w:val="0"/>
          <w:sz w:val="24"/>
        </w:rPr>
        <w:t/>
      </w:r>
      <w:r>
        <w:rPr>
          <w:rFonts w:hint="eastAsia"/>
          <w:b/>
          <w:color w:val="000000"/>
          <w:kern w:val="0"/>
          <w:sz w:val="24"/>
        </w:rPr>
        <w:t/>
      </w:r>
      <w:r w:rsidRPr="008640AE">
        <w:rPr>
          <w:b/>
          <w:color w:val="000000"/>
          <w:kern w:val="0"/>
          <w:sz w:val="24"/>
        </w:rPr>
        <w:t>10</w:t>
      </w:r>
      <w:r w:rsidR="0076518F" w:rsidRPr="008640AE">
        <w:rPr>
          <w:b/>
          <w:color w:val="000000"/>
          <w:kern w:val="0"/>
          <w:sz w:val="24"/>
        </w:rPr>
        <w:t>投资组合报告附注</w:t>
      </w:r>
    </w:p>
    <w:p w:rsidP="00A31920" w:rsidR="0076518F" w:rsidRDefault="004966FE" w:rsidRPr="008640AE">
      <w:pPr>
        <w:spacing w:before="29" w:line="288" w:lineRule="auto"/>
        <w:rPr>
          <w:color w:val="000000"/>
          <w:sz w:val="24"/>
        </w:rPr>
      </w:pPr>
      <w:r w:rsidRPr="008640AE">
        <w:rPr>
          <w:color w:val="000000"/>
          <w:sz w:val="24"/>
        </w:rPr>
        <w:t>5.10.1</w:t>
      </w:r>
      <w:r w:rsidR="00521EDE" w:rsidRPr="008640AE">
        <w:rPr>
          <w:color w:val="000000"/>
          <w:sz w:val="24"/>
        </w:rPr>
        <w:t>报告期内本基金投资的前十名证券的发行主体未被监管部门立案调查，在本报告编制日前一年内本基金投资的前十名证券的发行主体未受到公开谴责和处罚。</w:t>
      </w:r>
    </w:p>
    <w:p w:rsidP="00A31920" w:rsidR="0076518F" w:rsidRDefault="001D3187" w:rsidRPr="008640AE">
      <w:pPr>
        <w:spacing w:before="29" w:line="288" w:lineRule="auto"/>
        <w:rPr>
          <w:color w:val="000000"/>
          <w:sz w:val="24"/>
        </w:rPr>
      </w:pPr>
      <w:r w:rsidRPr="008640AE">
        <w:rPr>
          <w:color w:val="000000"/>
          <w:sz w:val="24"/>
        </w:rPr>
        <w:t>5.10.2</w:t>
      </w:r>
      <w:r w:rsidR="00521EDE" w:rsidRPr="008640AE">
        <w:rPr>
          <w:color w:val="000000"/>
          <w:sz w:val="24"/>
        </w:rPr>
        <w:t>本基金投资的前十名股票中，没有超出基金合同规定的备选股票库之外的股票。</w:t>
      </w:r>
    </w:p>
    <w:p w:rsidP="005546C0" w:rsidR="0076518F" w:rsidRDefault="0076518F" w:rsidRPr="008640AE">
      <w:pPr>
        <w:autoSpaceDE w:val="0"/>
        <w:autoSpaceDN w:val="0"/>
        <w:adjustRightInd w:val="0"/>
        <w:spacing w:before="29" w:line="288" w:lineRule="auto"/>
        <w:jc w:val="left"/>
        <w:rPr>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8640AE">
          <w:rPr>
            <w:color w:val="000000"/>
            <w:kern w:val="0"/>
            <w:sz w:val="24"/>
          </w:rPr>
          <w:t>5.10.3</w:t>
        </w:r>
      </w:smartTag>
      <w:r w:rsidRPr="008640AE">
        <w:rPr>
          <w:color w:val="000000"/>
          <w:kern w:val="0"/>
          <w:sz w:val="24"/>
        </w:rPr>
        <w:t>其他资产构成</w:t>
      </w:r>
    </w:p>
    <w:tbl>
      <w:tblPr>
        <w:tblStyle w:val="af7"/>
        <w:tblW w:type="dxa" w:w="8868"/>
        <w:jc w:val="center"/>
        <w:tblInd w:type="dxa" w:w="15"/>
        <w:tblLayout w:type="fixed"/>
        <w:tblLook w:val="04A0"/>
      </w:tblPr>
      <w:tblGrid>
        <w:gridCol w:w="836"/>
        <w:gridCol w:w="3024"/>
        <w:gridCol w:w="5008"/>
      </w:tblGrid>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序号</w:t>
            </w:r>
          </w:p>
        </w:tc>
        <w:tc>
          <w:tcPr>
            <w:tcW w:type="dxa" w:w="2903"/>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名称</w:t>
            </w:r>
          </w:p>
        </w:tc>
        <w:tc>
          <w:tcPr>
            <w:tcW w:type="dxa" w:w="4808"/>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金额</w:t>
            </w:r>
            <w:r w:rsidR="00381C26" w:rsidRPr="008640AE">
              <w:rPr>
                <w:color w:val="000000"/>
                <w:kern w:val="0"/>
                <w:sz w:val="24"/>
              </w:rPr>
              <w:t>（人民币元）</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kern w:val="0"/>
                <w:sz w:val="24"/>
              </w:rPr>
            </w:pPr>
            <w:r w:rsidRPr="008640AE">
              <w:rPr>
                <w:color w:val="000000"/>
                <w:sz w:val="24"/>
              </w:rPr>
              <w:t>1</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存出保证金</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2</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应收证券清算款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3</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应收股利</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23,700.48</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4</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应收利息</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1,172.96</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5</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应收申购款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54,181.92</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6</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其他应收款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7</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sz w:val="24"/>
              </w:rPr>
            </w:pPr>
            <w:r w:rsidRPr="008640AE">
              <w:rPr>
                <w:color w:val="000000"/>
                <w:sz w:val="24"/>
              </w:rPr>
              <w:t>待摊费用</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sz w:val="24"/>
              </w:rPr>
            </w:pPr>
            <w:r w:rsidRPr="008640AE">
              <w:rPr>
                <w:color w:val="00000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8</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其他</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
            </w:r>
            <w:r w:rsidRPr="008640AE">
              <w:rPr>
                <w:color w:val="000000"/>
                <w:sz w:val="24"/>
              </w:rPr>
              <w:lastRenderedPageBreak/>
              <w:t>9</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kern w:val="0"/>
                <w:sz w:val="24"/>
              </w:rPr>
            </w:pPr>
            <w:r w:rsidRPr="008640AE">
              <w:rPr>
                <w:color w:val="000000"/>
                <w:kern w:val="0"/>
                <w:sz w:val="24"/>
              </w:rPr>
              <w:lastRenderedPageBreak/>
              <w:t>合计</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79,055.36</w:t>
            </w:r>
          </w:p>
        </w:tc>
      </w:tr>
    </w:tbl>
    <w:p w:rsidP="005546C0" w:rsidR="00A22D4B" w:rsidRDefault="00A22D4B" w:rsidRPr="008640AE">
      <w:pPr>
        <w:autoSpaceDE w:val="0"/>
        <w:autoSpaceDN w:val="0"/>
        <w:adjustRightInd w:val="0"/>
        <w:spacing w:before="29" w:line="288" w:lineRule="auto"/>
        <w:jc w:val="left"/>
        <w:rPr>
          <w:b/>
          <w:color w:val="000000"/>
          <w:kern w:val="0"/>
          <w:sz w:val="24"/>
        </w:rPr>
      </w:pPr>
    </w:p>
    <w:p w:rsidP="005546C0" w:rsidR="0076518F" w:rsidRDefault="0076518F" w:rsidRPr="008640AE">
      <w:pPr>
        <w:autoSpaceDE w:val="0"/>
        <w:autoSpaceDN w:val="0"/>
        <w:adjustRightInd w:val="0"/>
        <w:spacing w:before="29" w:line="288" w:lineRule="auto"/>
        <w:jc w:val="left"/>
        <w:rPr>
          <w:color w:val="000000"/>
          <w:kern w:val="0"/>
          <w:sz w:val="24"/>
        </w:rPr>
      </w:pPr>
      <w:r w:rsidRPr="008640AE">
        <w:rPr>
          <w:color w:val="000000"/>
          <w:kern w:val="0"/>
          <w:sz w:val="24"/>
        </w:rPr>
        <w:t>5.10.4</w:t>
      </w:r>
      <w:r w:rsidRPr="008640AE">
        <w:rPr>
          <w:color w:val="000000"/>
          <w:kern w:val="0"/>
          <w:sz w:val="24"/>
        </w:rPr>
        <w:t>报告期末持有的处于转股期的可转换债券明细</w:t>
      </w:r>
    </w:p>
    <w:p w:rsidP="005546C0" w:rsidR="000A55BD" w:rsidRDefault="000A55BD" w:rsidRPr="008640AE">
      <w:pPr>
        <w:autoSpaceDE w:val="0"/>
        <w:autoSpaceDN w:val="0"/>
        <w:adjustRightInd w:val="0"/>
        <w:spacing w:before="29" w:line="288" w:lineRule="auto"/>
        <w:jc w:val="left"/>
        <w:rPr>
          <w:color w:val="000000"/>
          <w:sz w:val="24"/>
        </w:rPr>
      </w:pPr>
      <w:r w:rsidRPr="008640AE">
        <w:rPr>
          <w:color w:val="000000"/>
          <w:sz w:val="24"/>
        </w:rPr>
        <w:t>本基金本报告期末未持有处于转股期的可转换债券。</w:t>
      </w:r>
    </w:p>
    <w:p w:rsidP="005546C0" w:rsidR="00EA3F21" w:rsidRDefault="00EA3F21" w:rsidRPr="008640AE">
      <w:pPr>
        <w:autoSpaceDE w:val="0"/>
        <w:autoSpaceDN w:val="0"/>
        <w:adjustRightInd w:val="0"/>
        <w:spacing w:before="29" w:line="288" w:lineRule="auto"/>
        <w:jc w:val="left"/>
        <w:rPr>
          <w:color w:val="000000"/>
          <w:sz w:val="24"/>
        </w:rPr>
      </w:pPr>
    </w:p>
    <w:p w:rsidP="005546C0" w:rsidR="0076518F" w:rsidRDefault="0076518F" w:rsidRPr="008640AE">
      <w:pPr>
        <w:autoSpaceDE w:val="0"/>
        <w:autoSpaceDN w:val="0"/>
        <w:adjustRightInd w:val="0"/>
        <w:spacing w:before="29" w:line="288" w:lineRule="auto"/>
        <w:jc w:val="left"/>
        <w:rPr>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640AE">
          <w:rPr>
            <w:color w:val="000000"/>
            <w:kern w:val="0"/>
            <w:sz w:val="24"/>
          </w:rPr>
          <w:t>5.10.5</w:t>
        </w:r>
      </w:smartTag>
      <w:r w:rsidRPr="008640AE">
        <w:rPr>
          <w:color w:val="000000"/>
          <w:kern w:val="0"/>
          <w:sz w:val="24"/>
        </w:rPr>
        <w:t>报告期末前十名股票中存在流通受限情况的说明</w:t>
      </w:r>
    </w:p>
    <w:p w:rsidP="005546C0" w:rsidR="000A55BD" w:rsidRDefault="000A55BD" w:rsidRPr="008640AE">
      <w:pPr>
        <w:autoSpaceDE w:val="0"/>
        <w:autoSpaceDN w:val="0"/>
        <w:adjustRightInd w:val="0"/>
        <w:spacing w:before="29" w:line="288" w:lineRule="auto"/>
        <w:jc w:val="left"/>
        <w:rPr>
          <w:color w:val="000000"/>
          <w:sz w:val="24"/>
        </w:rPr>
      </w:pPr>
      <w:r w:rsidRPr="008640AE">
        <w:rPr>
          <w:color w:val="000000"/>
          <w:sz w:val="24"/>
        </w:rPr>
        <w:t>本基金本报告期末前十名股票中不存在流通受限的情况。</w:t>
      </w:r>
    </w:p>
    <w:p w:rsidP="005546C0" w:rsidR="000E3B88" w:rsidRDefault="000E3B88" w:rsidRPr="008640AE">
      <w:pPr>
        <w:autoSpaceDE w:val="0"/>
        <w:autoSpaceDN w:val="0"/>
        <w:adjustRightInd w:val="0"/>
        <w:spacing w:before="29" w:line="288" w:lineRule="auto"/>
        <w:jc w:val="left"/>
        <w:rPr>
          <w:color w:val="000000"/>
          <w:sz w:val="24"/>
        </w:rPr>
      </w:pPr>
    </w:p>
    <w:p w:rsidP="005546C0" w:rsidR="0076518F" w:rsidRDefault="00280566" w:rsidRPr="008640AE">
      <w:pPr>
        <w:autoSpaceDE w:val="0"/>
        <w:autoSpaceDN w:val="0"/>
        <w:adjustRightInd w:val="0"/>
        <w:spacing w:before="29" w:line="288" w:lineRule="auto"/>
        <w:jc w:val="left"/>
        <w:rPr>
          <w:color w:val="000000"/>
          <w:kern w:val="0"/>
          <w:sz w:val="24"/>
        </w:rPr>
      </w:pPr>
      <w:r w:rsidRPr="008640AE">
        <w:rPr>
          <w:color w:val="000000"/>
          <w:kern w:val="0"/>
          <w:sz w:val="24"/>
        </w:rPr>
        <w:t/>
      </w:r>
      <w:r w:rsidR="0076518F" w:rsidRPr="008640AE">
        <w:rPr>
          <w:color w:val="000000"/>
          <w:kern w:val="0"/>
          <w:sz w:val="24"/>
        </w:rPr>
        <w:t>5.10.6</w:t>
      </w:r>
      <w:r w:rsidR="001C46E1" w:rsidRPr="008640AE">
        <w:rPr>
          <w:color w:val="000000"/>
          <w:kern w:val="0"/>
          <w:sz w:val="24"/>
        </w:rPr>
        <w:t>投资组合报告附注的其他文字描述部分</w:t>
      </w:r>
    </w:p>
    <w:p w:rsidP="00A31920" w:rsidR="000A55BD" w:rsidRDefault="000A55BD" w:rsidRPr="008640AE">
      <w:pPr>
        <w:spacing w:before="29" w:line="288" w:lineRule="auto"/>
        <w:rPr>
          <w:color w:val="000000"/>
          <w:sz w:val="24"/>
        </w:rPr>
      </w:pPr>
      <w:r w:rsidRPr="008640AE">
        <w:rPr>
          <w:color w:val="000000"/>
          <w:sz w:val="24"/>
        </w:rPr>
        <w:t>由于四舍五入的原因，分项之和与合计项之间可能存在尾差。</w:t>
      </w:r>
    </w:p>
    <w:p w:rsidP="005546C0" w:rsidR="00997813" w:rsidRDefault="00997813" w:rsidRPr="008640AE">
      <w:pPr>
        <w:spacing w:before="29" w:line="288" w:lineRule="auto"/>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§6  </w:t>
      </w:r>
      <w:r w:rsidRPr="008640AE">
        <w:rPr>
          <w:color w:val="000000"/>
          <w:kern w:val="0"/>
          <w:sz w:val="24"/>
          <w:szCs w:val="24"/>
        </w:rPr>
        <w:t>开放式基金份额变动</w:t>
      </w:r>
    </w:p>
    <w:p w:rsidP="005546C0" w:rsidR="0076518F" w:rsidRDefault="0076518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单位：份</w:t>
      </w:r>
    </w:p>
    <w:tbl>
      <w:tblPr>
        <w:tblW w:type="dxa" w:w="8861"/>
        <w:jc w:val="center"/>
        <w:tblLayout w:type="fixed"/>
        <w:tblLook w:val="0000"/>
      </w:tblPr>
      <w:tblGrid>
        <w:gridCol w:w="4609"/>
        <w:gridCol w:w="4252"/>
      </w:tblGrid>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left"/>
              <w:rPr>
                <w:color w:val="000000"/>
                <w:kern w:val="0"/>
                <w:sz w:val="24"/>
              </w:rPr>
            </w:pPr>
            <w:r w:rsidRPr="008640AE">
              <w:rPr>
                <w:color w:val="000000"/>
                <w:kern w:val="0"/>
                <w:sz w:val="24"/>
              </w:rPr>
              <w:lastRenderedPageBreak/>
              <w:t>报告期期初基金份额总额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BF1DD5" w:rsidRPr="008640AE">
            <w:pPr>
              <w:autoSpaceDE w:val="0"/>
              <w:autoSpaceDN w:val="0"/>
              <w:adjustRightInd w:val="0"/>
              <w:spacing w:before="29" w:line="288" w:lineRule="auto"/>
              <w:ind w:left="17"/>
              <w:jc w:val="right"/>
              <w:rPr>
                <w:color w:val="000000"/>
                <w:sz w:val="24"/>
              </w:rPr>
            </w:pPr>
            <w:r w:rsidRPr="008640AE">
              <w:rPr>
                <w:color w:val="000000"/>
                <w:sz w:val="24"/>
              </w:rPr>
              <w:t/>
            </w:r>
            <w:r w:rsidR="008975BC" w:rsidRPr="008640AE">
              <w:rPr>
                <w:color w:val="000000"/>
                <w:sz w:val="24"/>
              </w:rPr>
              <w:t>36,915,122.15</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A236D2"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Pr>
                <w:rFonts w:hAnsi="宋体" w:hint="eastAsia"/>
                <w:color w:val="000000"/>
                <w:kern w:val="0"/>
                <w:sz w:val="24"/>
              </w:rPr>
              <w:t>期间</w:t>
            </w:r>
            <w:r w:rsidRPr="008640AE">
              <w:rPr>
                <w:color w:val="000000"/>
                <w:kern w:val="0"/>
                <w:sz w:val="24"/>
              </w:rPr>
              <w:t>基金总申购份额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1,578,542.56</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1976B1" w:rsidRPr="008640AE">
            <w:pPr>
              <w:autoSpaceDE w:val="0"/>
              <w:autoSpaceDN w:val="0"/>
              <w:adjustRightInd w:val="0"/>
              <w:spacing w:before="29" w:line="288" w:lineRule="auto"/>
              <w:ind w:left="17"/>
              <w:jc w:val="left"/>
              <w:rPr>
                <w:color w:val="000000"/>
                <w:kern w:val="0"/>
                <w:sz w:val="24"/>
              </w:rPr>
            </w:pPr>
            <w:r>
              <w:rPr>
                <w:color w:val="000000"/>
                <w:kern w:val="0"/>
                <w:sz w:val="24"/>
              </w:rPr>
              <w:t>减：</w:t>
            </w:r>
            <w:r w:rsidR="003C60D5" w:rsidRPr="008640AE">
              <w:rPr>
                <w:color w:val="000000"/>
                <w:kern w:val="0"/>
                <w:sz w:val="24"/>
              </w:rPr>
              <w:t>报告期</w:t>
            </w:r>
            <w:r w:rsidR="00EB760E">
              <w:rPr>
                <w:rFonts w:hAnsi="宋体" w:hint="eastAsia"/>
                <w:color w:val="000000"/>
                <w:kern w:val="0"/>
                <w:sz w:val="24"/>
              </w:rPr>
              <w:t>期间</w:t>
            </w:r>
            <w:r w:rsidR="003C60D5" w:rsidRPr="008640AE">
              <w:rPr>
                <w:color w:val="000000"/>
                <w:kern w:val="0"/>
                <w:sz w:val="24"/>
              </w:rPr>
              <w:t>基金总赎回份额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6,853,321.73</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E8405D" w:rsidR="008975BC" w:rsidRDefault="003C60D5"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sidRPr="006664D2">
              <w:rPr>
                <w:rFonts w:hint="eastAsia"/>
                <w:color w:val="000000"/>
                <w:kern w:val="0"/>
                <w:sz w:val="24"/>
              </w:rPr>
              <w:t>期间</w:t>
            </w:r>
            <w:r w:rsidRPr="008640AE">
              <w:rPr>
                <w:color w:val="000000"/>
                <w:kern w:val="0"/>
                <w:sz w:val="24"/>
              </w:rPr>
              <w:t>基金拆分变动份额</w:t>
            </w:r>
            <w:r w:rsidR="006664D2" w:rsidRPr="006664D2">
              <w:rPr>
                <w:rFonts w:hint="eastAsia"/>
                <w:color w:val="000000"/>
                <w:kern w:val="0"/>
                <w:sz w:val="24"/>
              </w:rPr>
              <w:t>（份额减少以</w:t>
            </w:r>
            <w:r w:rsidR="00655E07" w:rsidRPr="004D5D71">
              <w:rPr>
                <w:color w:val="000000"/>
              </w:rPr>
              <w:t>“-”</w:t>
            </w:r>
            <w:r w:rsidR="006664D2" w:rsidRPr="006664D2">
              <w:rPr>
                <w:rFonts w:hint="eastAsia"/>
                <w:color w:val="000000"/>
                <w:kern w:val="0"/>
                <w:sz w:val="24"/>
              </w:rPr>
              <w:t>填列）</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2C3CD4"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报告期期末基金份额总额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31,640,342.98</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注：1、如果本报告期间发生转换入、红利再投业务，则总申购份额中包含该业务；     </w:t>
      </w:r>
    </w:p>
    <w:p w:rsidP="005546C0" w:rsidR="004027BA" w:rsidRDefault="004027BA" w:rsidRPr="008640AE">
      <w:pPr>
        <w:autoSpaceDE w:val="0"/>
        <w:autoSpaceDN w:val="0"/>
        <w:adjustRightInd w:val="0"/>
        <w:spacing w:before="29" w:line="288" w:lineRule="auto"/>
        <w:jc w:val="left"/>
        <w:rPr>
          <w:color w:val="000000"/>
          <w:sz w:val="24"/>
        </w:rPr>
      </w:pPr>
      <w:r w:rsidRPr="008640AE">
        <w:rPr>
          <w:color w:val="000000"/>
          <w:sz w:val="24"/>
        </w:rPr>
        <w:t xml:space="preserve">    2、如果本报告期间发生转换出业务，则总赎回份额中包含该业务。</w:t>
      </w:r>
    </w:p>
    <w:p w:rsidP="005546C0" w:rsidR="00CF0249" w:rsidRDefault="00CF0249" w:rsidRPr="008640AE">
      <w:pPr>
        <w:autoSpaceDE w:val="0"/>
        <w:autoSpaceDN w:val="0"/>
        <w:adjustRightInd w:val="0"/>
        <w:spacing w:before="29" w:line="288" w:lineRule="auto"/>
        <w:jc w:val="left"/>
        <w:rPr>
          <w:color w:val="000000"/>
          <w:sz w:val="24"/>
        </w:rPr>
      </w:pPr>
    </w:p>
    <w:p w:rsidP="00BB3041" w:rsidR="005E64DA" w:rsidRDefault="005E64DA" w:rsidRPr="008640AE">
      <w:pPr>
        <w:pStyle w:val="1"/>
        <w:spacing w:afterLines="100" w:beforeLines="100" w:line="288" w:lineRule="auto"/>
        <w:jc w:val="center"/>
        <w:rPr>
          <w:color w:val="000000"/>
          <w:kern w:val="0"/>
          <w:sz w:val="24"/>
          <w:szCs w:val="24"/>
        </w:rPr>
      </w:pPr>
      <w:r w:rsidRPr="008640AE">
        <w:rPr>
          <w:color w:val="000000"/>
          <w:kern w:val="0"/>
          <w:sz w:val="24"/>
          <w:szCs w:val="24"/>
        </w:rPr>
        <w:t>§</w:t>
      </w:r>
      <w:r w:rsidR="001A76EF">
        <w:rPr>
          <w:rFonts w:hint="eastAsia"/>
          <w:color w:val="000000"/>
          <w:kern w:val="0"/>
          <w:sz w:val="24"/>
          <w:szCs w:val="24"/>
        </w:rPr>
        <w:t/>
      </w:r>
      <w:r w:rsidRPr="008640AE">
        <w:rPr>
          <w:color w:val="000000"/>
          <w:kern w:val="0"/>
          <w:sz w:val="24"/>
          <w:szCs w:val="24"/>
        </w:rPr>
        <w:t xml:space="preserve">7  </w:t>
      </w:r>
      <w:r w:rsidRPr="008640AE">
        <w:rPr>
          <w:color w:val="000000"/>
          <w:kern w:val="0"/>
          <w:sz w:val="24"/>
          <w:szCs w:val="24"/>
        </w:rPr>
        <w:t>基金管理人运用固有资金投资本基金交易明细</w:t>
      </w:r>
    </w:p>
    <w:p w:rsidP="005546C0" w:rsidR="005E64DA" w:rsidRDefault="005E64DA" w:rsidRPr="008640AE">
      <w:pPr>
        <w:autoSpaceDE w:val="0"/>
        <w:autoSpaceDN w:val="0"/>
        <w:adjustRightInd w:val="0"/>
        <w:spacing w:before="29" w:line="288" w:lineRule="auto"/>
        <w:jc w:val="left"/>
        <w:rPr>
          <w:color w:val="000000"/>
          <w:sz w:val="24"/>
        </w:rPr>
      </w:pPr>
      <w:r w:rsidRPr="008640AE">
        <w:rPr>
          <w:color w:val="000000"/>
          <w:sz w:val="24"/>
        </w:rPr>
        <w:t xml:space="preserve">    本基金管理人本报告期内未进行本基金的申购、赎回、红利再投等；本基金管理人本报告期末持有本基金份额0.00份，占本基金期末总份额的0.00%。</w:t>
      </w:r>
    </w:p>
    <w:p w:rsidP="005546C0" w:rsidR="00200B62" w:rsidRDefault="00200B62"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w:t>
      </w:r>
      <w:r w:rsidR="002711AA" w:rsidRPr="008640AE">
        <w:rPr>
          <w:color w:val="000000"/>
          <w:kern w:val="0"/>
          <w:sz w:val="24"/>
          <w:szCs w:val="24"/>
        </w:rPr>
        <w:t/>
      </w:r>
      <w:r w:rsidR="00376A15" w:rsidRPr="008640AE">
        <w:rPr>
          <w:color w:val="000000"/>
          <w:kern w:val="0"/>
          <w:sz w:val="24"/>
          <w:szCs w:val="24"/>
        </w:rPr>
        <w:t/>
      </w:r>
      <w:r w:rsidR="00AE7D44" w:rsidRPr="008640AE">
        <w:rPr>
          <w:color w:val="000000"/>
          <w:kern w:val="0"/>
          <w:sz w:val="24"/>
          <w:szCs w:val="24"/>
        </w:rPr>
        <w:t/>
      </w:r>
      <w:r w:rsidR="00B111B9" w:rsidRPr="008640AE">
        <w:rPr>
          <w:color w:val="000000"/>
          <w:kern w:val="0"/>
          <w:sz w:val="24"/>
          <w:szCs w:val="24"/>
        </w:rPr>
        <w:t/>
      </w:r>
      <w:r w:rsidR="002711AA" w:rsidRPr="008640AE">
        <w:rPr>
          <w:color w:val="000000"/>
          <w:kern w:val="0"/>
          <w:sz w:val="24"/>
          <w:szCs w:val="24"/>
        </w:rPr>
        <w:t>8</w:t>
      </w:r>
      <w:r w:rsidRPr="008640AE">
        <w:rPr>
          <w:color w:val="000000"/>
          <w:kern w:val="0"/>
          <w:sz w:val="24"/>
          <w:szCs w:val="24"/>
        </w:rPr>
        <w:t>备查文件目录</w:t>
      </w: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
      </w:r>
      <w:r w:rsidR="008975BC" w:rsidRPr="008640AE">
        <w:rPr>
          <w:b/>
          <w:bCs/>
          <w:color w:val="000000"/>
          <w:kern w:val="0"/>
          <w:sz w:val="24"/>
        </w:rPr>
        <w:t/>
      </w:r>
      <w:r w:rsidR="00376A15" w:rsidRPr="008640AE">
        <w:rPr>
          <w:b/>
          <w:bCs/>
          <w:color w:val="000000"/>
          <w:kern w:val="0"/>
          <w:sz w:val="24"/>
        </w:rPr>
        <w:t>1</w:t>
      </w:r>
      <w:r w:rsidR="008975BC" w:rsidRPr="008640AE">
        <w:rPr>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1、中国证监会批准交银施罗德全球自然资源证券投资基金募集的文件； </w:t>
      </w:r>
    </w:p>
    <w:p>
      <w:pPr>
        <w:spacing w:before="29" w:line="288" w:lineRule="auto"/>
        <w:ind w:firstLine="480" w:firstLineChars="200"/>
        <w:rPr>
          <w:color w:val="000000"/>
          <w:sz w:val="24"/>
        </w:rPr>
      </w:pPr>
      <w:r>
        <w:rPr>
          <w:color w:val="000000"/>
          <w:sz w:val="24"/>
        </w:rPr>
        <w:t xml:space="preserve">2、《交银施罗德全球自然资源证券投资基金基金合同》； </w:t>
      </w:r>
    </w:p>
    <w:p>
      <w:pPr>
        <w:spacing w:before="29" w:line="288" w:lineRule="auto"/>
        <w:ind w:firstLine="480" w:firstLineChars="200"/>
        <w:rPr>
          <w:color w:val="000000"/>
          <w:sz w:val="24"/>
        </w:rPr>
      </w:pPr>
      <w:r>
        <w:rPr>
          <w:color w:val="000000"/>
          <w:sz w:val="24"/>
        </w:rPr>
        <w:t>3、《交银施罗德全球自然资源证券投资基金招募说明书》；</w:t>
      </w:r>
    </w:p>
    <w:p>
      <w:pPr>
        <w:spacing w:before="29" w:line="288" w:lineRule="auto"/>
        <w:ind w:firstLine="480" w:firstLineChars="200"/>
        <w:rPr>
          <w:color w:val="000000"/>
          <w:sz w:val="24"/>
        </w:rPr>
      </w:pPr>
      <w:r>
        <w:rPr>
          <w:color w:val="000000"/>
          <w:sz w:val="24"/>
        </w:rPr>
        <w:t xml:space="preserve">4、《交银施罗德全球自然资源证券投资基金托管协议》； </w:t>
      </w:r>
    </w:p>
    <w:p>
      <w:pPr>
        <w:spacing w:before="29" w:line="288" w:lineRule="auto"/>
        <w:ind w:firstLine="480" w:firstLineChars="200"/>
        <w:rPr>
          <w:color w:val="000000"/>
          <w:sz w:val="24"/>
        </w:rPr>
      </w:pPr>
      <w:r>
        <w:rPr>
          <w:color w:val="000000"/>
          <w:sz w:val="24"/>
        </w:rPr>
        <w:t>5、基金管理人业务资格批件、营业执照；</w:t>
      </w:r>
    </w:p>
    <w:p>
      <w:pPr>
        <w:spacing w:before="29" w:line="288" w:lineRule="auto"/>
        <w:ind w:firstLine="480" w:firstLineChars="200"/>
        <w:rPr>
          <w:color w:val="000000"/>
          <w:sz w:val="24"/>
        </w:rPr>
      </w:pPr>
      <w:r>
        <w:rPr>
          <w:color w:val="000000"/>
          <w:sz w:val="24"/>
        </w:rPr>
        <w:t>6、基金托管人业务资格批件、营业执照；</w:t>
      </w:r>
    </w:p>
    <w:p>
      <w:pPr>
        <w:spacing w:before="29" w:line="288" w:lineRule="auto"/>
        <w:ind w:firstLine="480" w:firstLineChars="200"/>
        <w:rPr>
          <w:color w:val="000000"/>
          <w:sz w:val="24"/>
        </w:rPr>
      </w:pPr>
      <w:r>
        <w:rPr>
          <w:color w:val="000000"/>
          <w:sz w:val="24"/>
        </w:rPr>
        <w:t>7、关于申请募集交银施罗德全球自然资源证券投资基金之法律意见书；</w:t>
      </w:r>
    </w:p>
    <w:p w:rsidP="005546C0" w:rsidR="008975BC" w:rsidRDefault="008975BC" w:rsidRPr="008640AE">
      <w:pPr>
        <w:spacing w:before="29" w:line="288" w:lineRule="auto"/>
        <w:ind w:firstLine="480" w:firstLineChars="200"/>
        <w:rPr>
          <w:color w:val="000000"/>
          <w:sz w:val="24"/>
        </w:rPr>
      </w:pPr>
      <w:r w:rsidRPr="008640AE">
        <w:rPr>
          <w:color w:val="000000"/>
          <w:sz w:val="24"/>
        </w:rPr>
        <w:t>8、报告期内交银施罗德全球自然资源证券投资基金在指定报刊上各项公告的原稿。</w:t>
      </w:r>
    </w:p>
    <w:p w:rsidP="005546C0" w:rsidR="008A2EC6" w:rsidRDefault="008A2EC6" w:rsidRPr="008640AE">
      <w:pPr>
        <w:spacing w:before="29" w:line="288" w:lineRule="auto"/>
        <w:ind w:firstLine="480" w:firstLineChars="200"/>
        <w:rPr>
          <w:color w:val="000000"/>
          <w:sz w:val="24"/>
        </w:rPr>
      </w:pP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2</w:t>
      </w:r>
      <w:r w:rsidR="008975BC" w:rsidRPr="008640AE">
        <w:rPr>
          <w:b/>
          <w:bCs/>
          <w:color w:val="000000"/>
          <w:kern w:val="0"/>
          <w:sz w:val="24"/>
        </w:rPr>
        <w:t>存放地点</w:t>
      </w:r>
    </w:p>
    <w:p w:rsidP="005546C0" w:rsidR="008975BC" w:rsidRDefault="008975BC" w:rsidRPr="008640AE">
      <w:pPr>
        <w:spacing w:before="29" w:line="288" w:lineRule="auto"/>
        <w:ind w:firstLine="480" w:firstLineChars="200"/>
        <w:rPr>
          <w:color w:val="000000"/>
          <w:sz w:val="24"/>
        </w:rPr>
      </w:pPr>
      <w:r w:rsidRPr="008640AE">
        <w:rPr>
          <w:color w:val="000000"/>
          <w:sz w:val="24"/>
        </w:rPr>
        <w:t>备查文件存放于基金管理人的办公场所。</w:t>
      </w:r>
    </w:p>
    <w:p w:rsidP="005546C0" w:rsidR="008A2EC6" w:rsidRDefault="008A2EC6" w:rsidRPr="008640AE">
      <w:pPr>
        <w:spacing w:before="29" w:line="288" w:lineRule="auto"/>
        <w:ind w:firstLine="480" w:firstLineChars="200"/>
        <w:rPr>
          <w:color w:val="000000"/>
          <w:sz w:val="24"/>
        </w:rPr>
      </w:pP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3</w:t>
      </w:r>
      <w:r w:rsidR="008975BC" w:rsidRPr="008640AE">
        <w:rPr>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5546C0" w:rsidR="007D4AE2" w:rsidRDefault="008975BC" w:rsidRPr="008640AE">
      <w:pPr>
        <w:spacing w:before="29" w:line="288" w:lineRule="auto"/>
        <w:ind w:firstLine="480" w:firstLineChars="200"/>
        <w:rPr>
          <w:color w:val="000000"/>
          <w:sz w:val="24"/>
        </w:rPr>
      </w:pPr>
      <w:r w:rsidRPr="008640AE">
        <w:rPr>
          <w:color w:val="000000"/>
          <w:sz w:val="24"/>
        </w:rPr>
        <w:t>投资者对本报告书如有疑问，可咨询本基金管理人交银施罗德基金管理有限公司。本公司客户服务中心电话：400-700-5000（免长途话费），021-61055000，电子邮件：services@jysld.com。</w:t>
      </w:r>
    </w:p>
    <w:p w:rsidP="005546C0" w:rsidR="007D4AE2" w:rsidRDefault="007D4AE2" w:rsidRPr="008640AE">
      <w:pPr>
        <w:spacing w:before="29" w:line="288" w:lineRule="auto"/>
        <w:ind w:firstLine="480" w:firstLineChars="200"/>
        <w:rPr>
          <w:color w:val="000000"/>
          <w:sz w:val="24"/>
        </w:rPr>
      </w:pPr>
    </w:p>
    <w:sectPr w:rsidR="007D4AE2" w:rsidRPr="008640AE" w:rsidSect="002537A4">
      <w:headerReference r:id="rId14" w:type="even"/>
      <w:footerReference r:id="rId15" w:type="even"/>
      <w:headerReference r:id="rId16" w:type="first"/>
      <w:footerReference r:id="rId17" w:type="first"/>
      <w:pgSz w:code="9" w:h="16838" w:w="11906"/>
      <w:pgMar w:bottom="1440" w:footer="992" w:gutter="0" w:header="851" w:left="1440" w:right="144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F6" w:rsidRDefault="008278F6">
      <w:r>
        <w:separator/>
      </w:r>
    </w:p>
  </w:endnote>
  <w:endnote w:type="continuationSeparator" w:id="0">
    <w:p w:rsidR="008278F6" w:rsidRDefault="0082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B918B8" w:rsidR="007D1292" w:rsidRDefault="007D1292" w:rsidRPr="001D0DB0">
    <w:pPr>
      <w:pStyle w:val="a6"/>
      <w:jc w:val="center"/>
    </w:pPr>
    <w:r>
      <w:rPr>
        <w:rFonts w:hint="eastAsia"/>
        <w:kern w:val="0"/>
        <w:szCs w:val="21"/>
      </w:rPr>
      <w:t>第</w:t>
    </w:r>
    <w:r w:rsidR="00DB2A0D">
      <w:rPr>
        <w:kern w:val="0"/>
        <w:szCs w:val="21"/>
      </w:rPr>
      <w:fldChar w:fldCharType="begin"/>
    </w:r>
    <w:r>
      <w:rPr>
        <w:kern w:val="0"/>
        <w:szCs w:val="21"/>
      </w:rPr>
      <w:instrText xml:space="preserve"> PAGE </w:instrText>
    </w:r>
    <w:r w:rsidR="00DB2A0D">
      <w:rPr>
        <w:kern w:val="0"/>
        <w:szCs w:val="21"/>
      </w:rPr>
      <w:fldChar w:fldCharType="separate"/>
    </w:r>
    <w:r w:rsidR="00BB3041">
      <w:rPr>
        <w:noProof/>
        <w:kern w:val="0"/>
        <w:szCs w:val="21"/>
      </w:rPr>
      <w:t>13</w:t>
    </w:r>
    <w:r w:rsidR="00DB2A0D">
      <w:rPr>
        <w:kern w:val="0"/>
        <w:szCs w:val="21"/>
      </w:rPr>
      <w:fldChar w:fldCharType="end"/>
    </w:r>
    <w:r>
      <w:rPr>
        <w:rFonts w:hint="eastAsia"/>
        <w:kern w:val="0"/>
        <w:szCs w:val="21"/>
      </w:rPr>
      <w:t>页共</w:t>
    </w:r>
    <w:r w:rsidR="00DB2A0D">
      <w:rPr>
        <w:kern w:val="0"/>
        <w:szCs w:val="21"/>
      </w:rPr>
      <w:fldChar w:fldCharType="begin"/>
    </w:r>
    <w:r>
      <w:rPr>
        <w:kern w:val="0"/>
        <w:szCs w:val="21"/>
      </w:rPr>
      <w:instrText xml:space="preserve"> NUMPAGES </w:instrText>
    </w:r>
    <w:r w:rsidR="00DB2A0D">
      <w:rPr>
        <w:kern w:val="0"/>
        <w:szCs w:val="21"/>
      </w:rPr>
      <w:fldChar w:fldCharType="separate"/>
    </w:r>
    <w:r w:rsidR="00BB3041">
      <w:rPr>
        <w:noProof/>
        <w:kern w:val="0"/>
        <w:szCs w:val="21"/>
      </w:rPr>
      <w:t>19</w:t>
    </w:r>
    <w:r w:rsidR="00DB2A0D">
      <w:rPr>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547D9C" w:rsidRDefault="00DB2A0D">
    <w:pPr>
      <w:pStyle w:val="a6"/>
      <w:framePr w:hAnchor="margin" w:vAnchor="text" w:wrap="around" w:xAlign="center" w:y="1"/>
      <w:rPr>
        <w:rStyle w:val="a7"/>
      </w:rPr>
    </w:pPr>
    <w:r>
      <w:rPr>
        <w:rStyle w:val="a7"/>
      </w:rPr>
      <w:fldChar w:fldCharType="begin"/>
    </w:r>
    <w:r w:rsidR="00547D9C">
      <w:rPr>
        <w:rStyle w:val="a7"/>
      </w:rPr>
      <w:instrText xml:space="preserve">PAGE  </w:instrText>
    </w:r>
    <w:r>
      <w:rPr>
        <w:rStyle w:val="a7"/>
      </w:rPr>
      <w:fldChar w:fldCharType="end"/>
    </w:r>
  </w:p>
  <w:p w:rsidR="00547D9C" w:rsidRDefault="00547D9C">
    <w:pPr>
      <w:pStyle w:val="a6"/>
    </w:pPr>
  </w:p>
</w:ftr>
</file>

<file path=word/footer5.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750358" w:rsidRDefault="00750358">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8278F6" w:rsidRDefault="008278F6">
      <w:r>
        <w:separator/>
      </w:r>
    </w:p>
  </w:footnote>
  <w:footnote w:id="0" w:type="continuationSeparator">
    <w:p w:rsidR="008278F6" w:rsidRDefault="008278F6">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6069A" w:rsidR="001D1356" w:rsidRDefault="00C6069A" w:rsidRPr="00C6069A">
    <w:pPr>
      <w:pStyle w:val="a9"/>
      <w:pBdr>
        <w:bottom w:color="auto" w:space="0" w:sz="6" w:val="single"/>
      </w:pBdr>
      <w:ind w:firstLine="480"/>
      <w:jc w:val="right"/>
      <w:rPr>
        <w:sz w:val="24"/>
        <w:szCs w:val="24"/>
      </w:rPr>
    </w:pPr>
    <w:r w:rsidRPr="003E676C">
      <w:rPr>
        <w:sz w:val="24"/>
        <w:szCs w:val="24"/>
      </w:rPr>
      <w:t>交银施罗德全球自然资源证券投资基金2019年第1季度报告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9"/>
    </w:pPr>
  </w:p>
</w:hdr>
</file>

<file path=word/header4.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750358" w:rsidRDefault="00750358">
    <w:pPr>
      <w:pStyle w:val="a9"/>
    </w:pPr>
  </w:p>
</w:hdr>
</file>

<file path=word/header5.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750358" w:rsidRDefault="00750358">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intPostScriptOverText/>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spidmax="11266"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FB4"/>
    <w:rsid w:val="0000403B"/>
    <w:rsid w:val="00005911"/>
    <w:rsid w:val="000068A1"/>
    <w:rsid w:val="00010A83"/>
    <w:rsid w:val="00010A8E"/>
    <w:rsid w:val="00010AC3"/>
    <w:rsid w:val="00011EB5"/>
    <w:rsid w:val="00017581"/>
    <w:rsid w:val="00017739"/>
    <w:rsid w:val="00020583"/>
    <w:rsid w:val="00021DD4"/>
    <w:rsid w:val="00023BE7"/>
    <w:rsid w:val="00026BFF"/>
    <w:rsid w:val="000306F0"/>
    <w:rsid w:val="0003091A"/>
    <w:rsid w:val="00037FCF"/>
    <w:rsid w:val="00041090"/>
    <w:rsid w:val="00041AB5"/>
    <w:rsid w:val="00042040"/>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75754"/>
    <w:rsid w:val="00080ECC"/>
    <w:rsid w:val="00081D05"/>
    <w:rsid w:val="000876A0"/>
    <w:rsid w:val="00087CF7"/>
    <w:rsid w:val="00094876"/>
    <w:rsid w:val="00095076"/>
    <w:rsid w:val="00095912"/>
    <w:rsid w:val="00095CE0"/>
    <w:rsid w:val="00096933"/>
    <w:rsid w:val="00097230"/>
    <w:rsid w:val="000A09BE"/>
    <w:rsid w:val="000A457E"/>
    <w:rsid w:val="000A521D"/>
    <w:rsid w:val="000A549A"/>
    <w:rsid w:val="000A55BD"/>
    <w:rsid w:val="000A72F2"/>
    <w:rsid w:val="000B0C56"/>
    <w:rsid w:val="000B3274"/>
    <w:rsid w:val="000B3E43"/>
    <w:rsid w:val="000B6351"/>
    <w:rsid w:val="000C1723"/>
    <w:rsid w:val="000C1B20"/>
    <w:rsid w:val="000C31D4"/>
    <w:rsid w:val="000C4107"/>
    <w:rsid w:val="000C41AE"/>
    <w:rsid w:val="000C45E7"/>
    <w:rsid w:val="000C7596"/>
    <w:rsid w:val="000D01F4"/>
    <w:rsid w:val="000D02C9"/>
    <w:rsid w:val="000D121F"/>
    <w:rsid w:val="000D1519"/>
    <w:rsid w:val="000D32D5"/>
    <w:rsid w:val="000D4219"/>
    <w:rsid w:val="000E1F7C"/>
    <w:rsid w:val="000E3B88"/>
    <w:rsid w:val="000E4456"/>
    <w:rsid w:val="000F175F"/>
    <w:rsid w:val="000F17D1"/>
    <w:rsid w:val="000F308F"/>
    <w:rsid w:val="000F352F"/>
    <w:rsid w:val="000F60FF"/>
    <w:rsid w:val="000F635F"/>
    <w:rsid w:val="000F6C61"/>
    <w:rsid w:val="00100A7C"/>
    <w:rsid w:val="00100C12"/>
    <w:rsid w:val="0010282F"/>
    <w:rsid w:val="001049B6"/>
    <w:rsid w:val="001051C6"/>
    <w:rsid w:val="0010694D"/>
    <w:rsid w:val="00110D1F"/>
    <w:rsid w:val="0011177A"/>
    <w:rsid w:val="00112E27"/>
    <w:rsid w:val="0011345C"/>
    <w:rsid w:val="00114B31"/>
    <w:rsid w:val="00116E31"/>
    <w:rsid w:val="00120AAF"/>
    <w:rsid w:val="00120FAF"/>
    <w:rsid w:val="0012150F"/>
    <w:rsid w:val="00121683"/>
    <w:rsid w:val="00121B69"/>
    <w:rsid w:val="00122BDE"/>
    <w:rsid w:val="0012304E"/>
    <w:rsid w:val="00123B10"/>
    <w:rsid w:val="001248EF"/>
    <w:rsid w:val="001257C7"/>
    <w:rsid w:val="00126DDF"/>
    <w:rsid w:val="001270BF"/>
    <w:rsid w:val="00127BAC"/>
    <w:rsid w:val="001303FF"/>
    <w:rsid w:val="001330AB"/>
    <w:rsid w:val="00133C6D"/>
    <w:rsid w:val="00142A56"/>
    <w:rsid w:val="001434E1"/>
    <w:rsid w:val="00143B45"/>
    <w:rsid w:val="00144DF5"/>
    <w:rsid w:val="00145A97"/>
    <w:rsid w:val="00146485"/>
    <w:rsid w:val="00150AD6"/>
    <w:rsid w:val="00154ADA"/>
    <w:rsid w:val="0015531A"/>
    <w:rsid w:val="0016041C"/>
    <w:rsid w:val="00163B27"/>
    <w:rsid w:val="00165317"/>
    <w:rsid w:val="00171BAD"/>
    <w:rsid w:val="00172B84"/>
    <w:rsid w:val="0017526E"/>
    <w:rsid w:val="001756A1"/>
    <w:rsid w:val="001761EE"/>
    <w:rsid w:val="00176EAA"/>
    <w:rsid w:val="0017725A"/>
    <w:rsid w:val="00177C4B"/>
    <w:rsid w:val="0018325A"/>
    <w:rsid w:val="00183D93"/>
    <w:rsid w:val="00186199"/>
    <w:rsid w:val="0018734E"/>
    <w:rsid w:val="00190409"/>
    <w:rsid w:val="0019075A"/>
    <w:rsid w:val="001928F7"/>
    <w:rsid w:val="00194537"/>
    <w:rsid w:val="00194F40"/>
    <w:rsid w:val="00195D4D"/>
    <w:rsid w:val="001976B1"/>
    <w:rsid w:val="001A21A9"/>
    <w:rsid w:val="001A3475"/>
    <w:rsid w:val="001A4A63"/>
    <w:rsid w:val="001A5539"/>
    <w:rsid w:val="001A59D8"/>
    <w:rsid w:val="001A5FA6"/>
    <w:rsid w:val="001A76EF"/>
    <w:rsid w:val="001B28D0"/>
    <w:rsid w:val="001B2F0C"/>
    <w:rsid w:val="001C1457"/>
    <w:rsid w:val="001C37F6"/>
    <w:rsid w:val="001C46E1"/>
    <w:rsid w:val="001C5C03"/>
    <w:rsid w:val="001C6288"/>
    <w:rsid w:val="001C7D5D"/>
    <w:rsid w:val="001D0F6A"/>
    <w:rsid w:val="001D1356"/>
    <w:rsid w:val="001D21BC"/>
    <w:rsid w:val="001D2FA5"/>
    <w:rsid w:val="001D3187"/>
    <w:rsid w:val="001D35E0"/>
    <w:rsid w:val="001D4F52"/>
    <w:rsid w:val="001D5045"/>
    <w:rsid w:val="001D5A44"/>
    <w:rsid w:val="001D724B"/>
    <w:rsid w:val="001E11D3"/>
    <w:rsid w:val="001E2A6A"/>
    <w:rsid w:val="001E3DC2"/>
    <w:rsid w:val="001E4ABC"/>
    <w:rsid w:val="001E56FF"/>
    <w:rsid w:val="001E5C6B"/>
    <w:rsid w:val="001F03E1"/>
    <w:rsid w:val="001F3C28"/>
    <w:rsid w:val="001F3CC6"/>
    <w:rsid w:val="001F4530"/>
    <w:rsid w:val="001F5643"/>
    <w:rsid w:val="00200B62"/>
    <w:rsid w:val="002010DE"/>
    <w:rsid w:val="00202968"/>
    <w:rsid w:val="00202C32"/>
    <w:rsid w:val="00203AEF"/>
    <w:rsid w:val="00206F8C"/>
    <w:rsid w:val="00207EBF"/>
    <w:rsid w:val="00211A26"/>
    <w:rsid w:val="002125F7"/>
    <w:rsid w:val="00214463"/>
    <w:rsid w:val="00214756"/>
    <w:rsid w:val="002149AE"/>
    <w:rsid w:val="00215C06"/>
    <w:rsid w:val="00215CF2"/>
    <w:rsid w:val="00221174"/>
    <w:rsid w:val="002224FF"/>
    <w:rsid w:val="002236BC"/>
    <w:rsid w:val="002250E3"/>
    <w:rsid w:val="00230F3A"/>
    <w:rsid w:val="00233B7F"/>
    <w:rsid w:val="002359EB"/>
    <w:rsid w:val="002363AB"/>
    <w:rsid w:val="0024260D"/>
    <w:rsid w:val="00245012"/>
    <w:rsid w:val="0024504E"/>
    <w:rsid w:val="0024651F"/>
    <w:rsid w:val="0025065B"/>
    <w:rsid w:val="0025158D"/>
    <w:rsid w:val="0025281A"/>
    <w:rsid w:val="002537A4"/>
    <w:rsid w:val="00253D3C"/>
    <w:rsid w:val="00254F37"/>
    <w:rsid w:val="00255292"/>
    <w:rsid w:val="00256097"/>
    <w:rsid w:val="00260200"/>
    <w:rsid w:val="00261DB3"/>
    <w:rsid w:val="002648D8"/>
    <w:rsid w:val="002655D4"/>
    <w:rsid w:val="00265865"/>
    <w:rsid w:val="00267D54"/>
    <w:rsid w:val="002711AA"/>
    <w:rsid w:val="00272377"/>
    <w:rsid w:val="00273F86"/>
    <w:rsid w:val="00275B5E"/>
    <w:rsid w:val="00276834"/>
    <w:rsid w:val="002774F0"/>
    <w:rsid w:val="00280566"/>
    <w:rsid w:val="00281DBD"/>
    <w:rsid w:val="00284519"/>
    <w:rsid w:val="0028459B"/>
    <w:rsid w:val="00284C5F"/>
    <w:rsid w:val="002865D2"/>
    <w:rsid w:val="002873F0"/>
    <w:rsid w:val="00293A87"/>
    <w:rsid w:val="002964F9"/>
    <w:rsid w:val="00297B13"/>
    <w:rsid w:val="002A1F14"/>
    <w:rsid w:val="002A2678"/>
    <w:rsid w:val="002A2E01"/>
    <w:rsid w:val="002A398F"/>
    <w:rsid w:val="002A530F"/>
    <w:rsid w:val="002A5C6B"/>
    <w:rsid w:val="002A5D31"/>
    <w:rsid w:val="002A62B1"/>
    <w:rsid w:val="002A6CD3"/>
    <w:rsid w:val="002A714F"/>
    <w:rsid w:val="002B14C2"/>
    <w:rsid w:val="002B1851"/>
    <w:rsid w:val="002B27FF"/>
    <w:rsid w:val="002B4320"/>
    <w:rsid w:val="002B6793"/>
    <w:rsid w:val="002C042C"/>
    <w:rsid w:val="002C1372"/>
    <w:rsid w:val="002C1726"/>
    <w:rsid w:val="002C21A6"/>
    <w:rsid w:val="002C2678"/>
    <w:rsid w:val="002C26D5"/>
    <w:rsid w:val="002C3CD4"/>
    <w:rsid w:val="002C5777"/>
    <w:rsid w:val="002D2BDD"/>
    <w:rsid w:val="002D31BB"/>
    <w:rsid w:val="002D32E3"/>
    <w:rsid w:val="002E0FEB"/>
    <w:rsid w:val="002E4075"/>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063E8"/>
    <w:rsid w:val="00311094"/>
    <w:rsid w:val="0031598C"/>
    <w:rsid w:val="00316339"/>
    <w:rsid w:val="00316C5A"/>
    <w:rsid w:val="003204E9"/>
    <w:rsid w:val="00321E8C"/>
    <w:rsid w:val="00322A86"/>
    <w:rsid w:val="00323AE8"/>
    <w:rsid w:val="00324548"/>
    <w:rsid w:val="003251F4"/>
    <w:rsid w:val="00327A57"/>
    <w:rsid w:val="003303E3"/>
    <w:rsid w:val="003329EA"/>
    <w:rsid w:val="003407A5"/>
    <w:rsid w:val="00341188"/>
    <w:rsid w:val="0034147B"/>
    <w:rsid w:val="00341F24"/>
    <w:rsid w:val="00345F56"/>
    <w:rsid w:val="00350238"/>
    <w:rsid w:val="0035109C"/>
    <w:rsid w:val="00351F0A"/>
    <w:rsid w:val="00353B9C"/>
    <w:rsid w:val="0035432B"/>
    <w:rsid w:val="00361E7E"/>
    <w:rsid w:val="00363E15"/>
    <w:rsid w:val="00370AA4"/>
    <w:rsid w:val="00371FF4"/>
    <w:rsid w:val="003745DA"/>
    <w:rsid w:val="0037468D"/>
    <w:rsid w:val="00376A15"/>
    <w:rsid w:val="00376E96"/>
    <w:rsid w:val="00377520"/>
    <w:rsid w:val="00380D36"/>
    <w:rsid w:val="00381C26"/>
    <w:rsid w:val="003822D3"/>
    <w:rsid w:val="00386630"/>
    <w:rsid w:val="00390B25"/>
    <w:rsid w:val="00395BC9"/>
    <w:rsid w:val="00396E32"/>
    <w:rsid w:val="00397156"/>
    <w:rsid w:val="00397616"/>
    <w:rsid w:val="00397960"/>
    <w:rsid w:val="003A30B8"/>
    <w:rsid w:val="003A3BC4"/>
    <w:rsid w:val="003A458A"/>
    <w:rsid w:val="003A4D77"/>
    <w:rsid w:val="003B2F13"/>
    <w:rsid w:val="003B405E"/>
    <w:rsid w:val="003B57D3"/>
    <w:rsid w:val="003C1F58"/>
    <w:rsid w:val="003C60D5"/>
    <w:rsid w:val="003C792F"/>
    <w:rsid w:val="003D124B"/>
    <w:rsid w:val="003D18F3"/>
    <w:rsid w:val="003D1E59"/>
    <w:rsid w:val="003D78B5"/>
    <w:rsid w:val="003E244F"/>
    <w:rsid w:val="003E2E6E"/>
    <w:rsid w:val="003E6203"/>
    <w:rsid w:val="003E62A6"/>
    <w:rsid w:val="003E695F"/>
    <w:rsid w:val="003E6C9B"/>
    <w:rsid w:val="003E709C"/>
    <w:rsid w:val="003E7B89"/>
    <w:rsid w:val="003F0275"/>
    <w:rsid w:val="003F06B1"/>
    <w:rsid w:val="003F4241"/>
    <w:rsid w:val="003F7C45"/>
    <w:rsid w:val="0040132C"/>
    <w:rsid w:val="004027BA"/>
    <w:rsid w:val="0040469F"/>
    <w:rsid w:val="00405085"/>
    <w:rsid w:val="004061D9"/>
    <w:rsid w:val="004066FC"/>
    <w:rsid w:val="00407C10"/>
    <w:rsid w:val="004113B4"/>
    <w:rsid w:val="00414827"/>
    <w:rsid w:val="00416C10"/>
    <w:rsid w:val="00420007"/>
    <w:rsid w:val="00423393"/>
    <w:rsid w:val="00423FB3"/>
    <w:rsid w:val="00424120"/>
    <w:rsid w:val="00424EF3"/>
    <w:rsid w:val="004261BD"/>
    <w:rsid w:val="004268BB"/>
    <w:rsid w:val="00431047"/>
    <w:rsid w:val="00431B86"/>
    <w:rsid w:val="004339D9"/>
    <w:rsid w:val="004408EC"/>
    <w:rsid w:val="00441E6A"/>
    <w:rsid w:val="00443C8F"/>
    <w:rsid w:val="00452481"/>
    <w:rsid w:val="004567C5"/>
    <w:rsid w:val="00456F7B"/>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6C29"/>
    <w:rsid w:val="00487C2B"/>
    <w:rsid w:val="00490B1F"/>
    <w:rsid w:val="0049297D"/>
    <w:rsid w:val="004929F2"/>
    <w:rsid w:val="004958BE"/>
    <w:rsid w:val="00495A03"/>
    <w:rsid w:val="0049659A"/>
    <w:rsid w:val="004966FE"/>
    <w:rsid w:val="00497079"/>
    <w:rsid w:val="004A1A5E"/>
    <w:rsid w:val="004A1BBA"/>
    <w:rsid w:val="004A3039"/>
    <w:rsid w:val="004A36FD"/>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D047F"/>
    <w:rsid w:val="004D3971"/>
    <w:rsid w:val="004D3D96"/>
    <w:rsid w:val="004D650F"/>
    <w:rsid w:val="004E2133"/>
    <w:rsid w:val="004E3D41"/>
    <w:rsid w:val="004E60FB"/>
    <w:rsid w:val="004F6565"/>
    <w:rsid w:val="004F779C"/>
    <w:rsid w:val="004F7846"/>
    <w:rsid w:val="005000D4"/>
    <w:rsid w:val="00501BB1"/>
    <w:rsid w:val="00505BE7"/>
    <w:rsid w:val="00506786"/>
    <w:rsid w:val="00506D57"/>
    <w:rsid w:val="00510CAF"/>
    <w:rsid w:val="005128C5"/>
    <w:rsid w:val="0051478B"/>
    <w:rsid w:val="0051566A"/>
    <w:rsid w:val="00515D7B"/>
    <w:rsid w:val="005166E9"/>
    <w:rsid w:val="00516FAF"/>
    <w:rsid w:val="0052009E"/>
    <w:rsid w:val="00520ED7"/>
    <w:rsid w:val="00521EDE"/>
    <w:rsid w:val="005252A9"/>
    <w:rsid w:val="00525E59"/>
    <w:rsid w:val="005318CC"/>
    <w:rsid w:val="005346F1"/>
    <w:rsid w:val="005349B1"/>
    <w:rsid w:val="005374BC"/>
    <w:rsid w:val="00543367"/>
    <w:rsid w:val="00543BFA"/>
    <w:rsid w:val="00547D9C"/>
    <w:rsid w:val="00547DA1"/>
    <w:rsid w:val="00551A1A"/>
    <w:rsid w:val="00552829"/>
    <w:rsid w:val="005546C0"/>
    <w:rsid w:val="0055513C"/>
    <w:rsid w:val="00560194"/>
    <w:rsid w:val="00560C94"/>
    <w:rsid w:val="0056291C"/>
    <w:rsid w:val="0056509C"/>
    <w:rsid w:val="00565A63"/>
    <w:rsid w:val="00565E5C"/>
    <w:rsid w:val="00566588"/>
    <w:rsid w:val="00566F22"/>
    <w:rsid w:val="00571BD3"/>
    <w:rsid w:val="0057275D"/>
    <w:rsid w:val="005749DF"/>
    <w:rsid w:val="005800A9"/>
    <w:rsid w:val="00580488"/>
    <w:rsid w:val="0058048E"/>
    <w:rsid w:val="0058074D"/>
    <w:rsid w:val="00581DAA"/>
    <w:rsid w:val="00582FAD"/>
    <w:rsid w:val="00583489"/>
    <w:rsid w:val="005837E4"/>
    <w:rsid w:val="00587B92"/>
    <w:rsid w:val="005908C0"/>
    <w:rsid w:val="00590FE4"/>
    <w:rsid w:val="00591D9C"/>
    <w:rsid w:val="00592EFF"/>
    <w:rsid w:val="00596D53"/>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3A5"/>
    <w:rsid w:val="005B7B0E"/>
    <w:rsid w:val="005C5409"/>
    <w:rsid w:val="005C6212"/>
    <w:rsid w:val="005C69AC"/>
    <w:rsid w:val="005C722E"/>
    <w:rsid w:val="005C73C2"/>
    <w:rsid w:val="005C7FD4"/>
    <w:rsid w:val="005D01A4"/>
    <w:rsid w:val="005D45B3"/>
    <w:rsid w:val="005D4CEB"/>
    <w:rsid w:val="005E0EAB"/>
    <w:rsid w:val="005E2501"/>
    <w:rsid w:val="005E4CD1"/>
    <w:rsid w:val="005E64DA"/>
    <w:rsid w:val="005F04E6"/>
    <w:rsid w:val="005F43B9"/>
    <w:rsid w:val="005F68CB"/>
    <w:rsid w:val="005F7085"/>
    <w:rsid w:val="005F79F9"/>
    <w:rsid w:val="005F7F24"/>
    <w:rsid w:val="00601110"/>
    <w:rsid w:val="00602ACD"/>
    <w:rsid w:val="006033E3"/>
    <w:rsid w:val="00605748"/>
    <w:rsid w:val="00607A54"/>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5E07"/>
    <w:rsid w:val="00661974"/>
    <w:rsid w:val="00662D4B"/>
    <w:rsid w:val="00664551"/>
    <w:rsid w:val="00664F49"/>
    <w:rsid w:val="006658FA"/>
    <w:rsid w:val="006664D2"/>
    <w:rsid w:val="0066726C"/>
    <w:rsid w:val="006674BD"/>
    <w:rsid w:val="006676A0"/>
    <w:rsid w:val="00670857"/>
    <w:rsid w:val="00671124"/>
    <w:rsid w:val="006727B0"/>
    <w:rsid w:val="0067307E"/>
    <w:rsid w:val="006804FA"/>
    <w:rsid w:val="00686EC0"/>
    <w:rsid w:val="00687AD5"/>
    <w:rsid w:val="00691153"/>
    <w:rsid w:val="006949ED"/>
    <w:rsid w:val="00695251"/>
    <w:rsid w:val="00695ADE"/>
    <w:rsid w:val="00695C0D"/>
    <w:rsid w:val="00696356"/>
    <w:rsid w:val="006A1DAE"/>
    <w:rsid w:val="006A23FB"/>
    <w:rsid w:val="006A2C8E"/>
    <w:rsid w:val="006A3F7F"/>
    <w:rsid w:val="006A72C6"/>
    <w:rsid w:val="006B02DA"/>
    <w:rsid w:val="006B077E"/>
    <w:rsid w:val="006B1FD1"/>
    <w:rsid w:val="006B2065"/>
    <w:rsid w:val="006B2F2B"/>
    <w:rsid w:val="006B3940"/>
    <w:rsid w:val="006B47D1"/>
    <w:rsid w:val="006C0314"/>
    <w:rsid w:val="006C168D"/>
    <w:rsid w:val="006C1889"/>
    <w:rsid w:val="006C1D52"/>
    <w:rsid w:val="006C4E16"/>
    <w:rsid w:val="006C55C8"/>
    <w:rsid w:val="006C5E36"/>
    <w:rsid w:val="006C642C"/>
    <w:rsid w:val="006C6FC6"/>
    <w:rsid w:val="006D00D5"/>
    <w:rsid w:val="006D0377"/>
    <w:rsid w:val="006D2D97"/>
    <w:rsid w:val="006E34B7"/>
    <w:rsid w:val="006F4CD8"/>
    <w:rsid w:val="006F56D2"/>
    <w:rsid w:val="00701F44"/>
    <w:rsid w:val="00703E8A"/>
    <w:rsid w:val="00707A5E"/>
    <w:rsid w:val="00710335"/>
    <w:rsid w:val="00711522"/>
    <w:rsid w:val="007124FE"/>
    <w:rsid w:val="00713186"/>
    <w:rsid w:val="00713757"/>
    <w:rsid w:val="00716DC0"/>
    <w:rsid w:val="00717772"/>
    <w:rsid w:val="00721AF1"/>
    <w:rsid w:val="0072280F"/>
    <w:rsid w:val="00722B5E"/>
    <w:rsid w:val="00723559"/>
    <w:rsid w:val="00726CFF"/>
    <w:rsid w:val="0072708F"/>
    <w:rsid w:val="00730500"/>
    <w:rsid w:val="00732D1D"/>
    <w:rsid w:val="00733C8D"/>
    <w:rsid w:val="00736034"/>
    <w:rsid w:val="00736479"/>
    <w:rsid w:val="0073681C"/>
    <w:rsid w:val="00741EBE"/>
    <w:rsid w:val="00746130"/>
    <w:rsid w:val="00746A40"/>
    <w:rsid w:val="00750358"/>
    <w:rsid w:val="007513AC"/>
    <w:rsid w:val="00751763"/>
    <w:rsid w:val="0075255E"/>
    <w:rsid w:val="00755CDF"/>
    <w:rsid w:val="00757A4C"/>
    <w:rsid w:val="00763925"/>
    <w:rsid w:val="00764A94"/>
    <w:rsid w:val="0076518F"/>
    <w:rsid w:val="007651E5"/>
    <w:rsid w:val="007670DC"/>
    <w:rsid w:val="0077111A"/>
    <w:rsid w:val="00772721"/>
    <w:rsid w:val="007756ED"/>
    <w:rsid w:val="00782115"/>
    <w:rsid w:val="007870FC"/>
    <w:rsid w:val="00787CD0"/>
    <w:rsid w:val="00791053"/>
    <w:rsid w:val="00791A3A"/>
    <w:rsid w:val="00791BB9"/>
    <w:rsid w:val="00794196"/>
    <w:rsid w:val="00796EC9"/>
    <w:rsid w:val="00797637"/>
    <w:rsid w:val="007A3195"/>
    <w:rsid w:val="007A3680"/>
    <w:rsid w:val="007A59B8"/>
    <w:rsid w:val="007A72D3"/>
    <w:rsid w:val="007A75F5"/>
    <w:rsid w:val="007B2862"/>
    <w:rsid w:val="007B662A"/>
    <w:rsid w:val="007C2C7E"/>
    <w:rsid w:val="007D1292"/>
    <w:rsid w:val="007D28C9"/>
    <w:rsid w:val="007D3CC8"/>
    <w:rsid w:val="007D4AE2"/>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1B44"/>
    <w:rsid w:val="008174D4"/>
    <w:rsid w:val="00820FE6"/>
    <w:rsid w:val="00821A66"/>
    <w:rsid w:val="00822476"/>
    <w:rsid w:val="00822882"/>
    <w:rsid w:val="00825F68"/>
    <w:rsid w:val="00826B12"/>
    <w:rsid w:val="008278F6"/>
    <w:rsid w:val="00835408"/>
    <w:rsid w:val="00837CEF"/>
    <w:rsid w:val="00840035"/>
    <w:rsid w:val="008428A9"/>
    <w:rsid w:val="00844112"/>
    <w:rsid w:val="00844733"/>
    <w:rsid w:val="00844929"/>
    <w:rsid w:val="00844DF5"/>
    <w:rsid w:val="008456C9"/>
    <w:rsid w:val="0084611D"/>
    <w:rsid w:val="00850C62"/>
    <w:rsid w:val="00852E6D"/>
    <w:rsid w:val="00861D07"/>
    <w:rsid w:val="008620ED"/>
    <w:rsid w:val="00863011"/>
    <w:rsid w:val="008640AE"/>
    <w:rsid w:val="00865075"/>
    <w:rsid w:val="008673EE"/>
    <w:rsid w:val="0086748F"/>
    <w:rsid w:val="008712A3"/>
    <w:rsid w:val="00872CE4"/>
    <w:rsid w:val="00877B62"/>
    <w:rsid w:val="00881015"/>
    <w:rsid w:val="008810B0"/>
    <w:rsid w:val="008819B6"/>
    <w:rsid w:val="00881AAC"/>
    <w:rsid w:val="0088256A"/>
    <w:rsid w:val="008836B7"/>
    <w:rsid w:val="008841D3"/>
    <w:rsid w:val="00884359"/>
    <w:rsid w:val="00884D3D"/>
    <w:rsid w:val="00887DE6"/>
    <w:rsid w:val="00890172"/>
    <w:rsid w:val="008911D2"/>
    <w:rsid w:val="00893048"/>
    <w:rsid w:val="00894C2A"/>
    <w:rsid w:val="00895DDD"/>
    <w:rsid w:val="008975BC"/>
    <w:rsid w:val="00897708"/>
    <w:rsid w:val="00897D88"/>
    <w:rsid w:val="00897E6F"/>
    <w:rsid w:val="008A2EC6"/>
    <w:rsid w:val="008A2F16"/>
    <w:rsid w:val="008A4B59"/>
    <w:rsid w:val="008A6D69"/>
    <w:rsid w:val="008B0A73"/>
    <w:rsid w:val="008B1823"/>
    <w:rsid w:val="008B2EAD"/>
    <w:rsid w:val="008B42B7"/>
    <w:rsid w:val="008B6A4A"/>
    <w:rsid w:val="008B6E16"/>
    <w:rsid w:val="008B7110"/>
    <w:rsid w:val="008C2029"/>
    <w:rsid w:val="008C61D6"/>
    <w:rsid w:val="008C64F1"/>
    <w:rsid w:val="008C7F7F"/>
    <w:rsid w:val="008D1BB0"/>
    <w:rsid w:val="008D20FF"/>
    <w:rsid w:val="008D36E4"/>
    <w:rsid w:val="008D3D3B"/>
    <w:rsid w:val="008D3DE6"/>
    <w:rsid w:val="008D4223"/>
    <w:rsid w:val="008D44CC"/>
    <w:rsid w:val="008D46E3"/>
    <w:rsid w:val="008D49A6"/>
    <w:rsid w:val="008D52CA"/>
    <w:rsid w:val="008D6709"/>
    <w:rsid w:val="008D74B6"/>
    <w:rsid w:val="008E083A"/>
    <w:rsid w:val="008E2450"/>
    <w:rsid w:val="008E29A9"/>
    <w:rsid w:val="008E7896"/>
    <w:rsid w:val="008E7D2D"/>
    <w:rsid w:val="008F2477"/>
    <w:rsid w:val="008F7815"/>
    <w:rsid w:val="00900F02"/>
    <w:rsid w:val="009010F0"/>
    <w:rsid w:val="00901162"/>
    <w:rsid w:val="0090223A"/>
    <w:rsid w:val="009028E2"/>
    <w:rsid w:val="00914EAB"/>
    <w:rsid w:val="00920D7F"/>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81963"/>
    <w:rsid w:val="00983C82"/>
    <w:rsid w:val="00984520"/>
    <w:rsid w:val="0098545C"/>
    <w:rsid w:val="00985BF7"/>
    <w:rsid w:val="00990071"/>
    <w:rsid w:val="009900B5"/>
    <w:rsid w:val="00991EA9"/>
    <w:rsid w:val="00992BA2"/>
    <w:rsid w:val="00992F83"/>
    <w:rsid w:val="0099508A"/>
    <w:rsid w:val="009973C7"/>
    <w:rsid w:val="009974EB"/>
    <w:rsid w:val="00997813"/>
    <w:rsid w:val="009A03D2"/>
    <w:rsid w:val="009A1126"/>
    <w:rsid w:val="009A5E42"/>
    <w:rsid w:val="009A61A2"/>
    <w:rsid w:val="009A781F"/>
    <w:rsid w:val="009B1584"/>
    <w:rsid w:val="009B21CA"/>
    <w:rsid w:val="009B2235"/>
    <w:rsid w:val="009B2648"/>
    <w:rsid w:val="009B6E8F"/>
    <w:rsid w:val="009C03E5"/>
    <w:rsid w:val="009C2100"/>
    <w:rsid w:val="009C3730"/>
    <w:rsid w:val="009C37BD"/>
    <w:rsid w:val="009C3AAC"/>
    <w:rsid w:val="009C3D84"/>
    <w:rsid w:val="009C4D19"/>
    <w:rsid w:val="009C5134"/>
    <w:rsid w:val="009C5FDB"/>
    <w:rsid w:val="009C693E"/>
    <w:rsid w:val="009C70CB"/>
    <w:rsid w:val="009D0169"/>
    <w:rsid w:val="009D1EA4"/>
    <w:rsid w:val="009D27AA"/>
    <w:rsid w:val="009D4991"/>
    <w:rsid w:val="009D5BB5"/>
    <w:rsid w:val="009D696D"/>
    <w:rsid w:val="009D6DAB"/>
    <w:rsid w:val="009D6ED2"/>
    <w:rsid w:val="009D7D27"/>
    <w:rsid w:val="009E0F1A"/>
    <w:rsid w:val="009E140D"/>
    <w:rsid w:val="009E1E55"/>
    <w:rsid w:val="009E4465"/>
    <w:rsid w:val="009E6401"/>
    <w:rsid w:val="009E6C54"/>
    <w:rsid w:val="009E6D44"/>
    <w:rsid w:val="009F2A25"/>
    <w:rsid w:val="009F5235"/>
    <w:rsid w:val="009F531A"/>
    <w:rsid w:val="009F6550"/>
    <w:rsid w:val="009F786E"/>
    <w:rsid w:val="00A00902"/>
    <w:rsid w:val="00A039FF"/>
    <w:rsid w:val="00A05ACE"/>
    <w:rsid w:val="00A05CA4"/>
    <w:rsid w:val="00A14AE3"/>
    <w:rsid w:val="00A16675"/>
    <w:rsid w:val="00A17766"/>
    <w:rsid w:val="00A22CD6"/>
    <w:rsid w:val="00A22D4B"/>
    <w:rsid w:val="00A234EC"/>
    <w:rsid w:val="00A236D2"/>
    <w:rsid w:val="00A2417A"/>
    <w:rsid w:val="00A27804"/>
    <w:rsid w:val="00A31920"/>
    <w:rsid w:val="00A32FDA"/>
    <w:rsid w:val="00A36AB5"/>
    <w:rsid w:val="00A37252"/>
    <w:rsid w:val="00A37DDA"/>
    <w:rsid w:val="00A411D1"/>
    <w:rsid w:val="00A41566"/>
    <w:rsid w:val="00A43389"/>
    <w:rsid w:val="00A43C40"/>
    <w:rsid w:val="00A43E71"/>
    <w:rsid w:val="00A45753"/>
    <w:rsid w:val="00A47B15"/>
    <w:rsid w:val="00A47E47"/>
    <w:rsid w:val="00A52F84"/>
    <w:rsid w:val="00A536A1"/>
    <w:rsid w:val="00A56AA4"/>
    <w:rsid w:val="00A56B05"/>
    <w:rsid w:val="00A57678"/>
    <w:rsid w:val="00A60E2F"/>
    <w:rsid w:val="00A61C03"/>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3953"/>
    <w:rsid w:val="00A840C5"/>
    <w:rsid w:val="00A903B6"/>
    <w:rsid w:val="00A90F4F"/>
    <w:rsid w:val="00A947AA"/>
    <w:rsid w:val="00A96748"/>
    <w:rsid w:val="00A96FD9"/>
    <w:rsid w:val="00AA0500"/>
    <w:rsid w:val="00AA1B53"/>
    <w:rsid w:val="00AA3556"/>
    <w:rsid w:val="00AA35FD"/>
    <w:rsid w:val="00AA3DB7"/>
    <w:rsid w:val="00AA72C6"/>
    <w:rsid w:val="00AB2DFA"/>
    <w:rsid w:val="00AB3012"/>
    <w:rsid w:val="00AB321C"/>
    <w:rsid w:val="00AB3DEF"/>
    <w:rsid w:val="00AB42E2"/>
    <w:rsid w:val="00AB688F"/>
    <w:rsid w:val="00AB75EA"/>
    <w:rsid w:val="00AB7AA2"/>
    <w:rsid w:val="00AC424A"/>
    <w:rsid w:val="00AC4BC1"/>
    <w:rsid w:val="00AC588F"/>
    <w:rsid w:val="00AC5E4B"/>
    <w:rsid w:val="00AD04BD"/>
    <w:rsid w:val="00AD1A03"/>
    <w:rsid w:val="00AD2589"/>
    <w:rsid w:val="00AD38FC"/>
    <w:rsid w:val="00AD7011"/>
    <w:rsid w:val="00AD7214"/>
    <w:rsid w:val="00AE1066"/>
    <w:rsid w:val="00AE19D8"/>
    <w:rsid w:val="00AE4518"/>
    <w:rsid w:val="00AE5D7F"/>
    <w:rsid w:val="00AE79F0"/>
    <w:rsid w:val="00AE7D44"/>
    <w:rsid w:val="00AF18BC"/>
    <w:rsid w:val="00AF4FE7"/>
    <w:rsid w:val="00AF6EC1"/>
    <w:rsid w:val="00AF7CF5"/>
    <w:rsid w:val="00B00331"/>
    <w:rsid w:val="00B0116D"/>
    <w:rsid w:val="00B01A80"/>
    <w:rsid w:val="00B07C27"/>
    <w:rsid w:val="00B10DE1"/>
    <w:rsid w:val="00B10FF8"/>
    <w:rsid w:val="00B111B9"/>
    <w:rsid w:val="00B11BC8"/>
    <w:rsid w:val="00B15768"/>
    <w:rsid w:val="00B203C4"/>
    <w:rsid w:val="00B221F4"/>
    <w:rsid w:val="00B22995"/>
    <w:rsid w:val="00B22E81"/>
    <w:rsid w:val="00B23996"/>
    <w:rsid w:val="00B23CB2"/>
    <w:rsid w:val="00B2561A"/>
    <w:rsid w:val="00B25A64"/>
    <w:rsid w:val="00B32AB3"/>
    <w:rsid w:val="00B34E7C"/>
    <w:rsid w:val="00B368EA"/>
    <w:rsid w:val="00B37527"/>
    <w:rsid w:val="00B37EEF"/>
    <w:rsid w:val="00B40704"/>
    <w:rsid w:val="00B43FC2"/>
    <w:rsid w:val="00B47485"/>
    <w:rsid w:val="00B518C3"/>
    <w:rsid w:val="00B55185"/>
    <w:rsid w:val="00B6104F"/>
    <w:rsid w:val="00B61923"/>
    <w:rsid w:val="00B621D6"/>
    <w:rsid w:val="00B62914"/>
    <w:rsid w:val="00B64F6B"/>
    <w:rsid w:val="00B65D6F"/>
    <w:rsid w:val="00B67552"/>
    <w:rsid w:val="00B67C23"/>
    <w:rsid w:val="00B67CAC"/>
    <w:rsid w:val="00B75735"/>
    <w:rsid w:val="00B76B0F"/>
    <w:rsid w:val="00B77142"/>
    <w:rsid w:val="00B7766E"/>
    <w:rsid w:val="00B80A2C"/>
    <w:rsid w:val="00B81F60"/>
    <w:rsid w:val="00B824D6"/>
    <w:rsid w:val="00B83F8E"/>
    <w:rsid w:val="00B841AC"/>
    <w:rsid w:val="00B865B0"/>
    <w:rsid w:val="00B90780"/>
    <w:rsid w:val="00B918B8"/>
    <w:rsid w:val="00B9240D"/>
    <w:rsid w:val="00B94BB8"/>
    <w:rsid w:val="00B94C15"/>
    <w:rsid w:val="00B95E5A"/>
    <w:rsid w:val="00B96B27"/>
    <w:rsid w:val="00BA22A8"/>
    <w:rsid w:val="00BA3E48"/>
    <w:rsid w:val="00BA4BF8"/>
    <w:rsid w:val="00BA7C61"/>
    <w:rsid w:val="00BB1EB3"/>
    <w:rsid w:val="00BB2678"/>
    <w:rsid w:val="00BB3041"/>
    <w:rsid w:val="00BC2343"/>
    <w:rsid w:val="00BC76D5"/>
    <w:rsid w:val="00BD18B8"/>
    <w:rsid w:val="00BD30C8"/>
    <w:rsid w:val="00BD3EB4"/>
    <w:rsid w:val="00BD5C65"/>
    <w:rsid w:val="00BE01CA"/>
    <w:rsid w:val="00BE308A"/>
    <w:rsid w:val="00BE6018"/>
    <w:rsid w:val="00BF1DD5"/>
    <w:rsid w:val="00BF1F57"/>
    <w:rsid w:val="00BF3EA0"/>
    <w:rsid w:val="00BF4086"/>
    <w:rsid w:val="00BF426C"/>
    <w:rsid w:val="00BF4474"/>
    <w:rsid w:val="00BF460D"/>
    <w:rsid w:val="00BF58D0"/>
    <w:rsid w:val="00BF7D6A"/>
    <w:rsid w:val="00C013E1"/>
    <w:rsid w:val="00C01611"/>
    <w:rsid w:val="00C01C01"/>
    <w:rsid w:val="00C02C6D"/>
    <w:rsid w:val="00C02D59"/>
    <w:rsid w:val="00C030B6"/>
    <w:rsid w:val="00C03284"/>
    <w:rsid w:val="00C04855"/>
    <w:rsid w:val="00C050D7"/>
    <w:rsid w:val="00C05B5F"/>
    <w:rsid w:val="00C104CC"/>
    <w:rsid w:val="00C130C1"/>
    <w:rsid w:val="00C152FE"/>
    <w:rsid w:val="00C16739"/>
    <w:rsid w:val="00C22CCE"/>
    <w:rsid w:val="00C23BA2"/>
    <w:rsid w:val="00C25D0C"/>
    <w:rsid w:val="00C319CF"/>
    <w:rsid w:val="00C32AF2"/>
    <w:rsid w:val="00C33204"/>
    <w:rsid w:val="00C338EB"/>
    <w:rsid w:val="00C33E2E"/>
    <w:rsid w:val="00C3465D"/>
    <w:rsid w:val="00C379E9"/>
    <w:rsid w:val="00C37E98"/>
    <w:rsid w:val="00C42431"/>
    <w:rsid w:val="00C43215"/>
    <w:rsid w:val="00C439FB"/>
    <w:rsid w:val="00C43F23"/>
    <w:rsid w:val="00C4675D"/>
    <w:rsid w:val="00C467F0"/>
    <w:rsid w:val="00C477A2"/>
    <w:rsid w:val="00C50011"/>
    <w:rsid w:val="00C503D3"/>
    <w:rsid w:val="00C52F90"/>
    <w:rsid w:val="00C5444F"/>
    <w:rsid w:val="00C56857"/>
    <w:rsid w:val="00C6069A"/>
    <w:rsid w:val="00C62509"/>
    <w:rsid w:val="00C645E6"/>
    <w:rsid w:val="00C64D82"/>
    <w:rsid w:val="00C64FBC"/>
    <w:rsid w:val="00C65A83"/>
    <w:rsid w:val="00C67DCB"/>
    <w:rsid w:val="00C736BB"/>
    <w:rsid w:val="00C737E8"/>
    <w:rsid w:val="00C80F23"/>
    <w:rsid w:val="00C81151"/>
    <w:rsid w:val="00C81746"/>
    <w:rsid w:val="00C82CC6"/>
    <w:rsid w:val="00C850A3"/>
    <w:rsid w:val="00C85C32"/>
    <w:rsid w:val="00C87568"/>
    <w:rsid w:val="00C87BB7"/>
    <w:rsid w:val="00C90DB6"/>
    <w:rsid w:val="00C9394F"/>
    <w:rsid w:val="00C93B1A"/>
    <w:rsid w:val="00C9504A"/>
    <w:rsid w:val="00C96275"/>
    <w:rsid w:val="00C968F4"/>
    <w:rsid w:val="00C96F5F"/>
    <w:rsid w:val="00CA3977"/>
    <w:rsid w:val="00CA5927"/>
    <w:rsid w:val="00CA79EC"/>
    <w:rsid w:val="00CB39C2"/>
    <w:rsid w:val="00CB44DE"/>
    <w:rsid w:val="00CB4C8C"/>
    <w:rsid w:val="00CB6782"/>
    <w:rsid w:val="00CB7629"/>
    <w:rsid w:val="00CC00EC"/>
    <w:rsid w:val="00CC080A"/>
    <w:rsid w:val="00CC3C04"/>
    <w:rsid w:val="00CC45B7"/>
    <w:rsid w:val="00CC4CB4"/>
    <w:rsid w:val="00CE3C13"/>
    <w:rsid w:val="00CE4499"/>
    <w:rsid w:val="00CE5277"/>
    <w:rsid w:val="00CE6358"/>
    <w:rsid w:val="00CE7FC6"/>
    <w:rsid w:val="00CF0249"/>
    <w:rsid w:val="00CF0C6C"/>
    <w:rsid w:val="00CF2D54"/>
    <w:rsid w:val="00D01324"/>
    <w:rsid w:val="00D02BA5"/>
    <w:rsid w:val="00D03538"/>
    <w:rsid w:val="00D03B67"/>
    <w:rsid w:val="00D049B8"/>
    <w:rsid w:val="00D0516C"/>
    <w:rsid w:val="00D05EE7"/>
    <w:rsid w:val="00D068D0"/>
    <w:rsid w:val="00D078D1"/>
    <w:rsid w:val="00D129A8"/>
    <w:rsid w:val="00D12EC7"/>
    <w:rsid w:val="00D12FB9"/>
    <w:rsid w:val="00D13987"/>
    <w:rsid w:val="00D16A56"/>
    <w:rsid w:val="00D200BD"/>
    <w:rsid w:val="00D22399"/>
    <w:rsid w:val="00D26F6B"/>
    <w:rsid w:val="00D336CE"/>
    <w:rsid w:val="00D33751"/>
    <w:rsid w:val="00D33FBF"/>
    <w:rsid w:val="00D36F6E"/>
    <w:rsid w:val="00D37343"/>
    <w:rsid w:val="00D37D1F"/>
    <w:rsid w:val="00D4205E"/>
    <w:rsid w:val="00D565EC"/>
    <w:rsid w:val="00D61378"/>
    <w:rsid w:val="00D61982"/>
    <w:rsid w:val="00D6226F"/>
    <w:rsid w:val="00D6267A"/>
    <w:rsid w:val="00D674CF"/>
    <w:rsid w:val="00D6766B"/>
    <w:rsid w:val="00D678DF"/>
    <w:rsid w:val="00D67D12"/>
    <w:rsid w:val="00D70923"/>
    <w:rsid w:val="00D74F09"/>
    <w:rsid w:val="00D754C0"/>
    <w:rsid w:val="00D75673"/>
    <w:rsid w:val="00D7585A"/>
    <w:rsid w:val="00D80618"/>
    <w:rsid w:val="00D82494"/>
    <w:rsid w:val="00D83763"/>
    <w:rsid w:val="00D84A4B"/>
    <w:rsid w:val="00D85E13"/>
    <w:rsid w:val="00D8669F"/>
    <w:rsid w:val="00D872A0"/>
    <w:rsid w:val="00D92168"/>
    <w:rsid w:val="00D927B7"/>
    <w:rsid w:val="00D940B5"/>
    <w:rsid w:val="00D95CB0"/>
    <w:rsid w:val="00D977C0"/>
    <w:rsid w:val="00DA00A3"/>
    <w:rsid w:val="00DA13F3"/>
    <w:rsid w:val="00DA27D4"/>
    <w:rsid w:val="00DA2DE3"/>
    <w:rsid w:val="00DA716A"/>
    <w:rsid w:val="00DB1841"/>
    <w:rsid w:val="00DB1F4F"/>
    <w:rsid w:val="00DB2A0D"/>
    <w:rsid w:val="00DB37EE"/>
    <w:rsid w:val="00DB4450"/>
    <w:rsid w:val="00DB7B69"/>
    <w:rsid w:val="00DC234A"/>
    <w:rsid w:val="00DC34E9"/>
    <w:rsid w:val="00DC41E4"/>
    <w:rsid w:val="00DC6697"/>
    <w:rsid w:val="00DC7C77"/>
    <w:rsid w:val="00DC7F19"/>
    <w:rsid w:val="00DD1798"/>
    <w:rsid w:val="00DD2809"/>
    <w:rsid w:val="00DD7E94"/>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5E5"/>
    <w:rsid w:val="00E1082A"/>
    <w:rsid w:val="00E11166"/>
    <w:rsid w:val="00E13182"/>
    <w:rsid w:val="00E15383"/>
    <w:rsid w:val="00E159D0"/>
    <w:rsid w:val="00E1738C"/>
    <w:rsid w:val="00E22D28"/>
    <w:rsid w:val="00E230D7"/>
    <w:rsid w:val="00E230E3"/>
    <w:rsid w:val="00E30EDF"/>
    <w:rsid w:val="00E31FBA"/>
    <w:rsid w:val="00E36AAE"/>
    <w:rsid w:val="00E413A9"/>
    <w:rsid w:val="00E41773"/>
    <w:rsid w:val="00E430D8"/>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342F"/>
    <w:rsid w:val="00E8405D"/>
    <w:rsid w:val="00E847A7"/>
    <w:rsid w:val="00E87C2F"/>
    <w:rsid w:val="00E906B4"/>
    <w:rsid w:val="00E9095B"/>
    <w:rsid w:val="00E90CF1"/>
    <w:rsid w:val="00E9399B"/>
    <w:rsid w:val="00E94008"/>
    <w:rsid w:val="00E94762"/>
    <w:rsid w:val="00E96B52"/>
    <w:rsid w:val="00E97B3C"/>
    <w:rsid w:val="00EA2244"/>
    <w:rsid w:val="00EA2934"/>
    <w:rsid w:val="00EA3F21"/>
    <w:rsid w:val="00EA411E"/>
    <w:rsid w:val="00EA5FC0"/>
    <w:rsid w:val="00EA6FA7"/>
    <w:rsid w:val="00EB067F"/>
    <w:rsid w:val="00EB1F02"/>
    <w:rsid w:val="00EB51FD"/>
    <w:rsid w:val="00EB5BC5"/>
    <w:rsid w:val="00EB72C1"/>
    <w:rsid w:val="00EB760E"/>
    <w:rsid w:val="00EC086C"/>
    <w:rsid w:val="00EC0963"/>
    <w:rsid w:val="00EC32D4"/>
    <w:rsid w:val="00EC42D0"/>
    <w:rsid w:val="00EC4BA3"/>
    <w:rsid w:val="00EC5CE6"/>
    <w:rsid w:val="00EC638F"/>
    <w:rsid w:val="00ED3DCF"/>
    <w:rsid w:val="00EE2ACE"/>
    <w:rsid w:val="00EE4874"/>
    <w:rsid w:val="00EE79A6"/>
    <w:rsid w:val="00EE7FB4"/>
    <w:rsid w:val="00EF0D26"/>
    <w:rsid w:val="00EF0D86"/>
    <w:rsid w:val="00EF22FE"/>
    <w:rsid w:val="00EF601C"/>
    <w:rsid w:val="00EF76AC"/>
    <w:rsid w:val="00EF7BEA"/>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2D4F"/>
    <w:rsid w:val="00F36130"/>
    <w:rsid w:val="00F40444"/>
    <w:rsid w:val="00F423BD"/>
    <w:rsid w:val="00F432FF"/>
    <w:rsid w:val="00F4715C"/>
    <w:rsid w:val="00F54869"/>
    <w:rsid w:val="00F556B2"/>
    <w:rsid w:val="00F57187"/>
    <w:rsid w:val="00F574E5"/>
    <w:rsid w:val="00F5754B"/>
    <w:rsid w:val="00F576DE"/>
    <w:rsid w:val="00F63BF7"/>
    <w:rsid w:val="00F65617"/>
    <w:rsid w:val="00F710BE"/>
    <w:rsid w:val="00F72CEF"/>
    <w:rsid w:val="00F736D2"/>
    <w:rsid w:val="00F7564C"/>
    <w:rsid w:val="00F76220"/>
    <w:rsid w:val="00F769BE"/>
    <w:rsid w:val="00F76A8A"/>
    <w:rsid w:val="00F81207"/>
    <w:rsid w:val="00F82E6B"/>
    <w:rsid w:val="00F94B4D"/>
    <w:rsid w:val="00F951CF"/>
    <w:rsid w:val="00F97B71"/>
    <w:rsid w:val="00FA1925"/>
    <w:rsid w:val="00FA2DDA"/>
    <w:rsid w:val="00FA34CA"/>
    <w:rsid w:val="00FA3CC8"/>
    <w:rsid w:val="00FA45BA"/>
    <w:rsid w:val="00FA4A55"/>
    <w:rsid w:val="00FA4D4F"/>
    <w:rsid w:val="00FA54E8"/>
    <w:rsid w:val="00FA5CA2"/>
    <w:rsid w:val="00FB2D17"/>
    <w:rsid w:val="00FB2F69"/>
    <w:rsid w:val="00FB39F7"/>
    <w:rsid w:val="00FB3BCA"/>
    <w:rsid w:val="00FB45FF"/>
    <w:rsid w:val="00FB47E0"/>
    <w:rsid w:val="00FB4AE7"/>
    <w:rsid w:val="00FB5D97"/>
    <w:rsid w:val="00FB7363"/>
    <w:rsid w:val="00FB757E"/>
    <w:rsid w:val="00FC1CA5"/>
    <w:rsid w:val="00FC2979"/>
    <w:rsid w:val="00FC45F4"/>
    <w:rsid w:val="00FC4DDD"/>
    <w:rsid w:val="00FD1C3C"/>
    <w:rsid w:val="00FD38A8"/>
    <w:rsid w:val="00FD6AC8"/>
    <w:rsid w:val="00FD7298"/>
    <w:rsid w:val="00FD7CF6"/>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11266"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Strong" w:qFormat="1" w:uiPriority="22"/>
    <w:lsdException w:name="Emphasis" w:qFormat="1"/>
    <w:lsdException w:name="Table Grid"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Char"/>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6" w:type="paragraph">
    <w:name w:val="footer"/>
    <w:basedOn w:val="a"/>
    <w:rsid w:val="00EB72C1"/>
    <w:pPr>
      <w:tabs>
        <w:tab w:pos="4153" w:val="center"/>
        <w:tab w:pos="8306" w:val="right"/>
      </w:tabs>
      <w:snapToGrid w:val="0"/>
      <w:jc w:val="left"/>
    </w:pPr>
    <w:rPr>
      <w:sz w:val="18"/>
      <w:szCs w:val="18"/>
    </w:rPr>
  </w:style>
  <w:style w:styleId="a7" w:type="character">
    <w:name w:val="page number"/>
    <w:basedOn w:val="a1"/>
    <w:rsid w:val="00EB72C1"/>
  </w:style>
  <w:style w:styleId="a8"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9" w:type="paragraph">
    <w:name w:val="header"/>
    <w:basedOn w:val="a"/>
    <w:link w:val="Char0"/>
    <w:uiPriority w:val="99"/>
    <w:rsid w:val="00EB72C1"/>
    <w:pPr>
      <w:pBdr>
        <w:bottom w:color="auto" w:space="1" w:sz="6" w:val="single"/>
      </w:pBdr>
      <w:tabs>
        <w:tab w:pos="4153" w:val="center"/>
        <w:tab w:pos="8306" w:val="right"/>
      </w:tabs>
      <w:snapToGrid w:val="0"/>
      <w:jc w:val="center"/>
    </w:pPr>
    <w:rPr>
      <w:sz w:val="18"/>
      <w:szCs w:val="18"/>
    </w:rPr>
  </w:style>
  <w:style w:styleId="aa" w:type="character">
    <w:name w:val="FollowedHyperlink"/>
    <w:rsid w:val="00EB72C1"/>
    <w:rPr>
      <w:color w:val="800080"/>
      <w:u w:val="single"/>
    </w:rPr>
  </w:style>
  <w:style w:styleId="ab" w:type="paragraph">
    <w:name w:val="List"/>
    <w:basedOn w:val="ac"/>
    <w:rsid w:val="00EB72C1"/>
    <w:pPr>
      <w:spacing w:after="220" w:line="220" w:lineRule="atLeast"/>
      <w:ind w:hanging="360" w:left="1440"/>
    </w:pPr>
    <w:rPr>
      <w:szCs w:val="20"/>
    </w:rPr>
  </w:style>
  <w:style w:styleId="ac" w:type="paragraph">
    <w:name w:val="Body Text"/>
    <w:basedOn w:val="a"/>
    <w:rsid w:val="00EB72C1"/>
    <w:pPr>
      <w:spacing w:after="120"/>
    </w:pPr>
  </w:style>
  <w:style w:styleId="ad" w:type="paragraph">
    <w:name w:val="Date"/>
    <w:basedOn w:val="a"/>
    <w:next w:val="a"/>
    <w:link w:val="Char1"/>
    <w:rsid w:val="00EB72C1"/>
    <w:rPr>
      <w:sz w:val="24"/>
      <w:szCs w:val="20"/>
    </w:rPr>
  </w:style>
  <w:style w:customStyle="1" w:styleId="c1" w:type="character">
    <w:name w:val="c1"/>
    <w:rsid w:val="00EB72C1"/>
    <w:rPr>
      <w:color w:val="000000"/>
      <w:sz w:val="18"/>
      <w:szCs w:val="18"/>
    </w:rPr>
  </w:style>
  <w:style w:styleId="10"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semiHidden/>
    <w:rsid w:val="00EB72C1"/>
    <w:rPr>
      <w:sz w:val="18"/>
      <w:szCs w:val="18"/>
    </w:rPr>
  </w:style>
  <w:style w:styleId="af" w:type="character">
    <w:name w:val="annotation reference"/>
    <w:semiHidden/>
    <w:rsid w:val="00EB72C1"/>
    <w:rPr>
      <w:sz w:val="21"/>
      <w:szCs w:val="21"/>
    </w:rPr>
  </w:style>
  <w:style w:styleId="af0" w:type="paragraph">
    <w:name w:val="annotation text"/>
    <w:basedOn w:val="a"/>
    <w:semiHidden/>
    <w:rsid w:val="00EB72C1"/>
    <w:pPr>
      <w:jc w:val="left"/>
    </w:pPr>
  </w:style>
  <w:style w:styleId="af1" w:type="paragraph">
    <w:name w:val="annotation subject"/>
    <w:basedOn w:val="af0"/>
    <w:next w:val="af0"/>
    <w:semiHidden/>
    <w:rsid w:val="00EB72C1"/>
    <w:rPr>
      <w:b/>
      <w:bCs/>
    </w:rPr>
  </w:style>
  <w:style w:customStyle="1" w:styleId="Char2" w:type="paragraph">
    <w:name w:val="Char"/>
    <w:basedOn w:val="a"/>
    <w:rsid w:val="00EB72C1"/>
  </w:style>
  <w:style w:styleId="af2" w:type="paragraph">
    <w:name w:val="Document Map"/>
    <w:basedOn w:val="a"/>
    <w:semiHidden/>
    <w:rsid w:val="000A549A"/>
    <w:pPr>
      <w:shd w:color="auto" w:fill="000080" w:val="clear"/>
    </w:pPr>
  </w:style>
  <w:style w:customStyle="1" w:styleId="af3"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4" w:type="paragraph">
    <w:name w:val="footnote text"/>
    <w:basedOn w:val="a"/>
    <w:semiHidden/>
    <w:rsid w:val="00547D9C"/>
    <w:pPr>
      <w:snapToGrid w:val="0"/>
      <w:jc w:val="left"/>
    </w:pPr>
    <w:rPr>
      <w:sz w:val="18"/>
      <w:szCs w:val="18"/>
    </w:rPr>
  </w:style>
  <w:style w:styleId="af5" w:type="character">
    <w:name w:val="footnote reference"/>
    <w:semiHidden/>
    <w:rsid w:val="00547D9C"/>
    <w:rPr>
      <w:vertAlign w:val="superscript"/>
    </w:rPr>
  </w:style>
  <w:style w:styleId="af6" w:type="paragraph">
    <w:name w:val="Normal (Web)"/>
    <w:basedOn w:val="a"/>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3"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Char" w:type="character">
    <w:name w:val="纯文本 Char"/>
    <w:link w:val="a5"/>
    <w:uiPriority w:val="99"/>
    <w:rsid w:val="00A96FD9"/>
    <w:rPr>
      <w:rFonts w:ascii="宋体" w:hAnsi="Courier New"/>
      <w:kern w:val="2"/>
      <w:sz w:val="21"/>
      <w:szCs w:val="21"/>
    </w:rPr>
  </w:style>
  <w:style w:customStyle="1" w:styleId="Char0" w:type="character">
    <w:name w:val="页眉 Char"/>
    <w:basedOn w:val="a1"/>
    <w:link w:val="a9"/>
    <w:uiPriority w:val="99"/>
    <w:rsid w:val="001D1356"/>
    <w:rPr>
      <w:kern w:val="2"/>
      <w:sz w:val="18"/>
      <w:szCs w:val="18"/>
    </w:rPr>
  </w:style>
  <w:style w:customStyle="1" w:styleId="1Char" w:type="character">
    <w:name w:val="标题 1 Char"/>
    <w:basedOn w:val="a1"/>
    <w:link w:val="1"/>
    <w:rsid w:val="00A7634D"/>
    <w:rPr>
      <w:b/>
      <w:bCs/>
      <w:kern w:val="44"/>
      <w:sz w:val="44"/>
      <w:szCs w:val="44"/>
    </w:rPr>
  </w:style>
  <w:style w:customStyle="1" w:styleId="Char1" w:type="character">
    <w:name w:val="日期 Char"/>
    <w:basedOn w:val="a1"/>
    <w:link w:val="ad"/>
    <w:rsid w:val="00C503D3"/>
    <w:rPr>
      <w:kern w:val="2"/>
      <w:sz w:val="24"/>
    </w:rPr>
  </w:style>
  <w:style w:styleId="af8" w:type="character">
    <w:name w:val="Strong"/>
    <w:basedOn w:val="a1"/>
    <w:uiPriority w:val="22"/>
    <w:qFormat/>
    <w:rsid w:val="00E97B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rPr>
      <w:color w:val="0000FF"/>
      <w:u w:val="single"/>
    </w:rPr>
  </w:style>
  <w:style w:type="paragraph" w:styleId="3">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a">
    <w:name w:val="FollowedHyperlink"/>
    <w:rPr>
      <w:color w:val="800080"/>
      <w:u w:val="single"/>
    </w:rPr>
  </w:style>
  <w:style w:type="paragraph" w:styleId="ab">
    <w:name w:val="List"/>
    <w:basedOn w:val="ac"/>
    <w:pPr>
      <w:spacing w:after="220" w:line="220" w:lineRule="atLeast"/>
      <w:ind w:left="1440" w:hanging="360"/>
    </w:pPr>
    <w:rPr>
      <w:szCs w:val="20"/>
    </w:rPr>
  </w:style>
  <w:style w:type="paragraph" w:styleId="ac">
    <w:name w:val="Body Text"/>
    <w:basedOn w:val="a"/>
    <w:pPr>
      <w:spacing w:after="120"/>
    </w:pPr>
  </w:style>
  <w:style w:type="paragraph" w:styleId="ad">
    <w:name w:val="Date"/>
    <w:basedOn w:val="a"/>
    <w:next w:val="a"/>
    <w:link w:val="Char1"/>
    <w:rPr>
      <w:sz w:val="24"/>
      <w:szCs w:val="20"/>
    </w:rPr>
  </w:style>
  <w:style w:type="character" w:customStyle="1" w:styleId="c1">
    <w:name w:val="c1"/>
    <w:rPr>
      <w:color w:val="000000"/>
      <w:sz w:val="18"/>
      <w:szCs w:val="18"/>
    </w:rPr>
  </w:style>
  <w:style w:type="paragraph" w:styleId="10">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Pr>
      <w:sz w:val="18"/>
      <w:szCs w:val="18"/>
    </w:rPr>
  </w:style>
  <w:style w:type="character" w:styleId="af">
    <w:name w:val="annotation reference"/>
    <w:semiHidden/>
    <w:rPr>
      <w:sz w:val="21"/>
      <w:szCs w:val="21"/>
    </w:r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customStyle="1" w:styleId="Char2">
    <w:name w:val="Char"/>
    <w:basedOn w:val="a"/>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rsid w:val="00C503D3"/>
    <w:rPr>
      <w:kern w:val="2"/>
      <w:sz w:val="24"/>
    </w:rPr>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media/image1.jpeg" Type="http://schemas.openxmlformats.org/officeDocument/2006/relationships/image"/>
<Relationship Id="rId14" Target="header4.xml" Type="http://schemas.openxmlformats.org/officeDocument/2006/relationships/header"/>
<Relationship Id="rId15" Target="footer4.xml" Type="http://schemas.openxmlformats.org/officeDocument/2006/relationships/footer"/>
<Relationship Id="rId16" Target="header5.xml" Type="http://schemas.openxmlformats.org/officeDocument/2006/relationships/header"/>
<Relationship Id="rId17" Target="footer5.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20"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settings.xml.rels><?xml version="1.0" encoding="UTF-8" standalone="yes"?>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103</TotalTime>
  <Pages>19</Pages>
  <Words>3075</Words>
  <Characters>17533</Characters>
  <Application>Microsoft Office Word</Application>
  <DocSecurity>0</DocSecurity>
  <Lines>146</Lines>
  <Paragraphs>41</Paragraphs>
  <ScaleCrop>false</ScaleCrop>
  <Company>TRT. Ltd. Co.</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2013-08-01T05:26:00Z</dcterms:created>
  <dc:creator>bonnieliu</dc:creator>
  <cp:lastModifiedBy>Administrator</cp:lastModifiedBy>
  <cp:lastPrinted>2007-07-19T00:46:00Z</cp:lastPrinted>
  <dcterms:modified xsi:type="dcterms:W3CDTF">2018-09-13T02:59:00Z</dcterms:modified>
  <cp:revision>240</cp:revision>
</cp:coreProperties>
</file>