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交银施罗德先进制造混合型证券投资基金</w:t>
      </w:r>
    </w:p>
    <w:p w:rsidP="00C15CAC" w:rsidR="002279D3" w:rsidRDefault="002279D3" w:rsidRPr="0081286B">
      <w:pPr>
        <w:spacing w:before="29" w:line="288" w:lineRule="auto"/>
        <w:jc w:val="center"/>
        <w:rPr>
          <w:b/>
          <w:sz w:val="36"/>
          <w:szCs w:val="36"/>
        </w:rPr>
      </w:pPr>
      <w:r w:rsidRPr="0081286B">
        <w:rPr>
          <w:b/>
          <w:sz w:val="36"/>
          <w:szCs w:val="36"/>
        </w:rPr>
        <w:t>2019年第1季度报告</w:t>
      </w:r>
    </w:p>
    <w:p w:rsidP="00C15CAC" w:rsidR="004061AC" w:rsidRDefault="00655CD8" w:rsidRPr="0081286B">
      <w:pPr>
        <w:spacing w:before="29" w:line="288" w:lineRule="auto"/>
        <w:jc w:val="center"/>
        <w:rPr>
          <w:b/>
          <w:sz w:val="36"/>
          <w:szCs w:val="36"/>
        </w:rPr>
      </w:pPr>
      <w:r w:rsidRPr="0081286B">
        <w:rPr>
          <w:b/>
          <w:sz w:val="36"/>
          <w:szCs w:val="36"/>
        </w:rPr>
        <w:t>2019年3月31日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中国农业银行股份有限公司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二〇一九年四月二十日</w:t>
      </w:r>
    </w:p>
    <w:p w:rsidP="0011537B" w:rsidR="004061AC" w:rsidRDefault="004061AC" w:rsidRPr="00414345">
      <w:pPr>
        <w:pStyle w:val="1"/>
        <w:spacing w:afterLines="100"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基金托管人中国农业银行股份有限公司根据本基金合同规定，于2019年4月19日复核了本报告中的财务指标、净值表现和投资组合报告等内容，保证复核内容不存在虚假记载、误导性陈述或者重大遗漏。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本报告期自2019年1月1日起至3月31日止。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交银先进制造混合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519704</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2922"/>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519704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type="dxa" w:w="29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519705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2011年6月22日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1,027,407,921.98</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本基金通过重点投资于与先进制造主题相关的优质企业，把握中国产业结构升级的投资机会，在控制风险并保持基金资产良好的流动性的前提下，力争实现基金资产的长期稳定增值。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自下而上挖掘与先进制造主题相关的上市公司投资机会，以谋求良好收益。其中，本基金所指的先进制造，是指在中国经济和制造行业转型升级的大背景下，立足我国国情和科技、产业基础，通过信息化与工业化的深度融合，运用先进的科技技术、材料工艺以及生产方式，推进制造行业生产过程智能化、自动化和制造领域的互联网化，全面提升企业研发、生产、管理和服务水平等。</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60%×沪深300指数收益率+40%×中证综合债券指数收益率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本基金是一只混合型基金，其预期风险和预期收益高于债券型基金和货币市场基金，低于股票型基金。</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本基金业绩比较基准自2018年3月21日起，由“75%×申银万国装备制造指数收益率+25%×中证综合债券指数收益率”变更为“60%×沪深300指数收益率+40%×中证综合债券指数收益率”，详情见本基金管理人于2018年3月21日发布的《交银施罗德基金管理有限公司关于交银施罗德先进制造混合型证券投资基金基金份额持有人大会表决结果暨决议生效的公告》。</w:t>
      </w:r>
    </w:p>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(2019年1月1日-2019年3月31日)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304,535,839.08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604,570,711.96</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0.4774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2,018,178,090.13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1.964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31.11%</w:t>
            </w:r>
          </w:p>
        </w:tc>
        <w:tc>
          <w:tcPr>
            <w:vAlign w:val="center"/>
          </w:tcPr>
          <w:p>
            <w:pPr>
              <w:jc w:val="center"/>
            </w:pPr>
            <w:r>
              <w:rPr>
                <w:color w:val="000000"/>
                <w:sz w:val="24"/>
                <w:szCs w:val="24"/>
              </w:rPr>
              <w:t>1.48%</w:t>
            </w:r>
          </w:p>
        </w:tc>
        <w:tc>
          <w:tcPr>
            <w:vAlign w:val="center"/>
          </w:tcPr>
          <w:p>
            <w:pPr>
              <w:jc w:val="center"/>
            </w:pPr>
            <w:r>
              <w:rPr>
                <w:color w:val="000000"/>
                <w:sz w:val="24"/>
                <w:szCs w:val="24"/>
              </w:rPr>
              <w:t>17.14%</w:t>
            </w:r>
          </w:p>
        </w:tc>
        <w:tc>
          <w:tcPr>
            <w:vAlign w:val="center"/>
          </w:tcPr>
          <w:p>
            <w:pPr>
              <w:jc w:val="center"/>
            </w:pPr>
            <w:r>
              <w:rPr>
                <w:color w:val="000000"/>
                <w:sz w:val="24"/>
                <w:szCs w:val="24"/>
              </w:rPr>
              <w:t>0.93%</w:t>
            </w:r>
          </w:p>
        </w:tc>
        <w:tc>
          <w:tcPr>
            <w:vAlign w:val="center"/>
          </w:tcPr>
          <w:p>
            <w:pPr>
              <w:jc w:val="center"/>
            </w:pPr>
            <w:r>
              <w:rPr>
                <w:color w:val="000000"/>
                <w:sz w:val="24"/>
                <w:szCs w:val="24"/>
              </w:rPr>
              <w:t>13.97%</w:t>
            </w:r>
          </w:p>
        </w:tc>
        <w:tc>
          <w:tcPr>
            <w:vAlign w:val="center"/>
          </w:tcPr>
          <w:p>
            <w:pPr>
              <w:jc w:val="center"/>
            </w:pPr>
            <w:r>
              <w:rPr>
                <w:color w:val="000000"/>
                <w:sz w:val="24"/>
                <w:szCs w:val="24"/>
              </w:rPr>
              <w:t>0.55%</w:t>
            </w:r>
          </w:p>
        </w:tc>
      </w:tr>
    </w:tbl>
    <w:p>
      <w:pPr>
        <w:autoSpaceDE w:val="0"/>
        <w:autoSpaceDN w:val="0"/>
        <w:adjustRightInd w:val="0"/>
        <w:spacing w:before="29" w:line="288" w:lineRule="auto"/>
        <w:jc w:val="left"/>
        <w:rPr>
          <w:color w:val="000000"/>
          <w:sz w:val="24"/>
          <w:szCs w:val="24"/>
        </w:rPr>
      </w:pPr>
      <w:r>
        <w:rPr>
          <w:color w:val="000000"/>
          <w:sz w:val="24"/>
          <w:szCs w:val="24"/>
        </w:rPr>
        <w:t>注：1、本基金业绩比较基准自2015年10月1日起，由“75%×申银万国装备制造指数收益率+25%×中信标普全债指数收益率”变更为“75%×申银万国装备制造指数收益率+25%×中证综合债券指数收益率”，3.2.2同。详情见本基金管理人于2015年9月28日发布的《交银施罗德基金管理有限公司关于旗下部分基金业绩比较基准变更并修改基金合同相关内容的公告》。</w:t>
      </w:r>
    </w:p>
    <w:p w:rsidP="00C15CAC" w:rsidR="004061AC" w:rsidRDefault="003F39DF"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基金业绩比较基准自2018年3月21日起，由“75%×申银万国装备制造指数收益率+25%×中证综合债券指数收益率”变更为“60%×沪深300指数收益率+40%×中证综合债券指数收益率”，3.2.2同。详情见本基金管理人于2018年3月21日发布的《交银施罗德基金管理有限公司关于交银施罗德先进制造混合型证券投资基金基金份额持有人大会表决结果暨决议生效的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交银施罗德先进制造混合型证券投资基金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2011年6月22日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2019年3月31日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刘鹏</w:t>
            </w:r>
          </w:p>
        </w:tc>
        <w:tc>
          <w:tcPr>
            <w:vAlign w:val="center"/>
          </w:tcPr>
          <w:p>
            <w:pPr>
              <w:jc w:val="center"/>
            </w:pPr>
            <w:r>
              <w:rPr>
                <w:color w:val="000000"/>
                <w:sz w:val="24"/>
                <w:szCs w:val="24"/>
              </w:rPr>
              <w:t>交银先进制造混合的基金经理</w:t>
            </w:r>
          </w:p>
        </w:tc>
        <w:tc>
          <w:tcPr>
            <w:vAlign w:val="center"/>
          </w:tcPr>
          <w:p>
            <w:pPr>
              <w:jc w:val="center"/>
            </w:pPr>
            <w:r>
              <w:rPr>
                <w:color w:val="000000"/>
                <w:sz w:val="24"/>
                <w:szCs w:val="24"/>
              </w:rPr>
              <w:t>2018-05-29</w:t>
            </w:r>
          </w:p>
        </w:tc>
        <w:tc>
          <w:tcPr>
            <w:vAlign w:val="center"/>
          </w:tcPr>
          <w:p>
            <w:pPr>
              <w:jc w:val="center"/>
            </w:pPr>
            <w:r>
              <w:rPr>
                <w:color w:val="000000"/>
                <w:sz w:val="24"/>
                <w:szCs w:val="24"/>
              </w:rPr>
              <w:t>-</w:t>
            </w:r>
          </w:p>
        </w:tc>
        <w:tc>
          <w:tcPr>
            <w:vAlign w:val="center"/>
          </w:tcPr>
          <w:p>
            <w:pPr>
              <w:jc w:val="center"/>
            </w:pPr>
            <w:r>
              <w:rPr>
                <w:color w:val="000000"/>
                <w:sz w:val="24"/>
                <w:szCs w:val="24"/>
              </w:rPr>
              <w:t>5年</w:t>
            </w:r>
          </w:p>
        </w:tc>
        <w:tc>
          <w:tcPr>
            <w:vAlign w:val="center"/>
          </w:tcPr>
          <w:p>
            <w:pPr>
              <w:jc w:val="both"/>
            </w:pPr>
            <w:r>
              <w:rPr>
                <w:color w:val="000000"/>
                <w:sz w:val="24"/>
                <w:szCs w:val="24"/>
              </w:rPr>
              <w:t>刘鹏先生，中国人民大学金融学硕士，北京理工大学经济学学士。2014年6月加入交银施罗德基金管理有限公司，历任行业分析师。</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2018年底、2019年初的政策底已经明晰，资本市场被提升到前所未有的国家战略高度，低利率的环境持续。在以上政策和流动性的背景下，外资流入和科创板倒计时，分别提升了蓝筹和中小创的风险偏好。2019年一季度市场各大指数均出现显著上涨，量能持续扩张。</w:t>
      </w:r>
    </w:p>
    <w:p>
      <w:pPr>
        <w:spacing w:before="29" w:line="288" w:lineRule="auto"/>
        <w:ind w:firstLine="480" w:firstLineChars="200"/>
        <w:rPr>
          <w:color w:val="000000"/>
          <w:sz w:val="24"/>
          <w:szCs w:val="24"/>
        </w:rPr>
      </w:pPr>
      <w:r>
        <w:rPr>
          <w:color w:val="000000"/>
          <w:sz w:val="24"/>
          <w:szCs w:val="24"/>
        </w:rPr>
        <w:t>从经济基本面来看，中国经济在2019年一季度显著修复了2018年下半年的悲观预期，观察到各行业积极补库存，出现季度级别的库存周期，伴以社融和信贷的企稳。但从调整时间的角度来看，周期向下的力量释放未必充分，经济中期的韧性还有待观察。</w:t>
      </w:r>
    </w:p>
    <w:p>
      <w:pPr>
        <w:spacing w:before="29" w:line="288" w:lineRule="auto"/>
        <w:ind w:firstLine="480" w:firstLineChars="200"/>
        <w:rPr>
          <w:color w:val="000000"/>
          <w:sz w:val="24"/>
          <w:szCs w:val="24"/>
        </w:rPr>
      </w:pPr>
      <w:r>
        <w:rPr>
          <w:color w:val="000000"/>
          <w:sz w:val="24"/>
          <w:szCs w:val="24"/>
        </w:rPr>
        <w:t>市场估值来看，一季度的上涨过后各大指数的估值水平与历史相比并不算高，其中穿越周期的成长股估值性价比仍然很高，也有部分随着2018年下半年悲观预期大幅下跌的板块没有充分修复，投资机会仍然存在。</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2019年二季度，我们依然看好中长期中国制造的持续升级,在贸易战背景下一批具备全球竞争力的企业已经在2018年下半年的考验中展现出卓越的竞争优势，本基金将以此为主线选择和储备标的，力求控制好业绩回撤，努力为持有人取得稳健回报。</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 主要财务指标” 及“3.2.1本报告期基金份额净值增长率及其与同期业绩比较基准收益率的比较”部分披露。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rsidRPr="007B5F21">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tbl>
      <w:tblPr>
        <w:tblStyle w:val="af7"/>
        <w:tblW w:type="dxa" w:w="8897"/>
        <w:tblInd w:type="dxa" w:w="108"/>
        <w:tblLayout w:type="fixed"/>
        <w:tblLook w:val="04A0"/>
      </w:tblPr>
      <w:tblGrid>
        <w:gridCol w:w="720"/>
        <w:gridCol w:w="2824"/>
        <w:gridCol w:w="2552"/>
        <w:gridCol w:w="2801"/>
      </w:tblGrid>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824"/>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r w:rsidRPr="007B5F21">
              <w:rPr>
                <w:rFonts w:eastAsiaTheme="minorEastAsia"/>
                <w:color w:themeColor="text1" w:val="000000"/>
                <w:sz w:val="24"/>
                <w:szCs w:val="24"/>
              </w:rPr>
              <w:t>(</w:t>
            </w:r>
            <w:r w:rsidRPr="007B5F21">
              <w:rPr>
                <w:rFonts w:eastAsiaTheme="minorEastAsia"/>
                <w:color w:themeColor="text1" w:val="000000"/>
                <w:sz w:val="24"/>
                <w:szCs w:val="24"/>
              </w:rPr>
              <w:t>元</w:t>
            </w: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1</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1,711,743,432.74</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83.44</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1,711,743,432.74</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83.44</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113,418,600.00</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5.53</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113,418,600.00</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5.53</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824"/>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186,555,448.98</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9.09</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824"/>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39,695,236.42</w:t>
            </w:r>
          </w:p>
        </w:tc>
        <w:tc>
          <w:tcPr>
            <w:tcW w:type="dxa" w:w="2801"/>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1.94</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824"/>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2,051,412,718.14</w:t>
            </w:r>
          </w:p>
        </w:tc>
        <w:tc>
          <w:tcPr>
            <w:tcW w:type="dxa" w:w="2801"/>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rsidRPr="00F51C4E">
      <w:pPr>
        <w:rPr>
          <w:b/>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公允价值（元）</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lastRenderedPageBreak/>
              <w:t/>
            </w:r>
            <w:r w:rsidRPr="00414345">
              <w:rPr>
                <w:sz w:val="24"/>
                <w:szCs w:val="24"/>
              </w:rPr>
              <w:lastRenderedPageBreak/>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1,277,489,586.50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63.30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16,740,772.10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0.83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96,887,413.98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4.80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40,341,187.48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141,689,494.38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7.02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34,058,965.60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1.69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104,536,012.70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5.18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1,711,743,432.74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84.82</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600967</w:t>
            </w:r>
          </w:p>
        </w:tc>
        <w:tc>
          <w:tcPr>
            <w:vAlign w:val="center"/>
          </w:tcPr>
          <w:p>
            <w:pPr>
              <w:jc w:val="center"/>
            </w:pPr>
            <w:r>
              <w:rPr>
                <w:color w:val="000000"/>
                <w:sz w:val="24"/>
                <w:szCs w:val="24"/>
              </w:rPr>
              <w:t>内蒙一机</w:t>
            </w:r>
          </w:p>
        </w:tc>
        <w:tc>
          <w:tcPr>
            <w:vAlign w:val="center"/>
          </w:tcPr>
          <w:p>
            <w:pPr>
              <w:jc w:val="right"/>
            </w:pPr>
            <w:r>
              <w:rPr>
                <w:color w:val="000000"/>
                <w:sz w:val="24"/>
                <w:szCs w:val="24"/>
              </w:rPr>
              <w:t>12,306,085</w:t>
            </w:r>
          </w:p>
        </w:tc>
        <w:tc>
          <w:tcPr>
            <w:vAlign w:val="center"/>
          </w:tcPr>
          <w:p>
            <w:pPr>
              <w:jc w:val="right"/>
            </w:pPr>
            <w:r>
              <w:rPr>
                <w:color w:val="000000"/>
                <w:sz w:val="24"/>
                <w:szCs w:val="24"/>
              </w:rPr>
              <w:t>148,411,385.10</w:t>
            </w:r>
          </w:p>
        </w:tc>
        <w:tc>
          <w:tcPr>
            <w:vAlign w:val="center"/>
          </w:tcPr>
          <w:p>
            <w:pPr>
              <w:jc w:val="right"/>
            </w:pPr>
            <w:r>
              <w:rPr>
                <w:color w:val="000000"/>
                <w:sz w:val="24"/>
                <w:szCs w:val="24"/>
              </w:rPr>
              <w:t>7.35</w:t>
            </w:r>
          </w:p>
        </w:tc>
      </w:tr>
      <w:tr>
        <w:tc>
          <w:tcPr>
            <w:vAlign w:val="center"/>
          </w:tcPr>
          <w:p>
            <w:pPr>
              <w:jc w:val="center"/>
            </w:pPr>
            <w:r>
              <w:rPr>
                <w:color w:val="000000"/>
                <w:sz w:val="24"/>
                <w:szCs w:val="24"/>
              </w:rPr>
              <w:t>2</w:t>
            </w:r>
          </w:p>
        </w:tc>
        <w:tc>
          <w:tcPr>
            <w:vAlign w:val="center"/>
          </w:tcPr>
          <w:p>
            <w:pPr>
              <w:jc w:val="center"/>
            </w:pPr>
            <w:r>
              <w:rPr>
                <w:color w:val="000000"/>
                <w:sz w:val="24"/>
                <w:szCs w:val="24"/>
              </w:rPr>
              <w:t>600048</w:t>
            </w:r>
          </w:p>
        </w:tc>
        <w:tc>
          <w:tcPr>
            <w:vAlign w:val="center"/>
          </w:tcPr>
          <w:p>
            <w:pPr>
              <w:jc w:val="center"/>
            </w:pPr>
            <w:r>
              <w:rPr>
                <w:color w:val="000000"/>
                <w:sz w:val="24"/>
                <w:szCs w:val="24"/>
              </w:rPr>
              <w:t>保利地产</w:t>
            </w:r>
          </w:p>
        </w:tc>
        <w:tc>
          <w:tcPr>
            <w:vAlign w:val="center"/>
          </w:tcPr>
          <w:p>
            <w:pPr>
              <w:jc w:val="right"/>
            </w:pPr>
            <w:r>
              <w:rPr>
                <w:color w:val="000000"/>
                <w:sz w:val="24"/>
                <w:szCs w:val="24"/>
              </w:rPr>
              <w:t>7,953,402</w:t>
            </w:r>
          </w:p>
        </w:tc>
        <w:tc>
          <w:tcPr>
            <w:vAlign w:val="center"/>
          </w:tcPr>
          <w:p>
            <w:pPr>
              <w:jc w:val="right"/>
            </w:pPr>
            <w:r>
              <w:rPr>
                <w:color w:val="000000"/>
                <w:sz w:val="24"/>
                <w:szCs w:val="24"/>
              </w:rPr>
              <w:t>113,256,444.48</w:t>
            </w:r>
          </w:p>
        </w:tc>
        <w:tc>
          <w:tcPr>
            <w:vAlign w:val="center"/>
          </w:tcPr>
          <w:p>
            <w:pPr>
              <w:jc w:val="right"/>
            </w:pPr>
            <w:r>
              <w:rPr>
                <w:color w:val="000000"/>
                <w:sz w:val="24"/>
                <w:szCs w:val="24"/>
              </w:rPr>
              <w:t>5.61</w:t>
            </w:r>
          </w:p>
        </w:tc>
      </w:tr>
      <w:tr>
        <w:tc>
          <w:tcPr>
            <w:vAlign w:val="center"/>
          </w:tcPr>
          <w:p>
            <w:pPr>
              <w:jc w:val="center"/>
            </w:pPr>
            <w:r>
              <w:rPr>
                <w:color w:val="000000"/>
                <w:sz w:val="24"/>
                <w:szCs w:val="24"/>
              </w:rPr>
              <w:t>3</w:t>
            </w:r>
          </w:p>
        </w:tc>
        <w:tc>
          <w:tcPr>
            <w:vAlign w:val="center"/>
          </w:tcPr>
          <w:p>
            <w:pPr>
              <w:jc w:val="center"/>
            </w:pPr>
            <w:r>
              <w:rPr>
                <w:color w:val="000000"/>
                <w:sz w:val="24"/>
                <w:szCs w:val="24"/>
              </w:rPr>
              <w:t>600038</w:t>
            </w:r>
          </w:p>
        </w:tc>
        <w:tc>
          <w:tcPr>
            <w:vAlign w:val="center"/>
          </w:tcPr>
          <w:p>
            <w:pPr>
              <w:jc w:val="center"/>
            </w:pPr>
            <w:r>
              <w:rPr>
                <w:color w:val="000000"/>
                <w:sz w:val="24"/>
                <w:szCs w:val="24"/>
              </w:rPr>
              <w:t>中直股份</w:t>
            </w:r>
          </w:p>
        </w:tc>
        <w:tc>
          <w:tcPr>
            <w:vAlign w:val="center"/>
          </w:tcPr>
          <w:p>
            <w:pPr>
              <w:jc w:val="right"/>
            </w:pPr>
            <w:r>
              <w:rPr>
                <w:color w:val="000000"/>
                <w:sz w:val="24"/>
                <w:szCs w:val="24"/>
              </w:rPr>
              <w:t>2,001,135</w:t>
            </w:r>
          </w:p>
        </w:tc>
        <w:tc>
          <w:tcPr>
            <w:vAlign w:val="center"/>
          </w:tcPr>
          <w:p>
            <w:pPr>
              <w:jc w:val="right"/>
            </w:pPr>
            <w:r>
              <w:rPr>
                <w:color w:val="000000"/>
                <w:sz w:val="24"/>
                <w:szCs w:val="24"/>
              </w:rPr>
              <w:t>93,553,061.25</w:t>
            </w:r>
          </w:p>
        </w:tc>
        <w:tc>
          <w:tcPr>
            <w:vAlign w:val="center"/>
          </w:tcPr>
          <w:p>
            <w:pPr>
              <w:jc w:val="right"/>
            </w:pPr>
            <w:r>
              <w:rPr>
                <w:color w:val="000000"/>
                <w:sz w:val="24"/>
                <w:szCs w:val="24"/>
              </w:rPr>
              <w:t>4.64</w:t>
            </w:r>
          </w:p>
        </w:tc>
      </w:tr>
      <w:tr>
        <w:tc>
          <w:tcPr>
            <w:vAlign w:val="center"/>
          </w:tcPr>
          <w:p>
            <w:pPr>
              <w:jc w:val="center"/>
            </w:pPr>
            <w:r>
              <w:rPr>
                <w:color w:val="000000"/>
                <w:sz w:val="24"/>
                <w:szCs w:val="24"/>
              </w:rPr>
              <w:t>4</w:t>
            </w:r>
          </w:p>
        </w:tc>
        <w:tc>
          <w:tcPr>
            <w:vAlign w:val="center"/>
          </w:tcPr>
          <w:p>
            <w:pPr>
              <w:jc w:val="center"/>
            </w:pPr>
            <w:r>
              <w:rPr>
                <w:color w:val="000000"/>
                <w:sz w:val="24"/>
                <w:szCs w:val="24"/>
              </w:rPr>
              <w:t>002180</w:t>
            </w:r>
          </w:p>
        </w:tc>
        <w:tc>
          <w:tcPr>
            <w:vAlign w:val="center"/>
          </w:tcPr>
          <w:p>
            <w:pPr>
              <w:jc w:val="center"/>
            </w:pPr>
            <w:r>
              <w:rPr>
                <w:color w:val="000000"/>
                <w:sz w:val="24"/>
                <w:szCs w:val="24"/>
              </w:rPr>
              <w:t>纳思达</w:t>
            </w:r>
          </w:p>
        </w:tc>
        <w:tc>
          <w:tcPr>
            <w:vAlign w:val="center"/>
          </w:tcPr>
          <w:p>
            <w:pPr>
              <w:jc w:val="right"/>
            </w:pPr>
            <w:r>
              <w:rPr>
                <w:color w:val="000000"/>
                <w:sz w:val="24"/>
                <w:szCs w:val="24"/>
              </w:rPr>
              <w:t>2,894,716</w:t>
            </w:r>
          </w:p>
        </w:tc>
        <w:tc>
          <w:tcPr>
            <w:vAlign w:val="center"/>
          </w:tcPr>
          <w:p>
            <w:pPr>
              <w:jc w:val="right"/>
            </w:pPr>
            <w:r>
              <w:rPr>
                <w:color w:val="000000"/>
                <w:sz w:val="24"/>
                <w:szCs w:val="24"/>
              </w:rPr>
              <w:t>91,212,501.16</w:t>
            </w:r>
          </w:p>
        </w:tc>
        <w:tc>
          <w:tcPr>
            <w:vAlign w:val="center"/>
          </w:tcPr>
          <w:p>
            <w:pPr>
              <w:jc w:val="right"/>
            </w:pPr>
            <w:r>
              <w:rPr>
                <w:color w:val="000000"/>
                <w:sz w:val="24"/>
                <w:szCs w:val="24"/>
              </w:rPr>
              <w:t>4.52</w:t>
            </w:r>
          </w:p>
        </w:tc>
      </w:tr>
      <w:tr>
        <w:tc>
          <w:tcPr>
            <w:vAlign w:val="center"/>
          </w:tcPr>
          <w:p>
            <w:pPr>
              <w:jc w:val="center"/>
            </w:pPr>
            <w:r>
              <w:rPr>
                <w:color w:val="000000"/>
                <w:sz w:val="24"/>
                <w:szCs w:val="24"/>
              </w:rPr>
              <w:t>5</w:t>
            </w:r>
          </w:p>
        </w:tc>
        <w:tc>
          <w:tcPr>
            <w:vAlign w:val="center"/>
          </w:tcPr>
          <w:p>
            <w:pPr>
              <w:jc w:val="center"/>
            </w:pPr>
            <w:r>
              <w:rPr>
                <w:color w:val="000000"/>
                <w:sz w:val="24"/>
                <w:szCs w:val="24"/>
              </w:rPr>
              <w:t>300413</w:t>
            </w:r>
          </w:p>
        </w:tc>
        <w:tc>
          <w:tcPr>
            <w:vAlign w:val="center"/>
          </w:tcPr>
          <w:p>
            <w:pPr>
              <w:jc w:val="center"/>
            </w:pPr>
            <w:r>
              <w:rPr>
                <w:color w:val="000000"/>
                <w:sz w:val="24"/>
                <w:szCs w:val="24"/>
              </w:rPr>
              <w:t>芒果超媒</w:t>
            </w:r>
          </w:p>
        </w:tc>
        <w:tc>
          <w:tcPr>
            <w:vAlign w:val="center"/>
          </w:tcPr>
          <w:p>
            <w:pPr>
              <w:jc w:val="right"/>
            </w:pPr>
            <w:r>
              <w:rPr>
                <w:color w:val="000000"/>
                <w:sz w:val="24"/>
                <w:szCs w:val="24"/>
              </w:rPr>
              <w:t>1,855,795</w:t>
            </w:r>
          </w:p>
        </w:tc>
        <w:tc>
          <w:tcPr>
            <w:vAlign w:val="center"/>
          </w:tcPr>
          <w:p>
            <w:pPr>
              <w:jc w:val="right"/>
            </w:pPr>
            <w:r>
              <w:rPr>
                <w:color w:val="000000"/>
                <w:sz w:val="24"/>
                <w:szCs w:val="24"/>
              </w:rPr>
              <w:t>82,211,718.50</w:t>
            </w:r>
          </w:p>
        </w:tc>
        <w:tc>
          <w:tcPr>
            <w:vAlign w:val="center"/>
          </w:tcPr>
          <w:p>
            <w:pPr>
              <w:jc w:val="right"/>
            </w:pPr>
            <w:r>
              <w:rPr>
                <w:color w:val="000000"/>
                <w:sz w:val="24"/>
                <w:szCs w:val="24"/>
              </w:rPr>
              <w:t>4.07</w:t>
            </w:r>
          </w:p>
        </w:tc>
      </w:tr>
      <w:tr>
        <w:tc>
          <w:tcPr>
            <w:vAlign w:val="center"/>
          </w:tcPr>
          <w:p>
            <w:pPr>
              <w:jc w:val="center"/>
            </w:pPr>
            <w:r>
              <w:rPr>
                <w:color w:val="000000"/>
                <w:sz w:val="24"/>
                <w:szCs w:val="24"/>
              </w:rPr>
              <w:t>6</w:t>
            </w:r>
          </w:p>
        </w:tc>
        <w:tc>
          <w:tcPr>
            <w:vAlign w:val="center"/>
          </w:tcPr>
          <w:p>
            <w:pPr>
              <w:jc w:val="center"/>
            </w:pPr>
            <w:r>
              <w:rPr>
                <w:color w:val="000000"/>
                <w:sz w:val="24"/>
                <w:szCs w:val="24"/>
              </w:rPr>
              <w:t>300207</w:t>
            </w:r>
          </w:p>
        </w:tc>
        <w:tc>
          <w:tcPr>
            <w:vAlign w:val="center"/>
          </w:tcPr>
          <w:p>
            <w:pPr>
              <w:jc w:val="center"/>
            </w:pPr>
            <w:r>
              <w:rPr>
                <w:color w:val="000000"/>
                <w:sz w:val="24"/>
                <w:szCs w:val="24"/>
              </w:rPr>
              <w:t>欣旺达</w:t>
            </w:r>
          </w:p>
        </w:tc>
        <w:tc>
          <w:tcPr>
            <w:vAlign w:val="center"/>
          </w:tcPr>
          <w:p>
            <w:pPr>
              <w:jc w:val="right"/>
            </w:pPr>
            <w:r>
              <w:rPr>
                <w:color w:val="000000"/>
                <w:sz w:val="24"/>
                <w:szCs w:val="24"/>
              </w:rPr>
              <w:t>6,759,561</w:t>
            </w:r>
          </w:p>
        </w:tc>
        <w:tc>
          <w:tcPr>
            <w:vAlign w:val="center"/>
          </w:tcPr>
          <w:p>
            <w:pPr>
              <w:jc w:val="right"/>
            </w:pPr>
            <w:r>
              <w:rPr>
                <w:color w:val="000000"/>
                <w:sz w:val="24"/>
                <w:szCs w:val="24"/>
              </w:rPr>
              <w:t>80,506,371.51</w:t>
            </w:r>
          </w:p>
        </w:tc>
        <w:tc>
          <w:tcPr>
            <w:vAlign w:val="center"/>
          </w:tcPr>
          <w:p>
            <w:pPr>
              <w:jc w:val="right"/>
            </w:pPr>
            <w:r>
              <w:rPr>
                <w:color w:val="000000"/>
                <w:sz w:val="24"/>
                <w:szCs w:val="24"/>
              </w:rPr>
              <w:t>3.99</w:t>
            </w:r>
          </w:p>
        </w:tc>
      </w:tr>
      <w:tr>
        <w:tc>
          <w:tcPr>
            <w:vAlign w:val="center"/>
          </w:tcPr>
          <w:p>
            <w:pPr>
              <w:jc w:val="center"/>
            </w:pPr>
            <w:r>
              <w:rPr>
                <w:color w:val="000000"/>
                <w:sz w:val="24"/>
                <w:szCs w:val="24"/>
              </w:rPr>
              <w:t>7</w:t>
            </w:r>
          </w:p>
        </w:tc>
        <w:tc>
          <w:tcPr>
            <w:vAlign w:val="center"/>
          </w:tcPr>
          <w:p>
            <w:pPr>
              <w:jc w:val="center"/>
            </w:pPr>
            <w:r>
              <w:rPr>
                <w:color w:val="000000"/>
                <w:sz w:val="24"/>
                <w:szCs w:val="24"/>
              </w:rPr>
              <w:t>601100</w:t>
            </w:r>
          </w:p>
        </w:tc>
        <w:tc>
          <w:tcPr>
            <w:vAlign w:val="center"/>
          </w:tcPr>
          <w:p>
            <w:pPr>
              <w:jc w:val="center"/>
            </w:pPr>
            <w:r>
              <w:rPr>
                <w:color w:val="000000"/>
                <w:sz w:val="24"/>
                <w:szCs w:val="24"/>
              </w:rPr>
              <w:t>恒立液压</w:t>
            </w:r>
          </w:p>
        </w:tc>
        <w:tc>
          <w:tcPr>
            <w:vAlign w:val="center"/>
          </w:tcPr>
          <w:p>
            <w:pPr>
              <w:jc w:val="right"/>
            </w:pPr>
            <w:r>
              <w:rPr>
                <w:color w:val="000000"/>
                <w:sz w:val="24"/>
                <w:szCs w:val="24"/>
              </w:rPr>
              <w:t>2,283,912</w:t>
            </w:r>
          </w:p>
        </w:tc>
        <w:tc>
          <w:tcPr>
            <w:vAlign w:val="center"/>
          </w:tcPr>
          <w:p>
            <w:pPr>
              <w:jc w:val="right"/>
            </w:pPr>
            <w:r>
              <w:rPr>
                <w:color w:val="000000"/>
                <w:sz w:val="24"/>
                <w:szCs w:val="24"/>
              </w:rPr>
              <w:t>74,341,335.60</w:t>
            </w:r>
          </w:p>
        </w:tc>
        <w:tc>
          <w:tcPr>
            <w:vAlign w:val="center"/>
          </w:tcPr>
          <w:p>
            <w:pPr>
              <w:jc w:val="right"/>
            </w:pPr>
            <w:r>
              <w:rPr>
                <w:color w:val="000000"/>
                <w:sz w:val="24"/>
                <w:szCs w:val="24"/>
              </w:rPr>
              <w:t>3.68</w:t>
            </w:r>
          </w:p>
        </w:tc>
      </w:tr>
      <w:tr>
        <w:tc>
          <w:tcPr>
            <w:vAlign w:val="center"/>
          </w:tcPr>
          <w:p>
            <w:pPr>
              <w:jc w:val="center"/>
            </w:pPr>
            <w:r>
              <w:rPr>
                <w:color w:val="000000"/>
                <w:sz w:val="24"/>
                <w:szCs w:val="24"/>
              </w:rPr>
              <w:t>8</w:t>
            </w:r>
          </w:p>
        </w:tc>
        <w:tc>
          <w:tcPr>
            <w:vAlign w:val="center"/>
          </w:tcPr>
          <w:p>
            <w:pPr>
              <w:jc w:val="center"/>
            </w:pPr>
            <w:r>
              <w:rPr>
                <w:color w:val="000000"/>
                <w:sz w:val="24"/>
                <w:szCs w:val="24"/>
              </w:rPr>
              <w:t>600855</w:t>
            </w:r>
          </w:p>
        </w:tc>
        <w:tc>
          <w:tcPr>
            <w:vAlign w:val="center"/>
          </w:tcPr>
          <w:p>
            <w:pPr>
              <w:jc w:val="center"/>
            </w:pPr>
            <w:r>
              <w:rPr>
                <w:color w:val="000000"/>
                <w:sz w:val="24"/>
                <w:szCs w:val="24"/>
              </w:rPr>
              <w:t>航天长峰</w:t>
            </w:r>
          </w:p>
        </w:tc>
        <w:tc>
          <w:tcPr>
            <w:vAlign w:val="center"/>
          </w:tcPr>
          <w:p>
            <w:pPr>
              <w:jc w:val="right"/>
            </w:pPr>
            <w:r>
              <w:rPr>
                <w:color w:val="000000"/>
                <w:sz w:val="24"/>
                <w:szCs w:val="24"/>
              </w:rPr>
              <w:t>4,183,101</w:t>
            </w:r>
          </w:p>
        </w:tc>
        <w:tc>
          <w:tcPr>
            <w:vAlign w:val="center"/>
          </w:tcPr>
          <w:p>
            <w:pPr>
              <w:jc w:val="right"/>
            </w:pPr>
            <w:r>
              <w:rPr>
                <w:color w:val="000000"/>
                <w:sz w:val="24"/>
                <w:szCs w:val="24"/>
              </w:rPr>
              <w:t>72,869,619.42</w:t>
            </w:r>
          </w:p>
        </w:tc>
        <w:tc>
          <w:tcPr>
            <w:vAlign w:val="center"/>
          </w:tcPr>
          <w:p>
            <w:pPr>
              <w:jc w:val="right"/>
            </w:pPr>
            <w:r>
              <w:rPr>
                <w:color w:val="000000"/>
                <w:sz w:val="24"/>
                <w:szCs w:val="24"/>
              </w:rPr>
              <w:t>3.61</w:t>
            </w:r>
          </w:p>
        </w:tc>
      </w:tr>
      <w:tr>
        <w:tc>
          <w:tcPr>
            <w:vAlign w:val="center"/>
          </w:tcPr>
          <w:p>
            <w:pPr>
              <w:jc w:val="center"/>
            </w:pPr>
            <w:r>
              <w:rPr>
                <w:color w:val="000000"/>
                <w:sz w:val="24"/>
                <w:szCs w:val="24"/>
              </w:rPr>
              <w:t>9</w:t>
            </w:r>
          </w:p>
        </w:tc>
        <w:tc>
          <w:tcPr>
            <w:vAlign w:val="center"/>
          </w:tcPr>
          <w:p>
            <w:pPr>
              <w:jc w:val="center"/>
            </w:pPr>
            <w:r>
              <w:rPr>
                <w:color w:val="000000"/>
                <w:sz w:val="24"/>
                <w:szCs w:val="24"/>
              </w:rPr>
              <w:t>603707</w:t>
            </w:r>
          </w:p>
        </w:tc>
        <w:tc>
          <w:tcPr>
            <w:vAlign w:val="center"/>
          </w:tcPr>
          <w:p>
            <w:pPr>
              <w:jc w:val="center"/>
            </w:pPr>
            <w:r>
              <w:rPr>
                <w:color w:val="000000"/>
                <w:sz w:val="24"/>
                <w:szCs w:val="24"/>
              </w:rPr>
              <w:t>健友股份</w:t>
            </w:r>
          </w:p>
        </w:tc>
        <w:tc>
          <w:tcPr>
            <w:vAlign w:val="center"/>
          </w:tcPr>
          <w:p>
            <w:pPr>
              <w:jc w:val="right"/>
            </w:pPr>
            <w:r>
              <w:rPr>
                <w:color w:val="000000"/>
                <w:sz w:val="24"/>
                <w:szCs w:val="24"/>
              </w:rPr>
              <w:t>1,788,260</w:t>
            </w:r>
          </w:p>
        </w:tc>
        <w:tc>
          <w:tcPr>
            <w:vAlign w:val="center"/>
          </w:tcPr>
          <w:p>
            <w:pPr>
              <w:jc w:val="right"/>
            </w:pPr>
            <w:r>
              <w:rPr>
                <w:color w:val="000000"/>
                <w:sz w:val="24"/>
                <w:szCs w:val="24"/>
              </w:rPr>
              <w:t>62,919,364.80</w:t>
            </w:r>
          </w:p>
        </w:tc>
        <w:tc>
          <w:tcPr>
            <w:vAlign w:val="center"/>
          </w:tcPr>
          <w:p>
            <w:pPr>
              <w:jc w:val="right"/>
            </w:pPr>
            <w:r>
              <w:rPr>
                <w:color w:val="000000"/>
                <w:sz w:val="24"/>
                <w:szCs w:val="24"/>
              </w:rPr>
              <w:t>3.12</w:t>
            </w:r>
          </w:p>
        </w:tc>
      </w:tr>
      <w:tr>
        <w:tc>
          <w:tcPr>
            <w:vAlign w:val="center"/>
          </w:tcPr>
          <w:p>
            <w:pPr>
              <w:jc w:val="center"/>
            </w:pPr>
            <w:r>
              <w:rPr>
                <w:color w:val="000000"/>
                <w:sz w:val="24"/>
                <w:szCs w:val="24"/>
              </w:rPr>
              <w:t>10</w:t>
            </w:r>
          </w:p>
        </w:tc>
        <w:tc>
          <w:tcPr>
            <w:vAlign w:val="center"/>
          </w:tcPr>
          <w:p>
            <w:pPr>
              <w:jc w:val="center"/>
            </w:pPr>
            <w:r>
              <w:rPr>
                <w:color w:val="000000"/>
                <w:sz w:val="24"/>
                <w:szCs w:val="24"/>
              </w:rPr>
              <w:t>600480</w:t>
            </w:r>
          </w:p>
        </w:tc>
        <w:tc>
          <w:tcPr>
            <w:vAlign w:val="center"/>
          </w:tcPr>
          <w:p>
            <w:pPr>
              <w:jc w:val="center"/>
            </w:pPr>
            <w:r>
              <w:rPr>
                <w:color w:val="000000"/>
                <w:sz w:val="24"/>
                <w:szCs w:val="24"/>
              </w:rPr>
              <w:t>凌云股份</w:t>
            </w:r>
          </w:p>
        </w:tc>
        <w:tc>
          <w:tcPr>
            <w:vAlign w:val="center"/>
          </w:tcPr>
          <w:p>
            <w:pPr>
              <w:jc w:val="right"/>
            </w:pPr>
            <w:r>
              <w:rPr>
                <w:color w:val="000000"/>
                <w:sz w:val="24"/>
                <w:szCs w:val="24"/>
              </w:rPr>
              <w:t>5,053,792</w:t>
            </w:r>
          </w:p>
        </w:tc>
        <w:tc>
          <w:tcPr>
            <w:vAlign w:val="center"/>
          </w:tcPr>
          <w:p>
            <w:pPr>
              <w:jc w:val="right"/>
            </w:pPr>
            <w:r>
              <w:rPr>
                <w:color w:val="000000"/>
                <w:sz w:val="24"/>
                <w:szCs w:val="24"/>
              </w:rPr>
              <w:t>62,667,020.80</w:t>
            </w:r>
          </w:p>
        </w:tc>
        <w:tc>
          <w:tcPr>
            <w:vAlign w:val="center"/>
          </w:tcPr>
          <w:p>
            <w:pPr>
              <w:jc w:val="right"/>
            </w:pPr>
            <w:r>
              <w:rPr>
                <w:color w:val="000000"/>
                <w:sz w:val="24"/>
                <w:szCs w:val="24"/>
              </w:rPr>
              <w:t>3.11</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type="dxa" w:w="8868"/>
        <w:jc w:val="center"/>
        <w:tblLayout w:type="fixed"/>
        <w:tblLook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113,418,600.00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5.62</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113,418,600.00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5.62</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type="dxa" w:w="8868"/>
        <w:jc w:val="center"/>
        <w:tblLayout w:type="fixed"/>
        <w:tblCellMar>
          <w:top w:type="dxa" w:w="57"/>
          <w:bottom w:type="dxa" w:w="57"/>
        </w:tblCellMar>
        <w:tblLook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199908</w:t>
            </w:r>
          </w:p>
        </w:tc>
        <w:tc>
          <w:tcPr>
            <w:vAlign w:val="center"/>
          </w:tcPr>
          <w:p>
            <w:pPr>
              <w:jc w:val="center"/>
            </w:pPr>
            <w:r>
              <w:rPr>
                <w:color w:val="000000"/>
                <w:sz w:val="24"/>
                <w:szCs w:val="24"/>
              </w:rPr>
              <w:t>19贴现国债08</w:t>
            </w:r>
          </w:p>
        </w:tc>
        <w:tc>
          <w:tcPr>
            <w:vAlign w:val="center"/>
          </w:tcPr>
          <w:p>
            <w:pPr>
              <w:jc w:val="right"/>
            </w:pPr>
            <w:r>
              <w:rPr>
                <w:color w:val="000000"/>
                <w:sz w:val="24"/>
                <w:szCs w:val="24"/>
              </w:rPr>
              <w:t>1,140,000</w:t>
            </w:r>
          </w:p>
        </w:tc>
        <w:tc>
          <w:tcPr>
            <w:vAlign w:val="center"/>
          </w:tcPr>
          <w:p>
            <w:pPr>
              <w:jc w:val="right"/>
            </w:pPr>
            <w:r>
              <w:rPr>
                <w:color w:val="000000"/>
                <w:sz w:val="24"/>
                <w:szCs w:val="24"/>
              </w:rPr>
              <w:t>113,418,600.00</w:t>
            </w:r>
          </w:p>
        </w:tc>
        <w:tc>
          <w:tcPr>
            <w:vAlign w:val="center"/>
          </w:tcPr>
          <w:p>
            <w:pPr>
              <w:jc w:val="right"/>
            </w:pPr>
            <w:r>
              <w:rPr>
                <w:color w:val="000000"/>
                <w:sz w:val="24"/>
                <w:szCs w:val="24"/>
              </w:rPr>
              <w:t>5.62</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sz w:val="24"/>
          <w:szCs w:val="24"/>
        </w:rPr>
      </w:pP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lastRenderedPageBreak/>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horzAnchor="margin" w:leftFromText="180" w:rightFromText="180" w:tblpXSpec="center" w:tblpY="265" w:vertAnchor="text"/>
        <w:tblW w:type="dxa" w:w="8868"/>
        <w:jc w:val="center"/>
        <w:tblLayout w:type="fixed"/>
        <w:tblCellMar>
          <w:top w:type="dxa" w:w="-1"/>
          <w:bottom w:type="dxa" w:w="-1"/>
        </w:tblCellMar>
        <w:tblLook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2,233,783.31</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34,507,349.97</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207,263.25</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2,746,839.89</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39,695,236.42</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tbl>
      <w:tblPr>
        <w:tblStyle w:val="af7"/>
        <w:tblW w:type="dxa" w:w="8868"/>
        <w:jc w:val="center"/>
        <w:tblLayout w:type="fixed"/>
        <w:tblCellMar>
          <w:top w:type="dxa" w:w="57"/>
          <w:bottom w:type="dxa" w:w="57"/>
        </w:tblCellMar>
        <w:tblLook w:val="04A0"/>
      </w:tblPr>
      <w:tblGrid>
        <w:gridCol w:w="1129"/>
        <w:gridCol w:w="1356"/>
        <w:gridCol w:w="1355"/>
        <w:gridCol w:w="1880"/>
        <w:gridCol w:w="1724"/>
        <w:gridCol w:w="1424"/>
      </w:tblGrid>
      <w:tr w:rsidR="003E62FB" w:rsidRPr="00414345" w:rsidTr="00BC216C">
        <w:trPr>
          <w:jc w:val="center"/>
        </w:trPr>
        <w:tc>
          <w:tcPr>
            <w:tcW w:type="dxa" w:w="1083"/>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302"/>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股票代码</w:t>
            </w:r>
          </w:p>
        </w:tc>
        <w:tc>
          <w:tcPr>
            <w:tcW w:type="dxa" w:w="13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股票名称</w:t>
            </w:r>
          </w:p>
        </w:tc>
        <w:tc>
          <w:tcPr>
            <w:tcW w:type="dxa" w:w="1805"/>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55"/>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type="dxa" w:w="136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流通受限情况说明</w:t>
            </w:r>
          </w:p>
        </w:tc>
      </w:tr>
      <w:tr>
        <w:tc>
          <w:tcPr>
            <w:vAlign w:val="center"/>
          </w:tcPr>
          <w:p>
            <w:pPr>
              <w:jc w:val="center"/>
            </w:pPr>
            <w:r>
              <w:rPr>
                <w:color w:val="000000"/>
                <w:sz w:val="24"/>
                <w:szCs w:val="24"/>
              </w:rPr>
              <w:t>1</w:t>
            </w:r>
          </w:p>
        </w:tc>
        <w:tc>
          <w:tcPr>
            <w:vAlign w:val="center"/>
          </w:tcPr>
          <w:p>
            <w:pPr>
              <w:jc w:val="center"/>
            </w:pPr>
            <w:r>
              <w:rPr>
                <w:color w:val="000000"/>
                <w:sz w:val="24"/>
                <w:szCs w:val="24"/>
              </w:rPr>
              <w:t>600855</w:t>
            </w:r>
          </w:p>
        </w:tc>
        <w:tc>
          <w:tcPr>
            <w:vAlign w:val="center"/>
          </w:tcPr>
          <w:p>
            <w:pPr>
              <w:jc w:val="center"/>
            </w:pPr>
            <w:r>
              <w:rPr>
                <w:color w:val="000000"/>
                <w:sz w:val="24"/>
                <w:szCs w:val="24"/>
              </w:rPr>
              <w:t>航天长峰</w:t>
            </w:r>
          </w:p>
        </w:tc>
        <w:tc>
          <w:tcPr>
            <w:vAlign w:val="center"/>
          </w:tcPr>
          <w:p>
            <w:pPr>
              <w:jc w:val="right"/>
            </w:pPr>
            <w:r>
              <w:rPr>
                <w:color w:val="000000"/>
                <w:sz w:val="24"/>
                <w:szCs w:val="24"/>
              </w:rPr>
              <w:t>72,869,619.42</w:t>
            </w:r>
          </w:p>
        </w:tc>
        <w:tc>
          <w:tcPr>
            <w:vAlign w:val="center"/>
          </w:tcPr>
          <w:p>
            <w:pPr>
              <w:jc w:val="right"/>
            </w:pPr>
            <w:r>
              <w:rPr>
                <w:color w:val="000000"/>
                <w:sz w:val="24"/>
                <w:szCs w:val="24"/>
              </w:rPr>
              <w:t>3.61</w:t>
            </w:r>
          </w:p>
        </w:tc>
        <w:tc>
          <w:tcPr>
            <w:vAlign w:val="center"/>
          </w:tcPr>
          <w:p>
            <w:pPr>
              <w:jc w:val="right"/>
            </w:pPr>
            <w:r>
              <w:rPr>
                <w:color w:val="000000"/>
                <w:sz w:val="24"/>
                <w:szCs w:val="24"/>
              </w:rPr>
              <w:t>重大事项</w:t>
            </w:r>
          </w:p>
        </w:tc>
      </w:tr>
      <w:tr>
        <w:tc>
          <w:tcPr>
            <w:vAlign w:val="center"/>
          </w:tcPr>
          <w:p>
            <w:pPr>
              <w:jc w:val="center"/>
            </w:pPr>
            <w:r>
              <w:rPr>
                <w:color w:val="000000"/>
                <w:sz w:val="24"/>
                <w:szCs w:val="24"/>
              </w:rPr>
              <w:t>2</w:t>
            </w:r>
          </w:p>
        </w:tc>
        <w:tc>
          <w:tcPr>
            <w:vAlign w:val="center"/>
          </w:tcPr>
          <w:p>
            <w:pPr>
              <w:jc w:val="center"/>
            </w:pPr>
            <w:r>
              <w:rPr>
                <w:color w:val="000000"/>
                <w:sz w:val="24"/>
                <w:szCs w:val="24"/>
              </w:rPr>
              <w:t>603707</w:t>
            </w:r>
          </w:p>
        </w:tc>
        <w:tc>
          <w:tcPr>
            <w:vAlign w:val="center"/>
          </w:tcPr>
          <w:p>
            <w:pPr>
              <w:jc w:val="center"/>
            </w:pPr>
            <w:r>
              <w:rPr>
                <w:color w:val="000000"/>
                <w:sz w:val="24"/>
                <w:szCs w:val="24"/>
              </w:rPr>
              <w:t>健友股份</w:t>
            </w:r>
          </w:p>
        </w:tc>
        <w:tc>
          <w:tcPr>
            <w:vAlign w:val="center"/>
          </w:tcPr>
          <w:p>
            <w:pPr>
              <w:jc w:val="right"/>
            </w:pPr>
            <w:r>
              <w:rPr>
                <w:color w:val="000000"/>
                <w:sz w:val="24"/>
                <w:szCs w:val="24"/>
              </w:rPr>
              <w:t>26,721,720.00</w:t>
            </w:r>
          </w:p>
        </w:tc>
        <w:tc>
          <w:tcPr>
            <w:vAlign w:val="center"/>
          </w:tcPr>
          <w:p>
            <w:pPr>
              <w:jc w:val="right"/>
            </w:pPr>
            <w:r>
              <w:rPr>
                <w:color w:val="000000"/>
                <w:sz w:val="24"/>
                <w:szCs w:val="24"/>
              </w:rPr>
              <w:t>1.32</w:t>
            </w:r>
          </w:p>
        </w:tc>
        <w:tc>
          <w:tcPr>
            <w:vAlign w:val="center"/>
          </w:tcPr>
          <w:p>
            <w:pPr>
              <w:jc w:val="right"/>
            </w:pPr>
            <w:r>
              <w:rPr>
                <w:color w:val="000000"/>
                <w:sz w:val="24"/>
                <w:szCs w:val="24"/>
              </w:rPr>
              <w:t>限售股</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r w:rsidR="003259C8"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11537B" w:rsidR="001F3E2A" w:rsidRDefault="001F3E2A" w:rsidRPr="00575270">
      <w:pPr>
        <w:pStyle w:val="1"/>
        <w:spacing w:afterLines="100" w:beforeLines="100" w:line="360" w:lineRule="auto"/>
        <w:jc w:val="center"/>
        <w:rPr>
          <w:rFonts w:eastAsiaTheme="minorEastAsia"/>
          <w:color w:themeColor="text1" w:val="000000"/>
          <w:kern w:val="0"/>
          <w:sz w:val="24"/>
          <w:szCs w:val="24"/>
        </w:rPr>
      </w:pPr>
      <w:r w:rsidRPr="00575270">
        <w:rPr>
          <w:rFonts w:eastAsiaTheme="minorEastAsia"/>
          <w:color w:themeColor="text1" w:val="000000"/>
          <w:kern w:val="0"/>
          <w:sz w:val="24"/>
          <w:szCs w:val="24"/>
        </w:rPr>
        <w:lastRenderedPageBreak/>
        <w:t>§6</w:t>
      </w:r>
      <w:r w:rsidRPr="00575270">
        <w:rPr>
          <w:rFonts w:eastAsiaTheme="minorEastAsia" w:hint="eastAsia"/>
          <w:color w:themeColor="text1" w:val="000000"/>
          <w:kern w:val="0"/>
          <w:sz w:val="24"/>
          <w:szCs w:val="24"/>
        </w:rPr>
        <w:t xml:space="preserve">  </w:t>
      </w:r>
      <w:r w:rsidRPr="00575270">
        <w:rPr>
          <w:rFonts w:eastAsiaTheme="minorEastAsia" w:hint="eastAsia"/>
          <w:color w:themeColor="text1" w:val="000000"/>
          <w:kern w:val="0"/>
          <w:sz w:val="24"/>
          <w:szCs w:val="24"/>
        </w:rPr>
        <w:t>基金中基金</w:t>
      </w:r>
    </w:p>
    <w:p w:rsidP="001F3E2A" w:rsidR="001F3E2A" w:rsidRDefault="001F3E2A" w:rsidRPr="00575270">
      <w:pPr>
        <w:adjustRightInd w:val="0"/>
        <w:snapToGrid w:val="0"/>
        <w:spacing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1</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报告期末按公允价值占基金资产净值比例大小排序的前十名基金投资明细</w:t>
      </w:r>
    </w:p>
    <w:p w:rsidP="001F3E2A"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本基金本报告期末未持有基金。</w:t>
      </w:r>
    </w:p>
    <w:p w:rsidP="0011537B" w:rsidR="001F3E2A" w:rsidRDefault="001F3E2A" w:rsidRPr="00575270">
      <w:pPr>
        <w:adjustRightInd w:val="0"/>
        <w:snapToGrid w:val="0"/>
        <w:spacing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2</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当期交易及持有基金产生的费用</w:t>
      </w:r>
    </w:p>
    <w:p w:rsidP="001F3E2A"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本基金本报告期内未交易或持有基金。</w:t>
      </w:r>
    </w:p>
    <w:p w:rsidP="0011537B" w:rsidR="001F3E2A" w:rsidRDefault="001F3E2A" w:rsidRPr="00575270">
      <w:pPr>
        <w:adjustRightInd w:val="0"/>
        <w:snapToGrid w:val="0"/>
        <w:spacing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3</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本报告期持有的基金发生的重大影响事件</w:t>
      </w:r>
    </w:p>
    <w:tbl>
      <w:tblPr>
        <w:tblStyle w:val="af7"/>
        <w:tblW w:type="auto" w:w="0"/>
        <w:tblBorders>
          <w:top w:color="auto" w:space="0" w:sz="0" w:val="none"/>
          <w:left w:color="auto" w:space="0" w:sz="0" w:val="none"/>
          <w:bottom w:color="auto" w:space="0" w:sz="0" w:val="none"/>
          <w:right w:color="auto" w:space="0" w:sz="0" w:val="none"/>
          <w:insideH w:color="auto" w:space="0" w:sz="0" w:val="none"/>
          <w:insideV w:color="auto" w:space="0" w:sz="0" w:val="none"/>
        </w:tblBorders>
        <w:tblLook w:val="04A0"/>
      </w:tblPr>
      <w:tblGrid>
        <w:gridCol w:w="9242"/>
      </w:tblGrid>
      <w:tr w:rsidR="001F3E2A" w:rsidRPr="00575270" w:rsidTr="00D9393A">
        <w:tc>
          <w:tcPr>
            <w:tcW w:type="dxa" w:w="9036"/>
          </w:tcPr>
          <w:p w:rsidP="00CD14C0"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
            </w:r>
            <w:r w:rsidRPr="00575270">
              <w:rPr>
                <w:rFonts w:eastAsiaTheme="minorEastAsia" w:hint="eastAsia"/>
                <w:color w:themeColor="text1" w:val="000000"/>
                <w:sz w:val="24"/>
                <w:szCs w:val="24"/>
              </w:rPr>
              <w:t/>
            </w:r>
            <w:r w:rsidRPr="00575270">
              <w:rPr>
                <w:rFonts w:eastAsiaTheme="minorEastAsia"/>
                <w:color w:themeColor="text1" w:val="000000"/>
                <w:sz w:val="24"/>
                <w:szCs w:val="24"/>
              </w:rPr>
              <w:t/>
            </w:r>
            <w:r w:rsidRPr="00575270">
              <w:rPr>
                <w:rFonts w:eastAsiaTheme="minorEastAsia" w:hint="eastAsia"/>
                <w:color w:themeColor="text1" w:val="000000"/>
                <w:sz w:val="24"/>
                <w:szCs w:val="24"/>
              </w:rPr>
              <w:t>无。</w:t>
            </w:r>
          </w:p>
        </w:tc>
      </w:tr>
    </w:tbl>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Lines="100" w:beforeLines="100" w:line="360" w:lineRule="auto"/>
        <w:jc w:val="center"/>
        <w:rPr>
          <w:rFonts w:eastAsiaTheme="minorEastAsia"/>
          <w:color w:themeColor="text1" w:val="000000"/>
          <w:kern w:val="0"/>
          <w:sz w:val="24"/>
          <w:szCs w:val="24"/>
        </w:rPr>
      </w:pPr>
      <w:bookmarkStart w:id="2" w:name="_GoBack"/>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7</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bookmarkEnd w:id="2"/>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1,336,452,652.70</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85,940,414.84</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394,985,145.56</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1,027,407,921.98</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Lines="100"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8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8.1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B22DEE" w:rsidRDefault="004061AC" w:rsidRPr="00E02660">
      <w:pPr>
        <w:pStyle w:val="1"/>
        <w:spacing w:afterLines="100"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1、中国证监会核准交银施罗德先进制造股票证券投资基金募集的文件；</w:t>
      </w:r>
    </w:p>
    <w:p>
      <w:pPr>
        <w:spacing w:before="29" w:line="288" w:lineRule="auto"/>
        <w:ind w:firstLine="480" w:firstLineChars="200"/>
        <w:rPr>
          <w:color w:val="000000"/>
          <w:sz w:val="24"/>
          <w:szCs w:val="24"/>
        </w:rPr>
      </w:pPr>
      <w:r>
        <w:rPr>
          <w:color w:val="000000"/>
          <w:sz w:val="24"/>
          <w:szCs w:val="24"/>
        </w:rPr>
        <w:t>2、中国证监会准予交银施罗德先进制造混合型证券投资基金变更注册的文件；</w:t>
      </w:r>
    </w:p>
    <w:p>
      <w:pPr>
        <w:spacing w:before="29" w:line="288" w:lineRule="auto"/>
        <w:ind w:firstLine="480" w:firstLineChars="200"/>
        <w:rPr>
          <w:color w:val="000000"/>
          <w:sz w:val="24"/>
          <w:szCs w:val="24"/>
        </w:rPr>
      </w:pPr>
      <w:r>
        <w:rPr>
          <w:color w:val="000000"/>
          <w:sz w:val="24"/>
          <w:szCs w:val="24"/>
        </w:rPr>
        <w:t xml:space="preserve">3、《交银施罗德先进制造混合型证券投资基金基金合同》； </w:t>
      </w:r>
    </w:p>
    <w:p>
      <w:pPr>
        <w:spacing w:before="29" w:line="288" w:lineRule="auto"/>
        <w:ind w:firstLine="480" w:firstLineChars="200"/>
        <w:rPr>
          <w:color w:val="000000"/>
          <w:sz w:val="24"/>
          <w:szCs w:val="24"/>
        </w:rPr>
      </w:pPr>
      <w:r>
        <w:rPr>
          <w:color w:val="000000"/>
          <w:sz w:val="24"/>
          <w:szCs w:val="24"/>
        </w:rPr>
        <w:t>4、《交银施罗德先进制造混合型证券投资基金招募说明书》；</w:t>
      </w:r>
    </w:p>
    <w:p>
      <w:pPr>
        <w:spacing w:before="29" w:line="288" w:lineRule="auto"/>
        <w:ind w:firstLine="480" w:firstLineChars="200"/>
        <w:rPr>
          <w:color w:val="000000"/>
          <w:sz w:val="24"/>
          <w:szCs w:val="24"/>
        </w:rPr>
      </w:pPr>
      <w:r>
        <w:rPr>
          <w:color w:val="000000"/>
          <w:sz w:val="24"/>
          <w:szCs w:val="24"/>
        </w:rPr>
        <w:t xml:space="preserve">5、《交银施罗德先进制造混合型证券投资基金托管协议》； </w:t>
      </w:r>
    </w:p>
    <w:p>
      <w:pPr>
        <w:spacing w:before="29" w:line="288" w:lineRule="auto"/>
        <w:ind w:firstLine="480" w:firstLineChars="200"/>
        <w:rPr>
          <w:color w:val="000000"/>
          <w:sz w:val="24"/>
          <w:szCs w:val="24"/>
        </w:rPr>
      </w:pPr>
      <w:r>
        <w:rPr>
          <w:color w:val="000000"/>
          <w:sz w:val="24"/>
          <w:szCs w:val="24"/>
        </w:rPr>
        <w:t>6、关于申请募集交银施罗德先进制造股票证券投资基金之法律意见书；</w:t>
      </w:r>
    </w:p>
    <w:p>
      <w:pPr>
        <w:spacing w:before="29" w:line="288" w:lineRule="auto"/>
        <w:ind w:firstLine="480" w:firstLineChars="200"/>
        <w:rPr>
          <w:color w:val="000000"/>
          <w:sz w:val="24"/>
          <w:szCs w:val="24"/>
        </w:rPr>
      </w:pPr>
      <w:r>
        <w:rPr>
          <w:color w:val="000000"/>
          <w:sz w:val="24"/>
          <w:szCs w:val="24"/>
        </w:rPr>
        <w:t>7、关于申请变更注册交银施罗德先进制造混合型证券投资基金的法律意见书；</w:t>
      </w:r>
    </w:p>
    <w:p>
      <w:pPr>
        <w:spacing w:before="29" w:line="288" w:lineRule="auto"/>
        <w:ind w:firstLine="480" w:firstLineChars="200"/>
        <w:rPr>
          <w:color w:val="000000"/>
          <w:sz w:val="24"/>
          <w:szCs w:val="24"/>
        </w:rPr>
      </w:pPr>
      <w:r>
        <w:rPr>
          <w:color w:val="000000"/>
          <w:sz w:val="24"/>
          <w:szCs w:val="24"/>
        </w:rPr>
        <w:t>8、基金管理人业务资格批件、营业执照；</w:t>
      </w:r>
    </w:p>
    <w:p>
      <w:pPr>
        <w:spacing w:before="29" w:line="288" w:lineRule="auto"/>
        <w:ind w:firstLine="480" w:firstLineChars="200"/>
        <w:rPr>
          <w:color w:val="000000"/>
          <w:sz w:val="24"/>
          <w:szCs w:val="24"/>
        </w:rPr>
      </w:pPr>
      <w:r>
        <w:rPr>
          <w:color w:val="000000"/>
          <w:sz w:val="24"/>
          <w:szCs w:val="24"/>
        </w:rPr>
        <w:t>9、基金托管人业务资格批件、营业执照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10、报告期内交银施罗德先进制造混合型证券投资基金在指定报刊上各项公告的原稿。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AF4" w:rsidRDefault="004B2AF4" w:rsidP="00876D65">
      <w:r>
        <w:separator/>
      </w:r>
    </w:p>
  </w:endnote>
  <w:endnote w:type="continuationSeparator" w:id="0">
    <w:p w:rsidR="004B2AF4" w:rsidRDefault="004B2AF4"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6"/>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11537B">
      <w:rPr>
        <w:noProof/>
        <w:kern w:val="0"/>
        <w:szCs w:val="21"/>
      </w:rPr>
      <w:t>19</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11537B">
      <w:rPr>
        <w:noProof/>
        <w:kern w:val="0"/>
        <w:szCs w:val="21"/>
      </w:rPr>
      <w:t>25</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6"/>
    </w:pP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P="00876D65" w:rsidR="004B2AF4" w:rsidRDefault="004B2AF4">
      <w:r>
        <w:separator/>
      </w:r>
    </w:p>
  </w:footnote>
  <w:footnote w:id="0" w:type="continuationSeparator">
    <w:p w:rsidP="00876D65" w:rsidR="004B2AF4" w:rsidRDefault="004B2AF4">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9"/>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090A26" w:rsidR="00171EF0" w:rsidRDefault="00DC456F" w:rsidRPr="00DC456F">
    <w:pPr>
      <w:pStyle w:val="a9"/>
      <w:pBdr>
        <w:bottom w:color="auto" w:space="0" w:sz="6" w:val="single"/>
      </w:pBdr>
      <w:jc w:val="right"/>
      <w:rPr>
        <w:sz w:val="24"/>
        <w:szCs w:val="24"/>
      </w:rPr>
    </w:pPr>
    <w:r w:rsidRPr="003E676C">
      <w:rPr>
        <w:sz w:val="24"/>
        <w:szCs w:val="24"/>
      </w:rPr>
      <w:t>交银施罗德先进制造混合型证券投资基金2019年第1季度报告</w:t>
    </w: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9"/>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8194"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nhideWhenUsed="0"/>
    <w:lsdException w:name="heading 2" w:qFormat="1"/>
    <w:lsdException w:name="heading 3" w:qFormat="1"/>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qFormat="1" w:uiPriority="35"/>
    <w:lsdException w:name="footnote reference" w:uiPriority="0"/>
    <w:lsdException w:name="Title" w:qFormat="1" w:semiHidden="0" w:unhideWhenUsed="0"/>
    <w:lsdException w:name="Default Paragraph Font" w:uiPriority="1"/>
    <w:lsdException w:name="Subtitle" w:qFormat="1" w:semiHidden="0" w:uiPriority="11" w:unhideWhenUsed="0"/>
    <w:lsdException w:name="Date" w:uiPriority="0"/>
    <w:lsdException w:name="Strong" w:qFormat="1" w:semiHidden="0" w:uiPriority="22" w:unhideWhenUsed="0"/>
    <w:lsdException w:name="Emphasis" w:qFormat="1" w:semiHidden="0" w:uiPriority="20" w:unhideWhenUsed="0"/>
    <w:lsdException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65BAF-6A5D-4E6F-B945-BE15026D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1809</TotalTime>
  <Pages>25</Pages>
  <Words>4136</Words>
  <Characters>23578</Characters>
  <Application>Microsoft Office Word</Application>
  <DocSecurity>0</DocSecurity>
  <Lines>196</Lines>
  <Paragraphs>55</Paragraphs>
  <ScaleCrop>false</ScaleCrop>
  <Company/>
  <LinksUpToDate>false</LinksUpToDate>
  <CharactersWithSpaces>27659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Administrator</cp:lastModifiedBy>
  <dcterms:modified xsi:type="dcterms:W3CDTF">2018-09-13T02:58:00Z</dcterms:modified>
  <cp:revision>578</cp:revision>
</cp:coreProperties>
</file>