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19477A" w:rsidRDefault="0060431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9477A" w:rsidRDefault="0060431A">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9477A" w:rsidRDefault="0060431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9477A" w:rsidRDefault="0060431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19477A" w:rsidRDefault="0060431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2012</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410,425,961.29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519718</w:t>
            </w:r>
            <w:r w:rsidRPr="007F52FA">
              <w:rPr>
                <w:color w:val="000000" w:themeColor="text1"/>
                <w:sz w:val="24"/>
              </w:rPr>
              <w:t>（前端）、</w:t>
            </w:r>
            <w:r w:rsidRPr="007F52FA">
              <w:rPr>
                <w:color w:val="000000" w:themeColor="text1"/>
                <w:sz w:val="24"/>
              </w:rPr>
              <w:t>519719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319,128,211.74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91,297,749.55</w:t>
            </w:r>
            <w:r w:rsidRPr="007F52FA">
              <w:rPr>
                <w:color w:val="000000"/>
                <w:kern w:val="0"/>
                <w:sz w:val="24"/>
              </w:rPr>
              <w:t>份</w:t>
            </w:r>
          </w:p>
        </w:tc>
      </w:tr>
    </w:tbl>
    <w:p w:rsidR="0019477A" w:rsidRDefault="0060431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类基金份额采用前端收费模式，</w:t>
      </w:r>
      <w:r>
        <w:rPr>
          <w:rFonts w:eastAsiaTheme="minorEastAsia"/>
          <w:color w:val="000000"/>
          <w:sz w:val="24"/>
        </w:rPr>
        <w:t>B</w:t>
      </w:r>
      <w:r>
        <w:rPr>
          <w:rFonts w:eastAsiaTheme="minorEastAsia"/>
          <w:color w:val="000000"/>
          <w:sz w:val="24"/>
        </w:rPr>
        <w:t>类基金份额采用后端收费模式，前端交易代码即为</w:t>
      </w:r>
      <w:r>
        <w:rPr>
          <w:rFonts w:eastAsiaTheme="minorEastAsia"/>
          <w:color w:val="000000"/>
          <w:sz w:val="24"/>
        </w:rPr>
        <w:t>A</w:t>
      </w:r>
      <w:r>
        <w:rPr>
          <w:rFonts w:eastAsiaTheme="minorEastAsia"/>
          <w:color w:val="000000"/>
          <w:sz w:val="24"/>
        </w:rPr>
        <w:t>类基金份额交易代码，后端交易代码即为</w:t>
      </w:r>
      <w:r>
        <w:rPr>
          <w:rFonts w:eastAsiaTheme="minorEastAsia"/>
          <w:color w:val="000000"/>
          <w:sz w:val="24"/>
        </w:rPr>
        <w:t>B</w:t>
      </w:r>
      <w:r>
        <w:rPr>
          <w:rFonts w:eastAsiaTheme="minorEastAsia"/>
          <w:color w:val="000000"/>
          <w:sz w:val="24"/>
        </w:rPr>
        <w:t>类基金份额交易代码。</w:t>
      </w:r>
    </w:p>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、本基金为发起式基金。</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交银纯债债券发起</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交银纯债债券发起</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4,684,665.16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1,502,448.97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4,980,710.37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1,193,199.77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0.0151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0.0114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348,226,324.20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98,917,018.84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1.083</w:t>
            </w:r>
          </w:p>
        </w:tc>
      </w:tr>
    </w:tbl>
    <w:p w:rsidR="0019477A" w:rsidRDefault="0060431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交银纯债债券发起</w:t>
      </w:r>
      <w:r w:rsidR="00A5643A" w:rsidRPr="007F52FA">
        <w:rPr>
          <w:b/>
          <w:color w:val="000000"/>
          <w:kern w:val="0"/>
          <w:sz w:val="24"/>
        </w:rPr>
        <w:t>A/B</w:t>
      </w:r>
      <w:r w:rsidRPr="007F52FA">
        <w:rPr>
          <w:b/>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9477A">
        <w:trPr>
          <w:jc w:val="center"/>
        </w:trPr>
        <w:tc>
          <w:tcPr>
            <w:tcW w:w="1266" w:type="dxa"/>
            <w:vAlign w:val="center"/>
          </w:tcPr>
          <w:p w:rsidR="0019477A" w:rsidRDefault="0060431A">
            <w:pPr>
              <w:jc w:val="left"/>
            </w:pPr>
            <w:r>
              <w:rPr>
                <w:color w:val="000000"/>
                <w:sz w:val="24"/>
              </w:rPr>
              <w:t>过去三个月</w:t>
            </w:r>
          </w:p>
        </w:tc>
        <w:tc>
          <w:tcPr>
            <w:tcW w:w="1267" w:type="dxa"/>
            <w:vAlign w:val="center"/>
          </w:tcPr>
          <w:p w:rsidR="0019477A" w:rsidRDefault="0060431A">
            <w:pPr>
              <w:jc w:val="center"/>
            </w:pPr>
            <w:r>
              <w:rPr>
                <w:color w:val="000000"/>
                <w:sz w:val="24"/>
              </w:rPr>
              <w:t>1.38%</w:t>
            </w:r>
          </w:p>
        </w:tc>
        <w:tc>
          <w:tcPr>
            <w:tcW w:w="1267" w:type="dxa"/>
            <w:vAlign w:val="center"/>
          </w:tcPr>
          <w:p w:rsidR="0019477A" w:rsidRDefault="0060431A">
            <w:pPr>
              <w:jc w:val="center"/>
            </w:pPr>
            <w:r>
              <w:rPr>
                <w:color w:val="000000"/>
                <w:sz w:val="24"/>
              </w:rPr>
              <w:t>0.06%</w:t>
            </w:r>
          </w:p>
        </w:tc>
        <w:tc>
          <w:tcPr>
            <w:tcW w:w="1267" w:type="dxa"/>
            <w:vAlign w:val="center"/>
          </w:tcPr>
          <w:p w:rsidR="0019477A" w:rsidRDefault="0060431A">
            <w:pPr>
              <w:jc w:val="center"/>
            </w:pPr>
            <w:r>
              <w:rPr>
                <w:color w:val="000000"/>
                <w:sz w:val="24"/>
              </w:rPr>
              <w:t>0.47%</w:t>
            </w:r>
          </w:p>
        </w:tc>
        <w:tc>
          <w:tcPr>
            <w:tcW w:w="1267" w:type="dxa"/>
            <w:vAlign w:val="center"/>
          </w:tcPr>
          <w:p w:rsidR="0019477A" w:rsidRDefault="0060431A">
            <w:pPr>
              <w:jc w:val="center"/>
            </w:pPr>
            <w:r>
              <w:rPr>
                <w:color w:val="000000"/>
                <w:sz w:val="24"/>
              </w:rPr>
              <w:t>0.05%</w:t>
            </w:r>
          </w:p>
        </w:tc>
        <w:tc>
          <w:tcPr>
            <w:tcW w:w="1267" w:type="dxa"/>
            <w:vAlign w:val="center"/>
          </w:tcPr>
          <w:p w:rsidR="0019477A" w:rsidRDefault="0060431A">
            <w:pPr>
              <w:jc w:val="center"/>
            </w:pPr>
            <w:r>
              <w:rPr>
                <w:color w:val="000000"/>
                <w:sz w:val="24"/>
              </w:rPr>
              <w:t>0.91%</w:t>
            </w:r>
          </w:p>
        </w:tc>
        <w:tc>
          <w:tcPr>
            <w:tcW w:w="1267" w:type="dxa"/>
            <w:vAlign w:val="center"/>
          </w:tcPr>
          <w:p w:rsidR="0019477A" w:rsidRDefault="0060431A">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交银纯债债券发起</w:t>
      </w:r>
      <w:r w:rsidR="00FE7FBD" w:rsidRPr="007F52FA">
        <w:rPr>
          <w:b/>
          <w:color w:val="000000"/>
          <w:kern w:val="0"/>
          <w:sz w:val="24"/>
        </w:rPr>
        <w:t>C</w:t>
      </w:r>
      <w:r w:rsidRPr="007F52FA">
        <w:rPr>
          <w:b/>
          <w:color w:val="000000"/>
          <w:kern w:val="0"/>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9477A">
        <w:trPr>
          <w:jc w:val="center"/>
        </w:trPr>
        <w:tc>
          <w:tcPr>
            <w:tcW w:w="1266" w:type="dxa"/>
            <w:vAlign w:val="center"/>
          </w:tcPr>
          <w:p w:rsidR="0019477A" w:rsidRDefault="0060431A">
            <w:pPr>
              <w:jc w:val="left"/>
            </w:pPr>
            <w:r>
              <w:rPr>
                <w:color w:val="000000"/>
                <w:sz w:val="24"/>
              </w:rPr>
              <w:t>过去三个月</w:t>
            </w:r>
          </w:p>
        </w:tc>
        <w:tc>
          <w:tcPr>
            <w:tcW w:w="1267" w:type="dxa"/>
            <w:vAlign w:val="center"/>
          </w:tcPr>
          <w:p w:rsidR="0019477A" w:rsidRDefault="0060431A">
            <w:pPr>
              <w:jc w:val="center"/>
            </w:pPr>
            <w:r>
              <w:rPr>
                <w:color w:val="000000"/>
                <w:sz w:val="24"/>
              </w:rPr>
              <w:t>1.30%</w:t>
            </w:r>
          </w:p>
        </w:tc>
        <w:tc>
          <w:tcPr>
            <w:tcW w:w="1267" w:type="dxa"/>
            <w:vAlign w:val="center"/>
          </w:tcPr>
          <w:p w:rsidR="0019477A" w:rsidRDefault="0060431A">
            <w:pPr>
              <w:jc w:val="center"/>
            </w:pPr>
            <w:r>
              <w:rPr>
                <w:color w:val="000000"/>
                <w:sz w:val="24"/>
              </w:rPr>
              <w:t>0.06%</w:t>
            </w:r>
          </w:p>
        </w:tc>
        <w:tc>
          <w:tcPr>
            <w:tcW w:w="1267" w:type="dxa"/>
            <w:vAlign w:val="center"/>
          </w:tcPr>
          <w:p w:rsidR="0019477A" w:rsidRDefault="0060431A">
            <w:pPr>
              <w:jc w:val="center"/>
            </w:pPr>
            <w:r>
              <w:rPr>
                <w:color w:val="000000"/>
                <w:sz w:val="24"/>
              </w:rPr>
              <w:t>0.47%</w:t>
            </w:r>
          </w:p>
        </w:tc>
        <w:tc>
          <w:tcPr>
            <w:tcW w:w="1267" w:type="dxa"/>
            <w:vAlign w:val="center"/>
          </w:tcPr>
          <w:p w:rsidR="0019477A" w:rsidRDefault="0060431A">
            <w:pPr>
              <w:jc w:val="center"/>
            </w:pPr>
            <w:r>
              <w:rPr>
                <w:color w:val="000000"/>
                <w:sz w:val="24"/>
              </w:rPr>
              <w:t>0.05%</w:t>
            </w:r>
          </w:p>
        </w:tc>
        <w:tc>
          <w:tcPr>
            <w:tcW w:w="1267" w:type="dxa"/>
            <w:vAlign w:val="center"/>
          </w:tcPr>
          <w:p w:rsidR="0019477A" w:rsidRDefault="0060431A">
            <w:pPr>
              <w:jc w:val="center"/>
            </w:pPr>
            <w:r>
              <w:rPr>
                <w:color w:val="000000"/>
                <w:sz w:val="24"/>
              </w:rPr>
              <w:t>0.83%</w:t>
            </w:r>
          </w:p>
        </w:tc>
        <w:tc>
          <w:tcPr>
            <w:tcW w:w="1267" w:type="dxa"/>
            <w:vAlign w:val="center"/>
          </w:tcPr>
          <w:p w:rsidR="0019477A" w:rsidRDefault="0060431A">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交银施罗德纯债债券型发起式证券投资基金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交银纯债债券发起</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19477A">
        <w:trPr>
          <w:jc w:val="center"/>
        </w:trPr>
        <w:tc>
          <w:tcPr>
            <w:tcW w:w="946" w:type="dxa"/>
            <w:vAlign w:val="center"/>
          </w:tcPr>
          <w:p w:rsidR="0019477A" w:rsidRDefault="0060431A">
            <w:pPr>
              <w:jc w:val="center"/>
            </w:pPr>
            <w:r>
              <w:rPr>
                <w:color w:val="000000"/>
                <w:sz w:val="24"/>
              </w:rPr>
              <w:t>于海颖</w:t>
            </w:r>
          </w:p>
        </w:tc>
        <w:tc>
          <w:tcPr>
            <w:tcW w:w="924" w:type="dxa"/>
            <w:vAlign w:val="center"/>
          </w:tcPr>
          <w:p w:rsidR="0019477A" w:rsidRDefault="0060431A">
            <w:pPr>
              <w:jc w:val="center"/>
            </w:pPr>
            <w:r>
              <w:rPr>
                <w:color w:val="000000"/>
                <w:sz w:val="24"/>
              </w:rPr>
              <w:t>交银增利债券、交银纯债债券发起、交银丰盈收益债券、交银丰晟收益债券、交银裕如纯债债券的基金经理，公司固定收益（公募）投资总监</w:t>
            </w:r>
          </w:p>
        </w:tc>
        <w:tc>
          <w:tcPr>
            <w:tcW w:w="1202" w:type="dxa"/>
            <w:vAlign w:val="center"/>
          </w:tcPr>
          <w:p w:rsidR="0019477A" w:rsidRDefault="0060431A">
            <w:pPr>
              <w:jc w:val="center"/>
            </w:pPr>
            <w:r>
              <w:rPr>
                <w:color w:val="000000"/>
                <w:sz w:val="24"/>
              </w:rPr>
              <w:t>2017-06-10</w:t>
            </w:r>
          </w:p>
        </w:tc>
        <w:tc>
          <w:tcPr>
            <w:tcW w:w="1300" w:type="dxa"/>
            <w:vAlign w:val="center"/>
          </w:tcPr>
          <w:p w:rsidR="0019477A" w:rsidRDefault="0060431A">
            <w:pPr>
              <w:jc w:val="center"/>
            </w:pPr>
            <w:r>
              <w:rPr>
                <w:color w:val="000000"/>
                <w:sz w:val="24"/>
              </w:rPr>
              <w:t>-</w:t>
            </w:r>
          </w:p>
        </w:tc>
        <w:tc>
          <w:tcPr>
            <w:tcW w:w="1245" w:type="dxa"/>
            <w:vAlign w:val="center"/>
          </w:tcPr>
          <w:p w:rsidR="0019477A" w:rsidRDefault="0060431A">
            <w:pPr>
              <w:jc w:val="center"/>
            </w:pPr>
            <w:r>
              <w:rPr>
                <w:color w:val="000000"/>
                <w:sz w:val="24"/>
              </w:rPr>
              <w:t>13</w:t>
            </w:r>
            <w:r>
              <w:rPr>
                <w:color w:val="000000"/>
                <w:sz w:val="24"/>
              </w:rPr>
              <w:t>年</w:t>
            </w:r>
          </w:p>
        </w:tc>
        <w:tc>
          <w:tcPr>
            <w:tcW w:w="3251" w:type="dxa"/>
            <w:vAlign w:val="center"/>
          </w:tcPr>
          <w:p w:rsidR="0019477A" w:rsidRDefault="0060431A">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w:t>
            </w:r>
            <w:r>
              <w:rPr>
                <w:color w:val="000000"/>
                <w:sz w:val="24"/>
              </w:rPr>
              <w:t>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w:t>
            </w:r>
            <w:r>
              <w:rPr>
                <w:color w:val="000000"/>
                <w:sz w:val="24"/>
              </w:rPr>
              <w:t>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日担任交银施罗德荣鑫保本混合型证券投资基金的基金经理。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日担任交银施罗德荣祥保本混合型证券投资基金的基金经理。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日担任交银施罗德强化回报债券型证券投资基金的基金经理。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w:t>
            </w:r>
            <w:r>
              <w:rPr>
                <w:color w:val="000000"/>
                <w:sz w:val="24"/>
              </w:rPr>
              <w:t>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日担任交银施罗德增利增强债券型证券投资基金的基金经理。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日担任交银施罗德增强收益债券型证券投资基金的基金经理。</w:t>
            </w:r>
          </w:p>
        </w:tc>
      </w:tr>
      <w:tr w:rsidR="0019477A">
        <w:trPr>
          <w:jc w:val="center"/>
        </w:trPr>
        <w:tc>
          <w:tcPr>
            <w:tcW w:w="946" w:type="dxa"/>
            <w:vAlign w:val="center"/>
          </w:tcPr>
          <w:p w:rsidR="0019477A" w:rsidRDefault="0060431A">
            <w:pPr>
              <w:jc w:val="center"/>
            </w:pPr>
            <w:r>
              <w:rPr>
                <w:color w:val="000000"/>
                <w:sz w:val="24"/>
              </w:rPr>
              <w:t>魏玉敏</w:t>
            </w:r>
          </w:p>
        </w:tc>
        <w:tc>
          <w:tcPr>
            <w:tcW w:w="924" w:type="dxa"/>
            <w:vAlign w:val="center"/>
          </w:tcPr>
          <w:p w:rsidR="0019477A" w:rsidRDefault="0060431A">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年农发债指数的基金经理</w:t>
            </w:r>
          </w:p>
        </w:tc>
        <w:tc>
          <w:tcPr>
            <w:tcW w:w="1202" w:type="dxa"/>
            <w:vAlign w:val="center"/>
          </w:tcPr>
          <w:p w:rsidR="0019477A" w:rsidRDefault="0060431A">
            <w:pPr>
              <w:jc w:val="center"/>
            </w:pPr>
            <w:r>
              <w:rPr>
                <w:color w:val="000000"/>
                <w:sz w:val="24"/>
              </w:rPr>
              <w:t>2018-08-29</w:t>
            </w:r>
          </w:p>
        </w:tc>
        <w:tc>
          <w:tcPr>
            <w:tcW w:w="1300" w:type="dxa"/>
            <w:vAlign w:val="center"/>
          </w:tcPr>
          <w:p w:rsidR="0019477A" w:rsidRDefault="0060431A">
            <w:pPr>
              <w:jc w:val="center"/>
            </w:pPr>
            <w:r>
              <w:rPr>
                <w:color w:val="000000"/>
                <w:sz w:val="24"/>
              </w:rPr>
              <w:t>-</w:t>
            </w:r>
          </w:p>
        </w:tc>
        <w:tc>
          <w:tcPr>
            <w:tcW w:w="1245" w:type="dxa"/>
            <w:vAlign w:val="center"/>
          </w:tcPr>
          <w:p w:rsidR="0019477A" w:rsidRDefault="0060431A">
            <w:pPr>
              <w:jc w:val="center"/>
            </w:pPr>
            <w:r>
              <w:rPr>
                <w:color w:val="000000"/>
                <w:sz w:val="24"/>
              </w:rPr>
              <w:t>7</w:t>
            </w:r>
            <w:r>
              <w:rPr>
                <w:color w:val="000000"/>
                <w:sz w:val="24"/>
              </w:rPr>
              <w:t>年</w:t>
            </w:r>
          </w:p>
        </w:tc>
        <w:tc>
          <w:tcPr>
            <w:tcW w:w="3251" w:type="dxa"/>
            <w:vAlign w:val="center"/>
          </w:tcPr>
          <w:p w:rsidR="0019477A" w:rsidRDefault="0060431A">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19477A" w:rsidRDefault="0060431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9477A" w:rsidRDefault="0060431A">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9477A" w:rsidRDefault="0060431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19477A" w:rsidRDefault="0060431A">
      <w:pPr>
        <w:spacing w:before="29" w:line="288" w:lineRule="auto"/>
        <w:ind w:firstLineChars="200" w:firstLine="480"/>
        <w:rPr>
          <w:color w:val="000000"/>
          <w:sz w:val="24"/>
        </w:rPr>
      </w:pPr>
      <w:r>
        <w:rPr>
          <w:color w:val="000000"/>
          <w:sz w:val="24"/>
        </w:rPr>
        <w:t>2019</w:t>
      </w:r>
      <w:r>
        <w:rPr>
          <w:color w:val="000000"/>
          <w:sz w:val="24"/>
        </w:rPr>
        <w:t>年一季度以来债券市场的交易逻辑从去年的</w:t>
      </w:r>
      <w:r>
        <w:rPr>
          <w:color w:val="000000"/>
          <w:sz w:val="24"/>
        </w:rPr>
        <w:t>“</w:t>
      </w:r>
      <w:r>
        <w:rPr>
          <w:color w:val="000000"/>
          <w:sz w:val="24"/>
        </w:rPr>
        <w:t>宽货币紧信用</w:t>
      </w:r>
      <w:r>
        <w:rPr>
          <w:color w:val="000000"/>
          <w:sz w:val="24"/>
        </w:rPr>
        <w:t>”</w:t>
      </w:r>
      <w:r>
        <w:rPr>
          <w:color w:val="000000"/>
          <w:sz w:val="24"/>
        </w:rPr>
        <w:t>逐步转向</w:t>
      </w:r>
      <w:r>
        <w:rPr>
          <w:color w:val="000000"/>
          <w:sz w:val="24"/>
        </w:rPr>
        <w:t>“</w:t>
      </w:r>
      <w:r>
        <w:rPr>
          <w:color w:val="000000"/>
          <w:sz w:val="24"/>
        </w:rPr>
        <w:t>宽货币宽信用</w:t>
      </w:r>
      <w:r>
        <w:rPr>
          <w:color w:val="000000"/>
          <w:sz w:val="24"/>
        </w:rPr>
        <w:t>”</w:t>
      </w:r>
      <w:r>
        <w:rPr>
          <w:color w:val="000000"/>
          <w:sz w:val="24"/>
        </w:rPr>
        <w:t>，随着经济托底政策的推进，市场对前期经济的悲观预期明显修复，债券收益率下行受阻，权益市场风险偏好回升。今年以来市场对基本面的分歧加大，对融资数据和经济增长数据何时企稳讨论更多。融资方面，由于春节错位导致的一月的的社融大增和二月的社融缩量，使得判断融资数据是否企稳分歧加大。经济增长方面，春节复工情况是普遍关注焦点，分项看消费波动不大，投资端的制造业下行和基建回升形成对冲，主要观察点在出口和地</w:t>
      </w:r>
      <w:r>
        <w:rPr>
          <w:color w:val="000000"/>
          <w:sz w:val="24"/>
        </w:rPr>
        <w:t>产投资。通胀方面，整体判断全年中枢依然较低，但由于猪肉价格的明显上涨，</w:t>
      </w:r>
      <w:r>
        <w:rPr>
          <w:color w:val="000000"/>
          <w:sz w:val="24"/>
        </w:rPr>
        <w:t>CPI</w:t>
      </w:r>
      <w:r>
        <w:rPr>
          <w:color w:val="000000"/>
          <w:sz w:val="24"/>
        </w:rPr>
        <w:t>可能超预期成为市场的隐忧。总体而言随着经济预期的修复债券市场方向不明，一季度维持弱势震荡。</w:t>
      </w:r>
    </w:p>
    <w:p w:rsidR="0019477A" w:rsidRDefault="0060431A">
      <w:pPr>
        <w:spacing w:before="29" w:line="288" w:lineRule="auto"/>
        <w:ind w:firstLineChars="200" w:firstLine="480"/>
        <w:rPr>
          <w:color w:val="000000"/>
          <w:sz w:val="24"/>
        </w:rPr>
      </w:pPr>
      <w:r>
        <w:rPr>
          <w:color w:val="000000"/>
          <w:sz w:val="24"/>
        </w:rPr>
        <w:t>报告期内，基于对宏观经济的判断，结合市场收益率曲线的形态动态而进行了组合调整，适当缩短组合久期配置，由于资金仍然较为宽松，组合维持了较高的杠杆操作，券种配置组合以信用债为底仓，获得较好的票息收益和杠杆收益。同时，组合以较小的仓位进行了阶段性的长久期利率债波段操作，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债券市场在资金面预期边际收紧，通胀预期抬升和股市风险偏好上行等多重因素下仍将维持弱势震荡。当前时点股债跷跷板效应较为明显，股市估值修复和中美贸易摩擦缓和有利风险偏好的提升，同时由于货币政策处于观察期而市场对降准降息有一定期待，短期内宽松预期可能会出现反复，预计短端维持平稳、长端延续震荡走势。后期债券市场的机会需要等待基本面更加明确的下行。中长期来看，债券市场牛市尚未结束，从社融企稳到经济企稳至少存在半年以上的时间差，只有投资企稳拉动经济上行债市才会出现由牛转熊的拐点。往后看，全球经济增速放缓带来的出口下行以及棚改退潮带来地产投资的回落是经济增长的主要拖累项。此外全球央行货币政策宽松格局下，国内经济企稳之前货币政策预计将维持宽松。操作策略方面，我们关注信用债的票息机会，继续以中高等级信用债为配置重点，并维持中等的杠杆水平，以期提升组合整体静态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6"/>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524,406,724.80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96.53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524,406,724.80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96.53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279,535.64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18,564,991.58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543,251,252.02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60431A">
        <w:rPr>
          <w:rFonts w:eastAsiaTheme="minorEastAsia" w:hint="eastAsia"/>
          <w:b/>
          <w:color w:val="000000" w:themeColor="text1"/>
          <w:kern w:val="0"/>
          <w:sz w:val="24"/>
        </w:rPr>
        <w:t>5.2.2</w:t>
      </w:r>
      <w:r w:rsidRPr="008A409E">
        <w:rPr>
          <w:rFonts w:asciiTheme="minorEastAsia" w:eastAsiaTheme="minorEastAsia" w:hAnsiTheme="minorEastAsia" w:hint="eastAsia"/>
          <w:b/>
          <w:bCs/>
          <w:color w:val="000000" w:themeColor="text1"/>
          <w:kern w:val="0"/>
          <w:sz w:val="24"/>
        </w:rPr>
        <w:t>报</w:t>
      </w:r>
      <w:bookmarkStart w:id="0" w:name="_GoBack"/>
      <w:bookmarkEnd w:id="0"/>
      <w:r w:rsidRPr="008A409E">
        <w:rPr>
          <w:rFonts w:asciiTheme="minorEastAsia" w:eastAsiaTheme="minorEastAsia" w:hAnsiTheme="minorEastAsia" w:hint="eastAsia"/>
          <w:b/>
          <w:bCs/>
          <w:color w:val="000000" w:themeColor="text1"/>
          <w:kern w:val="0"/>
          <w:sz w:val="24"/>
        </w:rPr>
        <w:t>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395,360.00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0.09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51,191,000.00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11.45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51,191,000.00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11.45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105,700,364.80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23.64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90,217,000.00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20.18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276,903,000.00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61.93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524,406,724.80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117.28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6"/>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19477A">
        <w:trPr>
          <w:jc w:val="center"/>
        </w:trPr>
        <w:tc>
          <w:tcPr>
            <w:tcW w:w="1075" w:type="dxa"/>
            <w:vAlign w:val="center"/>
          </w:tcPr>
          <w:p w:rsidR="0019477A" w:rsidRDefault="0060431A">
            <w:pPr>
              <w:jc w:val="center"/>
            </w:pPr>
            <w:r>
              <w:rPr>
                <w:color w:val="000000"/>
                <w:sz w:val="24"/>
              </w:rPr>
              <w:t>1</w:t>
            </w:r>
          </w:p>
        </w:tc>
        <w:tc>
          <w:tcPr>
            <w:tcW w:w="1533" w:type="dxa"/>
            <w:vAlign w:val="center"/>
          </w:tcPr>
          <w:p w:rsidR="0019477A" w:rsidRDefault="0060431A">
            <w:pPr>
              <w:jc w:val="center"/>
            </w:pPr>
            <w:r>
              <w:rPr>
                <w:color w:val="000000"/>
                <w:sz w:val="24"/>
              </w:rPr>
              <w:t>011900369</w:t>
            </w:r>
          </w:p>
        </w:tc>
        <w:tc>
          <w:tcPr>
            <w:tcW w:w="1533" w:type="dxa"/>
            <w:vAlign w:val="center"/>
          </w:tcPr>
          <w:p w:rsidR="0019477A" w:rsidRDefault="0060431A">
            <w:pPr>
              <w:jc w:val="center"/>
            </w:pPr>
            <w:r>
              <w:rPr>
                <w:color w:val="000000"/>
                <w:sz w:val="24"/>
              </w:rPr>
              <w:t>19</w:t>
            </w:r>
            <w:r>
              <w:rPr>
                <w:color w:val="000000"/>
                <w:sz w:val="24"/>
              </w:rPr>
              <w:t>华发集团</w:t>
            </w:r>
            <w:r>
              <w:rPr>
                <w:color w:val="000000"/>
                <w:sz w:val="24"/>
              </w:rPr>
              <w:t>SCP001</w:t>
            </w:r>
          </w:p>
        </w:tc>
        <w:tc>
          <w:tcPr>
            <w:tcW w:w="1394" w:type="dxa"/>
            <w:vAlign w:val="center"/>
          </w:tcPr>
          <w:p w:rsidR="0019477A" w:rsidRDefault="0060431A">
            <w:pPr>
              <w:jc w:val="right"/>
            </w:pPr>
            <w:r>
              <w:rPr>
                <w:color w:val="000000"/>
                <w:sz w:val="24"/>
              </w:rPr>
              <w:t>300,000</w:t>
            </w:r>
          </w:p>
        </w:tc>
        <w:tc>
          <w:tcPr>
            <w:tcW w:w="1944" w:type="dxa"/>
            <w:vAlign w:val="center"/>
          </w:tcPr>
          <w:p w:rsidR="0019477A" w:rsidRDefault="0060431A">
            <w:pPr>
              <w:jc w:val="right"/>
            </w:pPr>
            <w:r>
              <w:rPr>
                <w:color w:val="000000"/>
                <w:sz w:val="24"/>
              </w:rPr>
              <w:t>29,991,000.00</w:t>
            </w:r>
          </w:p>
        </w:tc>
        <w:tc>
          <w:tcPr>
            <w:tcW w:w="1389" w:type="dxa"/>
            <w:vAlign w:val="center"/>
          </w:tcPr>
          <w:p w:rsidR="0019477A" w:rsidRDefault="0060431A">
            <w:pPr>
              <w:jc w:val="right"/>
            </w:pPr>
            <w:r>
              <w:rPr>
                <w:color w:val="000000"/>
                <w:sz w:val="24"/>
              </w:rPr>
              <w:t>6.71</w:t>
            </w:r>
          </w:p>
        </w:tc>
      </w:tr>
      <w:tr w:rsidR="0019477A">
        <w:trPr>
          <w:jc w:val="center"/>
        </w:trPr>
        <w:tc>
          <w:tcPr>
            <w:tcW w:w="1075" w:type="dxa"/>
            <w:vAlign w:val="center"/>
          </w:tcPr>
          <w:p w:rsidR="0019477A" w:rsidRDefault="0060431A">
            <w:pPr>
              <w:jc w:val="center"/>
            </w:pPr>
            <w:r>
              <w:rPr>
                <w:color w:val="000000"/>
                <w:sz w:val="24"/>
              </w:rPr>
              <w:t>2</w:t>
            </w:r>
          </w:p>
        </w:tc>
        <w:tc>
          <w:tcPr>
            <w:tcW w:w="1533" w:type="dxa"/>
            <w:vAlign w:val="center"/>
          </w:tcPr>
          <w:p w:rsidR="0019477A" w:rsidRDefault="0060431A">
            <w:pPr>
              <w:jc w:val="center"/>
            </w:pPr>
            <w:r>
              <w:rPr>
                <w:color w:val="000000"/>
                <w:sz w:val="24"/>
              </w:rPr>
              <w:t>127334</w:t>
            </w:r>
          </w:p>
        </w:tc>
        <w:tc>
          <w:tcPr>
            <w:tcW w:w="1533" w:type="dxa"/>
            <w:vAlign w:val="center"/>
          </w:tcPr>
          <w:p w:rsidR="0019477A" w:rsidRDefault="0060431A">
            <w:pPr>
              <w:jc w:val="center"/>
            </w:pPr>
            <w:r>
              <w:rPr>
                <w:color w:val="000000"/>
                <w:sz w:val="24"/>
              </w:rPr>
              <w:t>15</w:t>
            </w:r>
            <w:r>
              <w:rPr>
                <w:color w:val="000000"/>
                <w:sz w:val="24"/>
              </w:rPr>
              <w:t>锡创投</w:t>
            </w:r>
          </w:p>
        </w:tc>
        <w:tc>
          <w:tcPr>
            <w:tcW w:w="1394" w:type="dxa"/>
            <w:vAlign w:val="center"/>
          </w:tcPr>
          <w:p w:rsidR="0019477A" w:rsidRDefault="0060431A">
            <w:pPr>
              <w:jc w:val="right"/>
            </w:pPr>
            <w:r>
              <w:rPr>
                <w:color w:val="000000"/>
                <w:sz w:val="24"/>
              </w:rPr>
              <w:t>300,000</w:t>
            </w:r>
          </w:p>
        </w:tc>
        <w:tc>
          <w:tcPr>
            <w:tcW w:w="1944" w:type="dxa"/>
            <w:vAlign w:val="center"/>
          </w:tcPr>
          <w:p w:rsidR="0019477A" w:rsidRDefault="0060431A">
            <w:pPr>
              <w:jc w:val="right"/>
            </w:pPr>
            <w:r>
              <w:rPr>
                <w:color w:val="000000"/>
                <w:sz w:val="24"/>
              </w:rPr>
              <w:t>29,922,000.00</w:t>
            </w:r>
          </w:p>
        </w:tc>
        <w:tc>
          <w:tcPr>
            <w:tcW w:w="1389" w:type="dxa"/>
            <w:vAlign w:val="center"/>
          </w:tcPr>
          <w:p w:rsidR="0019477A" w:rsidRDefault="0060431A">
            <w:pPr>
              <w:jc w:val="right"/>
            </w:pPr>
            <w:r>
              <w:rPr>
                <w:color w:val="000000"/>
                <w:sz w:val="24"/>
              </w:rPr>
              <w:t>6.69</w:t>
            </w:r>
          </w:p>
        </w:tc>
      </w:tr>
      <w:tr w:rsidR="0019477A">
        <w:trPr>
          <w:jc w:val="center"/>
        </w:trPr>
        <w:tc>
          <w:tcPr>
            <w:tcW w:w="1075" w:type="dxa"/>
            <w:vAlign w:val="center"/>
          </w:tcPr>
          <w:p w:rsidR="0019477A" w:rsidRDefault="0060431A">
            <w:pPr>
              <w:jc w:val="center"/>
            </w:pPr>
            <w:r>
              <w:rPr>
                <w:color w:val="000000"/>
                <w:sz w:val="24"/>
              </w:rPr>
              <w:t>3</w:t>
            </w:r>
          </w:p>
        </w:tc>
        <w:tc>
          <w:tcPr>
            <w:tcW w:w="1533" w:type="dxa"/>
            <w:vAlign w:val="center"/>
          </w:tcPr>
          <w:p w:rsidR="0019477A" w:rsidRDefault="0060431A">
            <w:pPr>
              <w:jc w:val="center"/>
            </w:pPr>
            <w:r>
              <w:rPr>
                <w:color w:val="000000"/>
                <w:sz w:val="24"/>
              </w:rPr>
              <w:t>180406</w:t>
            </w:r>
          </w:p>
        </w:tc>
        <w:tc>
          <w:tcPr>
            <w:tcW w:w="1533" w:type="dxa"/>
            <w:vAlign w:val="center"/>
          </w:tcPr>
          <w:p w:rsidR="0019477A" w:rsidRDefault="0060431A">
            <w:pPr>
              <w:jc w:val="center"/>
            </w:pPr>
            <w:r>
              <w:rPr>
                <w:color w:val="000000"/>
                <w:sz w:val="24"/>
              </w:rPr>
              <w:t>18</w:t>
            </w:r>
            <w:r>
              <w:rPr>
                <w:color w:val="000000"/>
                <w:sz w:val="24"/>
              </w:rPr>
              <w:t>农发</w:t>
            </w:r>
            <w:r>
              <w:rPr>
                <w:color w:val="000000"/>
                <w:sz w:val="24"/>
              </w:rPr>
              <w:t>06</w:t>
            </w:r>
          </w:p>
        </w:tc>
        <w:tc>
          <w:tcPr>
            <w:tcW w:w="1394" w:type="dxa"/>
            <w:vAlign w:val="center"/>
          </w:tcPr>
          <w:p w:rsidR="0019477A" w:rsidRDefault="0060431A">
            <w:pPr>
              <w:jc w:val="right"/>
            </w:pPr>
            <w:r>
              <w:rPr>
                <w:color w:val="000000"/>
                <w:sz w:val="24"/>
              </w:rPr>
              <w:t>200,000</w:t>
            </w:r>
          </w:p>
        </w:tc>
        <w:tc>
          <w:tcPr>
            <w:tcW w:w="1944" w:type="dxa"/>
            <w:vAlign w:val="center"/>
          </w:tcPr>
          <w:p w:rsidR="0019477A" w:rsidRDefault="0060431A">
            <w:pPr>
              <w:jc w:val="right"/>
            </w:pPr>
            <w:r>
              <w:rPr>
                <w:color w:val="000000"/>
                <w:sz w:val="24"/>
              </w:rPr>
              <w:t>21,190,000.00</w:t>
            </w:r>
          </w:p>
        </w:tc>
        <w:tc>
          <w:tcPr>
            <w:tcW w:w="1389" w:type="dxa"/>
            <w:vAlign w:val="center"/>
          </w:tcPr>
          <w:p w:rsidR="0019477A" w:rsidRDefault="0060431A">
            <w:pPr>
              <w:jc w:val="right"/>
            </w:pPr>
            <w:r>
              <w:rPr>
                <w:color w:val="000000"/>
                <w:sz w:val="24"/>
              </w:rPr>
              <w:t>4.74</w:t>
            </w:r>
          </w:p>
        </w:tc>
      </w:tr>
      <w:tr w:rsidR="0019477A">
        <w:trPr>
          <w:jc w:val="center"/>
        </w:trPr>
        <w:tc>
          <w:tcPr>
            <w:tcW w:w="1075" w:type="dxa"/>
            <w:vAlign w:val="center"/>
          </w:tcPr>
          <w:p w:rsidR="0019477A" w:rsidRDefault="0060431A">
            <w:pPr>
              <w:jc w:val="center"/>
            </w:pPr>
            <w:r>
              <w:rPr>
                <w:color w:val="000000"/>
                <w:sz w:val="24"/>
              </w:rPr>
              <w:t>4</w:t>
            </w:r>
          </w:p>
        </w:tc>
        <w:tc>
          <w:tcPr>
            <w:tcW w:w="1533" w:type="dxa"/>
            <w:vAlign w:val="center"/>
          </w:tcPr>
          <w:p w:rsidR="0019477A" w:rsidRDefault="0060431A">
            <w:pPr>
              <w:jc w:val="center"/>
            </w:pPr>
            <w:r>
              <w:rPr>
                <w:color w:val="000000"/>
                <w:sz w:val="24"/>
              </w:rPr>
              <w:t>101800493</w:t>
            </w:r>
          </w:p>
        </w:tc>
        <w:tc>
          <w:tcPr>
            <w:tcW w:w="1533" w:type="dxa"/>
            <w:vAlign w:val="center"/>
          </w:tcPr>
          <w:p w:rsidR="0019477A" w:rsidRDefault="0060431A">
            <w:pPr>
              <w:jc w:val="center"/>
            </w:pPr>
            <w:r>
              <w:rPr>
                <w:color w:val="000000"/>
                <w:sz w:val="24"/>
              </w:rPr>
              <w:t>18</w:t>
            </w:r>
            <w:r>
              <w:rPr>
                <w:color w:val="000000"/>
                <w:sz w:val="24"/>
              </w:rPr>
              <w:t>青岛黄岛</w:t>
            </w:r>
            <w:r>
              <w:rPr>
                <w:color w:val="000000"/>
                <w:sz w:val="24"/>
              </w:rPr>
              <w:t>MTN001</w:t>
            </w:r>
          </w:p>
        </w:tc>
        <w:tc>
          <w:tcPr>
            <w:tcW w:w="1394" w:type="dxa"/>
            <w:vAlign w:val="center"/>
          </w:tcPr>
          <w:p w:rsidR="0019477A" w:rsidRDefault="0060431A">
            <w:pPr>
              <w:jc w:val="right"/>
            </w:pPr>
            <w:r>
              <w:rPr>
                <w:color w:val="000000"/>
                <w:sz w:val="24"/>
              </w:rPr>
              <w:t>200,000</w:t>
            </w:r>
          </w:p>
        </w:tc>
        <w:tc>
          <w:tcPr>
            <w:tcW w:w="1944" w:type="dxa"/>
            <w:vAlign w:val="center"/>
          </w:tcPr>
          <w:p w:rsidR="0019477A" w:rsidRDefault="0060431A">
            <w:pPr>
              <w:jc w:val="right"/>
            </w:pPr>
            <w:r>
              <w:rPr>
                <w:color w:val="000000"/>
                <w:sz w:val="24"/>
              </w:rPr>
              <w:t>21,006,000.00</w:t>
            </w:r>
          </w:p>
        </w:tc>
        <w:tc>
          <w:tcPr>
            <w:tcW w:w="1389" w:type="dxa"/>
            <w:vAlign w:val="center"/>
          </w:tcPr>
          <w:p w:rsidR="0019477A" w:rsidRDefault="0060431A">
            <w:pPr>
              <w:jc w:val="right"/>
            </w:pPr>
            <w:r>
              <w:rPr>
                <w:color w:val="000000"/>
                <w:sz w:val="24"/>
              </w:rPr>
              <w:t>4.70</w:t>
            </w:r>
          </w:p>
        </w:tc>
      </w:tr>
      <w:tr w:rsidR="0019477A">
        <w:trPr>
          <w:jc w:val="center"/>
        </w:trPr>
        <w:tc>
          <w:tcPr>
            <w:tcW w:w="1075" w:type="dxa"/>
            <w:vAlign w:val="center"/>
          </w:tcPr>
          <w:p w:rsidR="0019477A" w:rsidRDefault="0060431A">
            <w:pPr>
              <w:jc w:val="center"/>
            </w:pPr>
            <w:r>
              <w:rPr>
                <w:color w:val="000000"/>
                <w:sz w:val="24"/>
              </w:rPr>
              <w:t>5</w:t>
            </w:r>
          </w:p>
        </w:tc>
        <w:tc>
          <w:tcPr>
            <w:tcW w:w="1533" w:type="dxa"/>
            <w:vAlign w:val="center"/>
          </w:tcPr>
          <w:p w:rsidR="0019477A" w:rsidRDefault="0060431A">
            <w:pPr>
              <w:jc w:val="center"/>
            </w:pPr>
            <w:r>
              <w:rPr>
                <w:color w:val="000000"/>
                <w:sz w:val="24"/>
              </w:rPr>
              <w:t>101800775</w:t>
            </w:r>
          </w:p>
        </w:tc>
        <w:tc>
          <w:tcPr>
            <w:tcW w:w="1533" w:type="dxa"/>
            <w:vAlign w:val="center"/>
          </w:tcPr>
          <w:p w:rsidR="0019477A" w:rsidRDefault="0060431A">
            <w:pPr>
              <w:jc w:val="center"/>
            </w:pPr>
            <w:r>
              <w:rPr>
                <w:color w:val="000000"/>
                <w:sz w:val="24"/>
              </w:rPr>
              <w:t>18</w:t>
            </w:r>
            <w:r>
              <w:rPr>
                <w:color w:val="000000"/>
                <w:sz w:val="24"/>
              </w:rPr>
              <w:t>苏新国资</w:t>
            </w:r>
            <w:r>
              <w:rPr>
                <w:color w:val="000000"/>
                <w:sz w:val="24"/>
              </w:rPr>
              <w:t>MTN002B</w:t>
            </w:r>
          </w:p>
        </w:tc>
        <w:tc>
          <w:tcPr>
            <w:tcW w:w="1394" w:type="dxa"/>
            <w:vAlign w:val="center"/>
          </w:tcPr>
          <w:p w:rsidR="0019477A" w:rsidRDefault="0060431A">
            <w:pPr>
              <w:jc w:val="right"/>
            </w:pPr>
            <w:r>
              <w:rPr>
                <w:color w:val="000000"/>
                <w:sz w:val="24"/>
              </w:rPr>
              <w:t>200,000</w:t>
            </w:r>
          </w:p>
        </w:tc>
        <w:tc>
          <w:tcPr>
            <w:tcW w:w="1944" w:type="dxa"/>
            <w:vAlign w:val="center"/>
          </w:tcPr>
          <w:p w:rsidR="0019477A" w:rsidRDefault="0060431A">
            <w:pPr>
              <w:jc w:val="right"/>
            </w:pPr>
            <w:r>
              <w:rPr>
                <w:color w:val="000000"/>
                <w:sz w:val="24"/>
              </w:rPr>
              <w:t>20,986,000.00</w:t>
            </w:r>
          </w:p>
        </w:tc>
        <w:tc>
          <w:tcPr>
            <w:tcW w:w="1389" w:type="dxa"/>
            <w:vAlign w:val="center"/>
          </w:tcPr>
          <w:p w:rsidR="0019477A" w:rsidRDefault="0060431A">
            <w:pPr>
              <w:jc w:val="right"/>
            </w:pPr>
            <w:r>
              <w:rPr>
                <w:color w:val="000000"/>
                <w:sz w:val="24"/>
              </w:rPr>
              <w:t>4.69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6"/>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21,909.77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10,044,787.30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8,498,294.51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18,564,991.58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237,993,758.36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62,329,687.62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248,356,703.62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193,267,418.84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167,222,250.24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164,299,356.91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319,128,211.74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91,297,749.55</w:t>
            </w:r>
          </w:p>
        </w:tc>
      </w:tr>
    </w:tbl>
    <w:p w:rsidR="0019477A" w:rsidRDefault="0060431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B47574" w:rsidRPr="007F52FA" w:rsidRDefault="00B47574" w:rsidP="000A2988">
      <w:pPr>
        <w:pStyle w:val="1"/>
        <w:spacing w:beforeLines="100" w:before="312" w:afterLines="100" w:after="312" w:line="288" w:lineRule="auto"/>
        <w:jc w:val="center"/>
        <w:rPr>
          <w:rFonts w:eastAsiaTheme="minorEastAsia"/>
          <w:b w:val="0"/>
          <w:color w:val="000000"/>
          <w:sz w:val="24"/>
          <w:szCs w:val="24"/>
        </w:rPr>
      </w:pPr>
      <w:r w:rsidRPr="007F52FA">
        <w:rPr>
          <w:rFonts w:eastAsiaTheme="minorEastAsia"/>
          <w:color w:val="000000"/>
          <w:kern w:val="0"/>
          <w:sz w:val="24"/>
          <w:szCs w:val="24"/>
        </w:rPr>
        <w:t xml:space="preserve">§9  </w:t>
      </w:r>
      <w:r w:rsidR="00EA7533" w:rsidRPr="007F52FA">
        <w:rPr>
          <w:rFonts w:eastAsiaTheme="minorEastAsia"/>
          <w:color w:val="000000"/>
          <w:kern w:val="0"/>
          <w:sz w:val="24"/>
          <w:szCs w:val="24"/>
        </w:rPr>
        <w:t>报告期末</w:t>
      </w:r>
      <w:r w:rsidRPr="007F52FA">
        <w:rPr>
          <w:rFonts w:eastAsiaTheme="minorEastAsia"/>
          <w:color w:val="000000"/>
          <w:kern w:val="0"/>
          <w:sz w:val="24"/>
          <w:szCs w:val="24"/>
        </w:rPr>
        <w:t>发起式基金发起资金持有份额情况</w:t>
      </w:r>
    </w:p>
    <w:p w:rsidR="00B47574" w:rsidRPr="007F52FA" w:rsidRDefault="00B4757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基金管理人于本基金募集期内运用固有资金认购本基金份额</w:t>
      </w:r>
      <w:r w:rsidRPr="007F52FA">
        <w:rPr>
          <w:rFonts w:eastAsiaTheme="minorEastAsia"/>
          <w:color w:val="000000"/>
          <w:sz w:val="24"/>
        </w:rPr>
        <w:t>10,000,000.00</w:t>
      </w:r>
      <w:r w:rsidRPr="007F52FA">
        <w:rPr>
          <w:rFonts w:eastAsiaTheme="minorEastAsia"/>
          <w:color w:val="000000"/>
          <w:sz w:val="24"/>
        </w:rPr>
        <w:t>元人民币（不含募集期利息结转的份额），作为本基金的发起资金。自本基金基金合同生效之日起，发起资金所认购的基金份额持有期限不低于三年。本基金管理人持有的发起份额已于</w:t>
      </w:r>
      <w:r w:rsidRPr="007F52FA">
        <w:rPr>
          <w:rFonts w:eastAsiaTheme="minorEastAsia"/>
          <w:color w:val="000000"/>
          <w:sz w:val="24"/>
        </w:rPr>
        <w:t>2017</w:t>
      </w:r>
      <w:r w:rsidRPr="007F52FA">
        <w:rPr>
          <w:rFonts w:eastAsiaTheme="minorEastAsia"/>
          <w:color w:val="000000"/>
          <w:sz w:val="24"/>
        </w:rPr>
        <w:t>年一季度全部赎回，相应份额的持有期限符合基金合同的约定。</w:t>
      </w:r>
    </w:p>
    <w:p w:rsidR="00574FC7" w:rsidRPr="007F52FA" w:rsidRDefault="00574FC7"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§10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10.1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19477A">
        <w:tc>
          <w:tcPr>
            <w:tcW w:w="992" w:type="dxa"/>
            <w:vMerge w:val="restart"/>
          </w:tcPr>
          <w:p w:rsidR="0019477A" w:rsidRDefault="0019477A"/>
          <w:p w:rsidR="0019477A" w:rsidRDefault="0060431A">
            <w:r>
              <w:rPr>
                <w:rFonts w:ascii="宋体" w:hAnsi="宋体" w:hint="eastAsia"/>
                <w:bCs/>
                <w:color w:val="000000"/>
                <w:kern w:val="0"/>
                <w:szCs w:val="21"/>
              </w:rPr>
              <w:t>机构</w:t>
            </w:r>
          </w:p>
        </w:tc>
        <w:tc>
          <w:tcPr>
            <w:tcW w:w="991" w:type="dxa"/>
            <w:vAlign w:val="center"/>
          </w:tcPr>
          <w:p w:rsidR="0019477A" w:rsidRDefault="0060431A">
            <w:pPr>
              <w:jc w:val="center"/>
            </w:pPr>
            <w:r>
              <w:rPr>
                <w:rFonts w:ascii="宋体" w:hAnsi="宋体" w:hint="eastAsia"/>
                <w:color w:val="000000"/>
                <w:kern w:val="0"/>
                <w:szCs w:val="21"/>
              </w:rPr>
              <w:t>1</w:t>
            </w:r>
          </w:p>
        </w:tc>
        <w:tc>
          <w:tcPr>
            <w:tcW w:w="1843" w:type="dxa"/>
            <w:vAlign w:val="center"/>
          </w:tcPr>
          <w:p w:rsidR="0019477A" w:rsidRDefault="0060431A">
            <w:pPr>
              <w:jc w:val="center"/>
            </w:pPr>
            <w:r>
              <w:rPr>
                <w:rFonts w:ascii="宋体" w:hAnsi="宋体" w:hint="eastAsia"/>
                <w:color w:val="000000"/>
                <w:kern w:val="0"/>
                <w:szCs w:val="21"/>
              </w:rPr>
              <w:t>2019/1/1-2019/3/31</w:t>
            </w:r>
          </w:p>
        </w:tc>
        <w:tc>
          <w:tcPr>
            <w:tcW w:w="851" w:type="dxa"/>
            <w:vAlign w:val="center"/>
          </w:tcPr>
          <w:p w:rsidR="0019477A" w:rsidRDefault="0060431A">
            <w:pPr>
              <w:jc w:val="center"/>
            </w:pPr>
            <w:r>
              <w:rPr>
                <w:rFonts w:ascii="宋体" w:hAnsi="宋体" w:hint="eastAsia"/>
                <w:color w:val="000000"/>
                <w:kern w:val="0"/>
                <w:szCs w:val="21"/>
              </w:rPr>
              <w:t>37,703,945.31</w:t>
            </w:r>
          </w:p>
        </w:tc>
        <w:tc>
          <w:tcPr>
            <w:tcW w:w="850" w:type="dxa"/>
            <w:vAlign w:val="center"/>
          </w:tcPr>
          <w:p w:rsidR="0019477A" w:rsidRDefault="0060431A">
            <w:pPr>
              <w:jc w:val="center"/>
            </w:pPr>
            <w:r>
              <w:rPr>
                <w:rFonts w:ascii="宋体" w:hAnsi="宋体" w:hint="eastAsia"/>
                <w:color w:val="000000"/>
                <w:kern w:val="0"/>
                <w:szCs w:val="21"/>
              </w:rPr>
              <w:t>45,727,981.45</w:t>
            </w:r>
          </w:p>
        </w:tc>
        <w:tc>
          <w:tcPr>
            <w:tcW w:w="1134" w:type="dxa"/>
            <w:vAlign w:val="center"/>
          </w:tcPr>
          <w:p w:rsidR="0019477A" w:rsidRDefault="0060431A">
            <w:pPr>
              <w:jc w:val="center"/>
            </w:pPr>
            <w:r>
              <w:rPr>
                <w:rFonts w:ascii="宋体" w:hAnsi="宋体" w:hint="eastAsia"/>
                <w:color w:val="000000"/>
                <w:kern w:val="0"/>
                <w:szCs w:val="21"/>
              </w:rPr>
              <w:t>23,280,621.57</w:t>
            </w:r>
          </w:p>
        </w:tc>
        <w:tc>
          <w:tcPr>
            <w:tcW w:w="1419" w:type="dxa"/>
            <w:vAlign w:val="center"/>
          </w:tcPr>
          <w:p w:rsidR="0019477A" w:rsidRDefault="0060431A">
            <w:pPr>
              <w:jc w:val="center"/>
            </w:pPr>
            <w:r>
              <w:rPr>
                <w:rFonts w:ascii="宋体" w:hAnsi="宋体" w:hint="eastAsia"/>
                <w:color w:val="000000"/>
                <w:kern w:val="0"/>
                <w:szCs w:val="21"/>
              </w:rPr>
              <w:t>60,151,305.19</w:t>
            </w:r>
          </w:p>
        </w:tc>
        <w:tc>
          <w:tcPr>
            <w:tcW w:w="1130" w:type="dxa"/>
            <w:vAlign w:val="center"/>
          </w:tcPr>
          <w:p w:rsidR="0019477A" w:rsidRDefault="0060431A">
            <w:pPr>
              <w:jc w:val="center"/>
            </w:pPr>
            <w:r>
              <w:rPr>
                <w:rFonts w:ascii="宋体" w:hAnsi="宋体" w:hint="eastAsia"/>
                <w:color w:val="000000"/>
                <w:kern w:val="0"/>
                <w:szCs w:val="21"/>
              </w:rPr>
              <w:t>14.66%</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11</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11.</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19477A" w:rsidRDefault="0060431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、中国证监会批准交银施罗德纯债债券型发起式证券投资基金募集的文件；</w:t>
      </w:r>
      <w:r>
        <w:rPr>
          <w:rFonts w:eastAsiaTheme="minorEastAsia"/>
          <w:color w:val="000000"/>
          <w:sz w:val="24"/>
        </w:rPr>
        <w:t xml:space="preserve"> </w:t>
      </w:r>
    </w:p>
    <w:p w:rsidR="0019477A" w:rsidRDefault="0060431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、《交银施罗德纯债债券型发起式证券投资基金基金合同》；</w:t>
      </w:r>
      <w:r>
        <w:rPr>
          <w:rFonts w:eastAsiaTheme="minorEastAsia"/>
          <w:color w:val="000000"/>
          <w:sz w:val="24"/>
        </w:rPr>
        <w:t xml:space="preserve"> </w:t>
      </w:r>
    </w:p>
    <w:p w:rsidR="0019477A" w:rsidRDefault="0060431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、《交银施罗德纯债债券型发起式证券投资基金招募说明书》；</w:t>
      </w:r>
      <w:r>
        <w:rPr>
          <w:rFonts w:eastAsiaTheme="minorEastAsia"/>
          <w:color w:val="000000"/>
          <w:sz w:val="24"/>
        </w:rPr>
        <w:t xml:space="preserve"> </w:t>
      </w:r>
    </w:p>
    <w:p w:rsidR="0019477A" w:rsidRDefault="0060431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、《交银施罗德纯债债券型发起式证券投资基金托管协议》；</w:t>
      </w:r>
      <w:r>
        <w:rPr>
          <w:rFonts w:eastAsiaTheme="minorEastAsia"/>
          <w:color w:val="000000"/>
          <w:sz w:val="24"/>
        </w:rPr>
        <w:t xml:space="preserve"> </w:t>
      </w:r>
    </w:p>
    <w:p w:rsidR="0019477A" w:rsidRDefault="0060431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、关于募集交银施罗德纯债债券型发起式证券投资基金之法律意见书；</w:t>
      </w:r>
      <w:r>
        <w:rPr>
          <w:rFonts w:eastAsiaTheme="minorEastAsia"/>
          <w:color w:val="000000"/>
          <w:sz w:val="24"/>
        </w:rPr>
        <w:t xml:space="preserve"> </w:t>
      </w:r>
    </w:p>
    <w:p w:rsidR="0019477A" w:rsidRDefault="0060431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19477A" w:rsidRDefault="0060431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、报告期内交银施罗德纯债债券型发起式证券投资基金在指定报刊上各项公告的原稿。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11.2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11.3</w:t>
      </w:r>
      <w:r w:rsidR="00FB3C94" w:rsidRPr="007F52FA">
        <w:rPr>
          <w:rFonts w:eastAsiaTheme="minorEastAsia"/>
          <w:b/>
          <w:bCs/>
          <w:color w:val="000000"/>
          <w:kern w:val="0"/>
          <w:sz w:val="24"/>
        </w:rPr>
        <w:t>查阅方式</w:t>
      </w:r>
    </w:p>
    <w:p w:rsidR="0019477A" w:rsidRDefault="0060431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Pr="001D0DB0" w:rsidRDefault="007F50FB" w:rsidP="00F7094A">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60431A">
      <w:rPr>
        <w:noProof/>
        <w:kern w:val="0"/>
        <w:szCs w:val="21"/>
      </w:rPr>
      <w:t>10</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60431A">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Default="0042114A">
    <w:pPr>
      <w:pStyle w:val="a7"/>
      <w:framePr w:wrap="around" w:vAnchor="text" w:hAnchor="margin"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交银施罗德纯债债券型发起式证券投资基金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77A"/>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431A"/>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556327E0-72D5-486E-9527-A752EB6F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0"/>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7">
    <w:name w:val="footer"/>
    <w:basedOn w:val="a"/>
    <w:rsid w:val="006A4828"/>
    <w:pPr>
      <w:tabs>
        <w:tab w:val="center" w:pos="4153"/>
        <w:tab w:val="right" w:pos="8306"/>
      </w:tabs>
      <w:snapToGrid w:val="0"/>
      <w:jc w:val="left"/>
    </w:pPr>
    <w:rPr>
      <w:sz w:val="18"/>
      <w:szCs w:val="18"/>
    </w:rPr>
  </w:style>
  <w:style w:type="character" w:styleId="a8">
    <w:name w:val="page number"/>
    <w:basedOn w:val="a1"/>
    <w:rsid w:val="006A4828"/>
  </w:style>
  <w:style w:type="character" w:styleId="a9">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a">
    <w:name w:val="header"/>
    <w:basedOn w:val="a"/>
    <w:link w:val="ab"/>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1">
    <w:name w:val="已访问的超链接1"/>
    <w:basedOn w:val="a1"/>
    <w:rsid w:val="006A4828"/>
    <w:rPr>
      <w:color w:val="800080"/>
      <w:u w:val="single"/>
    </w:rPr>
  </w:style>
  <w:style w:type="paragraph" w:styleId="ac">
    <w:name w:val="List"/>
    <w:basedOn w:val="ad"/>
    <w:rsid w:val="006A4828"/>
    <w:pPr>
      <w:spacing w:after="220" w:line="220" w:lineRule="atLeast"/>
      <w:ind w:left="1440" w:hanging="360"/>
    </w:pPr>
    <w:rPr>
      <w:szCs w:val="20"/>
    </w:rPr>
  </w:style>
  <w:style w:type="paragraph" w:styleId="ad">
    <w:name w:val="Body Text"/>
    <w:basedOn w:val="a"/>
    <w:rsid w:val="006A4828"/>
    <w:pPr>
      <w:spacing w:after="120"/>
    </w:pPr>
  </w:style>
  <w:style w:type="paragraph" w:styleId="ae">
    <w:name w:val="Date"/>
    <w:basedOn w:val="a"/>
    <w:next w:val="a"/>
    <w:link w:val="af"/>
    <w:rsid w:val="006A4828"/>
    <w:rPr>
      <w:sz w:val="24"/>
      <w:szCs w:val="20"/>
    </w:rPr>
  </w:style>
  <w:style w:type="character" w:customStyle="1" w:styleId="c1">
    <w:name w:val="c1"/>
    <w:basedOn w:val="a1"/>
    <w:rsid w:val="006A4828"/>
    <w:rPr>
      <w:color w:val="000000"/>
      <w:sz w:val="18"/>
      <w:szCs w:val="18"/>
    </w:rPr>
  </w:style>
  <w:style w:type="paragraph" w:styleId="12">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0">
    <w:name w:val="Balloon Text"/>
    <w:basedOn w:val="a"/>
    <w:semiHidden/>
    <w:rsid w:val="006A4828"/>
    <w:rPr>
      <w:sz w:val="18"/>
      <w:szCs w:val="18"/>
    </w:rPr>
  </w:style>
  <w:style w:type="character" w:styleId="af1">
    <w:name w:val="annotation reference"/>
    <w:basedOn w:val="a1"/>
    <w:uiPriority w:val="99"/>
    <w:semiHidden/>
    <w:rsid w:val="006A4828"/>
    <w:rPr>
      <w:sz w:val="21"/>
      <w:szCs w:val="21"/>
    </w:rPr>
  </w:style>
  <w:style w:type="paragraph" w:styleId="af2">
    <w:name w:val="annotation text"/>
    <w:basedOn w:val="a"/>
    <w:link w:val="af3"/>
    <w:uiPriority w:val="99"/>
    <w:semiHidden/>
    <w:rsid w:val="006A4828"/>
    <w:pPr>
      <w:jc w:val="left"/>
    </w:pPr>
  </w:style>
  <w:style w:type="paragraph" w:styleId="af4">
    <w:name w:val="annotation subject"/>
    <w:basedOn w:val="af2"/>
    <w:next w:val="af2"/>
    <w:semiHidden/>
    <w:rsid w:val="006A4828"/>
    <w:rPr>
      <w:b/>
      <w:bCs/>
    </w:rPr>
  </w:style>
  <w:style w:type="paragraph" w:customStyle="1" w:styleId="Char">
    <w:name w:val="Char"/>
    <w:basedOn w:val="a"/>
    <w:rsid w:val="006A4828"/>
  </w:style>
  <w:style w:type="paragraph" w:styleId="af5">
    <w:name w:val="Document Map"/>
    <w:basedOn w:val="a"/>
    <w:semiHidden/>
    <w:rsid w:val="000A549A"/>
    <w:pPr>
      <w:shd w:val="clear" w:color="auto" w:fill="000080"/>
    </w:pPr>
  </w:style>
  <w:style w:type="table" w:styleId="af6">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rsid w:val="000B251E"/>
    <w:pPr>
      <w:snapToGrid w:val="0"/>
      <w:jc w:val="left"/>
    </w:pPr>
    <w:rPr>
      <w:sz w:val="18"/>
      <w:szCs w:val="18"/>
    </w:rPr>
  </w:style>
  <w:style w:type="character" w:styleId="af9">
    <w:name w:val="footnote reference"/>
    <w:basedOn w:val="a1"/>
    <w:rsid w:val="000B251E"/>
    <w:rPr>
      <w:vertAlign w:val="superscript"/>
    </w:rPr>
  </w:style>
  <w:style w:type="paragraph" w:styleId="afa">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0">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a6">
    <w:name w:val="纯文本 字符"/>
    <w:basedOn w:val="a1"/>
    <w:link w:val="a5"/>
    <w:uiPriority w:val="99"/>
    <w:rsid w:val="009A045B"/>
    <w:rPr>
      <w:rFonts w:ascii="宋体" w:hAnsi="Courier New"/>
      <w:kern w:val="2"/>
      <w:sz w:val="21"/>
      <w:szCs w:val="21"/>
    </w:rPr>
  </w:style>
  <w:style w:type="character" w:customStyle="1" w:styleId="af8">
    <w:name w:val="脚注文本 字符"/>
    <w:basedOn w:val="a1"/>
    <w:link w:val="af7"/>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ab">
    <w:name w:val="页眉 字符"/>
    <w:basedOn w:val="a1"/>
    <w:link w:val="aa"/>
    <w:uiPriority w:val="99"/>
    <w:rsid w:val="001207F2"/>
    <w:rPr>
      <w:kern w:val="2"/>
      <w:sz w:val="18"/>
      <w:szCs w:val="18"/>
    </w:rPr>
  </w:style>
  <w:style w:type="character" w:customStyle="1" w:styleId="10">
    <w:name w:val="标题 1 字符"/>
    <w:basedOn w:val="a1"/>
    <w:link w:val="1"/>
    <w:uiPriority w:val="99"/>
    <w:rsid w:val="00180952"/>
    <w:rPr>
      <w:b/>
      <w:bCs/>
      <w:kern w:val="44"/>
      <w:sz w:val="44"/>
      <w:szCs w:val="44"/>
    </w:rPr>
  </w:style>
  <w:style w:type="character" w:customStyle="1" w:styleId="af">
    <w:name w:val="日期 字符"/>
    <w:basedOn w:val="a1"/>
    <w:link w:val="ae"/>
    <w:rsid w:val="00D66685"/>
    <w:rPr>
      <w:kern w:val="2"/>
      <w:sz w:val="24"/>
    </w:rPr>
  </w:style>
  <w:style w:type="character" w:styleId="afb">
    <w:name w:val="Strong"/>
    <w:basedOn w:val="a1"/>
    <w:uiPriority w:val="22"/>
    <w:qFormat/>
    <w:rsid w:val="00C02900"/>
    <w:rPr>
      <w:b/>
      <w:bCs/>
    </w:rPr>
  </w:style>
  <w:style w:type="character" w:customStyle="1" w:styleId="af3">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DBB6-538E-4DA1-9A3F-C1B8E57E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209</TotalTime>
  <Pages>15</Pages>
  <Words>1272</Words>
  <Characters>7256</Characters>
  <Application>Microsoft Office Word</Application>
  <DocSecurity>0</DocSecurity>
  <Lines>60</Lines>
  <Paragraphs>17</Paragraphs>
  <ScaleCrop>false</ScaleCrop>
  <Company>TRT. Ltd. Co.</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杨书月</cp:lastModifiedBy>
  <cp:revision>378</cp:revision>
  <cp:lastPrinted>2007-07-19T00:46:00Z</cp:lastPrinted>
  <dcterms:created xsi:type="dcterms:W3CDTF">2014-01-17T06:19:00Z</dcterms:created>
  <dcterms:modified xsi:type="dcterms:W3CDTF">2019-04-11T06:35:00Z</dcterms:modified>
</cp:coreProperties>
</file>