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浙商银行股份有限公司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基金托管人浙商银行股份有限公司根据本基金合同规定，于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3,068,913,423.51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交银裕如纯债债券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005972</w:t>
            </w:r>
          </w:p>
        </w:tc>
        <w:tc>
          <w:tcPr>
            <w:tcW w:w="3048" w:type="dxa"/>
            <w:vAlign w:val="center"/>
          </w:tcPr>
          <w:p w:rsidR="00C23B30" w:rsidRPr="000E4C40" w:rsidRDefault="00C23B30" w:rsidP="00A52A9E">
            <w:pPr>
              <w:spacing w:before="29" w:line="288" w:lineRule="auto"/>
              <w:jc w:val="left"/>
              <w:rPr>
                <w:sz w:val="24"/>
              </w:rPr>
            </w:pPr>
            <w:r w:rsidRPr="000E4C40">
              <w:rPr>
                <w:sz w:val="24"/>
              </w:rPr>
              <w:t>005973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3,068,913,423.51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交银裕如纯债债券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交银裕如纯债债券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28,281,087.18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33,644,516.10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3,142,217,105.27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784E76" w:rsidRDefault="005E6A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784E76" w:rsidRDefault="005E6A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交银裕如纯债债券</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84E76">
        <w:trPr>
          <w:jc w:val="center"/>
        </w:trPr>
        <w:tc>
          <w:tcPr>
            <w:tcW w:w="1266" w:type="dxa"/>
            <w:vAlign w:val="center"/>
          </w:tcPr>
          <w:p w:rsidR="00784E76" w:rsidRDefault="005E6A7B">
            <w:pPr>
              <w:jc w:val="left"/>
            </w:pPr>
            <w:r>
              <w:rPr>
                <w:color w:val="000000"/>
                <w:sz w:val="24"/>
              </w:rPr>
              <w:t>过去三个月</w:t>
            </w:r>
          </w:p>
        </w:tc>
        <w:tc>
          <w:tcPr>
            <w:tcW w:w="1267" w:type="dxa"/>
            <w:vAlign w:val="center"/>
          </w:tcPr>
          <w:p w:rsidR="00784E76" w:rsidRDefault="005E6A7B">
            <w:pPr>
              <w:jc w:val="center"/>
            </w:pPr>
            <w:r>
              <w:rPr>
                <w:color w:val="000000"/>
                <w:sz w:val="24"/>
              </w:rPr>
              <w:t>1.18%</w:t>
            </w:r>
          </w:p>
        </w:tc>
        <w:tc>
          <w:tcPr>
            <w:tcW w:w="1267" w:type="dxa"/>
            <w:vAlign w:val="center"/>
          </w:tcPr>
          <w:p w:rsidR="00784E76" w:rsidRDefault="005E6A7B">
            <w:pPr>
              <w:jc w:val="center"/>
            </w:pPr>
            <w:r>
              <w:rPr>
                <w:color w:val="000000"/>
                <w:sz w:val="24"/>
              </w:rPr>
              <w:t>0.06%</w:t>
            </w:r>
          </w:p>
        </w:tc>
        <w:tc>
          <w:tcPr>
            <w:tcW w:w="1267" w:type="dxa"/>
            <w:vAlign w:val="center"/>
          </w:tcPr>
          <w:p w:rsidR="00784E76" w:rsidRDefault="005E6A7B">
            <w:pPr>
              <w:jc w:val="center"/>
            </w:pPr>
            <w:r>
              <w:rPr>
                <w:color w:val="000000"/>
                <w:sz w:val="24"/>
              </w:rPr>
              <w:t>0.47%</w:t>
            </w:r>
          </w:p>
        </w:tc>
        <w:tc>
          <w:tcPr>
            <w:tcW w:w="1267" w:type="dxa"/>
            <w:vAlign w:val="center"/>
          </w:tcPr>
          <w:p w:rsidR="00784E76" w:rsidRDefault="005E6A7B">
            <w:pPr>
              <w:jc w:val="center"/>
            </w:pPr>
            <w:r>
              <w:rPr>
                <w:color w:val="000000"/>
                <w:sz w:val="24"/>
              </w:rPr>
              <w:t>0.05%</w:t>
            </w:r>
          </w:p>
        </w:tc>
        <w:tc>
          <w:tcPr>
            <w:tcW w:w="1267" w:type="dxa"/>
            <w:vAlign w:val="center"/>
          </w:tcPr>
          <w:p w:rsidR="00784E76" w:rsidRDefault="005E6A7B">
            <w:pPr>
              <w:jc w:val="center"/>
            </w:pPr>
            <w:r>
              <w:rPr>
                <w:color w:val="000000"/>
                <w:sz w:val="24"/>
              </w:rPr>
              <w:t>0.71%</w:t>
            </w:r>
          </w:p>
        </w:tc>
        <w:tc>
          <w:tcPr>
            <w:tcW w:w="1267" w:type="dxa"/>
            <w:vAlign w:val="center"/>
          </w:tcPr>
          <w:p w:rsidR="00784E76" w:rsidRDefault="005E6A7B">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交银裕如纯债债券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84E76">
        <w:trPr>
          <w:jc w:val="center"/>
        </w:trPr>
        <w:tc>
          <w:tcPr>
            <w:tcW w:w="1266" w:type="dxa"/>
            <w:vAlign w:val="center"/>
          </w:tcPr>
          <w:p w:rsidR="00784E76" w:rsidRDefault="005E6A7B">
            <w:pPr>
              <w:jc w:val="left"/>
            </w:pPr>
            <w:r>
              <w:rPr>
                <w:color w:val="000000"/>
                <w:sz w:val="24"/>
              </w:rPr>
              <w:t>过去三个月</w:t>
            </w:r>
          </w:p>
        </w:tc>
        <w:tc>
          <w:tcPr>
            <w:tcW w:w="1267" w:type="dxa"/>
            <w:vAlign w:val="center"/>
          </w:tcPr>
          <w:p w:rsidR="00784E76" w:rsidRDefault="005E6A7B">
            <w:pPr>
              <w:jc w:val="center"/>
            </w:pPr>
            <w:r>
              <w:rPr>
                <w:color w:val="000000"/>
                <w:sz w:val="24"/>
              </w:rPr>
              <w:t>-</w:t>
            </w:r>
          </w:p>
        </w:tc>
        <w:tc>
          <w:tcPr>
            <w:tcW w:w="1267" w:type="dxa"/>
            <w:vAlign w:val="center"/>
          </w:tcPr>
          <w:p w:rsidR="00784E76" w:rsidRDefault="005E6A7B">
            <w:pPr>
              <w:jc w:val="center"/>
            </w:pPr>
            <w:r>
              <w:rPr>
                <w:color w:val="000000"/>
                <w:sz w:val="24"/>
              </w:rPr>
              <w:t>-</w:t>
            </w:r>
          </w:p>
        </w:tc>
        <w:tc>
          <w:tcPr>
            <w:tcW w:w="1267" w:type="dxa"/>
            <w:vAlign w:val="center"/>
          </w:tcPr>
          <w:p w:rsidR="00784E76" w:rsidRDefault="005E6A7B">
            <w:pPr>
              <w:jc w:val="center"/>
            </w:pPr>
            <w:r>
              <w:rPr>
                <w:color w:val="000000"/>
                <w:sz w:val="24"/>
              </w:rPr>
              <w:t>-</w:t>
            </w:r>
          </w:p>
        </w:tc>
        <w:tc>
          <w:tcPr>
            <w:tcW w:w="1267" w:type="dxa"/>
            <w:vAlign w:val="center"/>
          </w:tcPr>
          <w:p w:rsidR="00784E76" w:rsidRDefault="005E6A7B">
            <w:pPr>
              <w:jc w:val="center"/>
            </w:pPr>
            <w:r>
              <w:rPr>
                <w:color w:val="000000"/>
                <w:sz w:val="24"/>
              </w:rPr>
              <w:t>-</w:t>
            </w:r>
          </w:p>
        </w:tc>
        <w:tc>
          <w:tcPr>
            <w:tcW w:w="1267" w:type="dxa"/>
            <w:vAlign w:val="center"/>
          </w:tcPr>
          <w:p w:rsidR="00784E76" w:rsidRDefault="005E6A7B">
            <w:pPr>
              <w:jc w:val="center"/>
            </w:pPr>
            <w:r>
              <w:rPr>
                <w:color w:val="000000"/>
                <w:sz w:val="24"/>
              </w:rPr>
              <w:t>-</w:t>
            </w:r>
          </w:p>
        </w:tc>
        <w:tc>
          <w:tcPr>
            <w:tcW w:w="1267" w:type="dxa"/>
            <w:vAlign w:val="center"/>
          </w:tcPr>
          <w:p w:rsidR="00784E76" w:rsidRDefault="005E6A7B">
            <w:pPr>
              <w:jc w:val="center"/>
            </w:pP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交银施罗德裕如纯债债券型证券投资基金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2018</w:t>
      </w:r>
      <w:r w:rsidRPr="007F52FA">
        <w:rPr>
          <w:color w:val="000000"/>
          <w:sz w:val="24"/>
        </w:rPr>
        <w:t>年</w:t>
      </w:r>
      <w:r w:rsidRPr="007F52FA">
        <w:rPr>
          <w:color w:val="000000"/>
          <w:sz w:val="24"/>
        </w:rPr>
        <w:t>5</w:t>
      </w:r>
      <w:r w:rsidRPr="007F52FA">
        <w:rPr>
          <w:color w:val="000000"/>
          <w:sz w:val="24"/>
        </w:rPr>
        <w:t>月</w:t>
      </w:r>
      <w:r w:rsidRPr="007F52FA">
        <w:rPr>
          <w:color w:val="000000"/>
          <w:sz w:val="24"/>
        </w:rPr>
        <w:t>25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w:t>
      </w:r>
      <w:r w:rsidRPr="007F52FA">
        <w:rPr>
          <w:color w:val="000000"/>
          <w:sz w:val="24"/>
        </w:rPr>
        <w:lastRenderedPageBreak/>
        <w:t>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交银裕如纯债债券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84E76">
        <w:trPr>
          <w:jc w:val="center"/>
        </w:trPr>
        <w:tc>
          <w:tcPr>
            <w:tcW w:w="946" w:type="dxa"/>
            <w:vAlign w:val="center"/>
          </w:tcPr>
          <w:p w:rsidR="00784E76" w:rsidRDefault="005E6A7B">
            <w:pPr>
              <w:jc w:val="center"/>
            </w:pPr>
            <w:r>
              <w:rPr>
                <w:color w:val="000000"/>
                <w:sz w:val="24"/>
              </w:rPr>
              <w:t>于海颖</w:t>
            </w:r>
          </w:p>
        </w:tc>
        <w:tc>
          <w:tcPr>
            <w:tcW w:w="924" w:type="dxa"/>
            <w:vAlign w:val="center"/>
          </w:tcPr>
          <w:p w:rsidR="00784E76" w:rsidRDefault="005E6A7B">
            <w:pPr>
              <w:jc w:val="center"/>
            </w:pPr>
            <w:r>
              <w:rPr>
                <w:color w:val="000000"/>
                <w:sz w:val="24"/>
              </w:rPr>
              <w:t>交银增利债券、交银纯债债券发起、交银丰盈</w:t>
            </w:r>
            <w:r>
              <w:rPr>
                <w:color w:val="000000"/>
                <w:sz w:val="24"/>
              </w:rPr>
              <w:lastRenderedPageBreak/>
              <w:t>收益债券、交银丰晟收益债券、交银裕如纯债债券的基金经理，公司固定收益（公募）投资总监</w:t>
            </w:r>
          </w:p>
        </w:tc>
        <w:tc>
          <w:tcPr>
            <w:tcW w:w="1202" w:type="dxa"/>
            <w:vAlign w:val="center"/>
          </w:tcPr>
          <w:p w:rsidR="00784E76" w:rsidRDefault="005E6A7B">
            <w:pPr>
              <w:jc w:val="center"/>
            </w:pPr>
            <w:r>
              <w:rPr>
                <w:color w:val="000000"/>
                <w:sz w:val="24"/>
              </w:rPr>
              <w:lastRenderedPageBreak/>
              <w:t>2018-05-25</w:t>
            </w:r>
          </w:p>
        </w:tc>
        <w:tc>
          <w:tcPr>
            <w:tcW w:w="1300" w:type="dxa"/>
            <w:vAlign w:val="center"/>
          </w:tcPr>
          <w:p w:rsidR="00784E76" w:rsidRDefault="005E6A7B">
            <w:pPr>
              <w:jc w:val="center"/>
            </w:pPr>
            <w:r>
              <w:rPr>
                <w:color w:val="000000"/>
                <w:sz w:val="24"/>
              </w:rPr>
              <w:t>-</w:t>
            </w:r>
          </w:p>
        </w:tc>
        <w:tc>
          <w:tcPr>
            <w:tcW w:w="1245" w:type="dxa"/>
            <w:vAlign w:val="center"/>
          </w:tcPr>
          <w:p w:rsidR="00784E76" w:rsidRDefault="005E6A7B">
            <w:pPr>
              <w:jc w:val="center"/>
            </w:pPr>
            <w:r>
              <w:rPr>
                <w:color w:val="000000"/>
                <w:sz w:val="24"/>
              </w:rPr>
              <w:t>13</w:t>
            </w:r>
            <w:r>
              <w:rPr>
                <w:color w:val="000000"/>
                <w:sz w:val="24"/>
              </w:rPr>
              <w:t>年</w:t>
            </w:r>
          </w:p>
        </w:tc>
        <w:tc>
          <w:tcPr>
            <w:tcW w:w="3251" w:type="dxa"/>
            <w:vAlign w:val="center"/>
          </w:tcPr>
          <w:p w:rsidR="00784E76" w:rsidRDefault="005E6A7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w:t>
            </w:r>
            <w:r>
              <w:rPr>
                <w:color w:val="000000"/>
                <w:sz w:val="24"/>
              </w:rPr>
              <w:lastRenderedPageBreak/>
              <w:t>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w:t>
            </w:r>
            <w:r>
              <w:rPr>
                <w:color w:val="000000"/>
                <w:sz w:val="24"/>
              </w:rPr>
              <w:t>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w:t>
            </w:r>
            <w:r>
              <w:rPr>
                <w:color w:val="000000"/>
                <w:sz w:val="24"/>
              </w:rPr>
              <w:t>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日担任交银施罗德荣鑫保本混合型证券投资基金的基金经理。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日担任交银施罗德荣祥保本混合型证券投资基金的基金经理。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w:t>
            </w:r>
            <w:r>
              <w:rPr>
                <w:color w:val="000000"/>
                <w:sz w:val="24"/>
              </w:rPr>
              <w:t>支付月月丰债券型证券投资基金的基金经理。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w:t>
            </w:r>
            <w:r>
              <w:rPr>
                <w:color w:val="000000"/>
                <w:sz w:val="24"/>
              </w:rPr>
              <w:lastRenderedPageBreak/>
              <w:t>担任交银施罗德强化回报债券型证券投资基金的基金经理。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日担任交银施罗德增利增强债券型证券投资基金的基金经理。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日担任交银施罗德增强收益债券型证券投资基金的基金经理。</w:t>
            </w:r>
          </w:p>
        </w:tc>
      </w:tr>
      <w:tr w:rsidR="00784E76">
        <w:trPr>
          <w:jc w:val="center"/>
        </w:trPr>
        <w:tc>
          <w:tcPr>
            <w:tcW w:w="946" w:type="dxa"/>
            <w:vAlign w:val="center"/>
          </w:tcPr>
          <w:p w:rsidR="00784E76" w:rsidRDefault="005E6A7B">
            <w:pPr>
              <w:jc w:val="center"/>
            </w:pPr>
            <w:r>
              <w:rPr>
                <w:color w:val="000000"/>
                <w:sz w:val="24"/>
              </w:rPr>
              <w:lastRenderedPageBreak/>
              <w:t>魏玉敏</w:t>
            </w:r>
          </w:p>
        </w:tc>
        <w:tc>
          <w:tcPr>
            <w:tcW w:w="924" w:type="dxa"/>
            <w:vAlign w:val="center"/>
          </w:tcPr>
          <w:p w:rsidR="00784E76" w:rsidRDefault="005E6A7B">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tc>
        <w:tc>
          <w:tcPr>
            <w:tcW w:w="1202" w:type="dxa"/>
            <w:vAlign w:val="center"/>
          </w:tcPr>
          <w:p w:rsidR="00784E76" w:rsidRDefault="005E6A7B">
            <w:pPr>
              <w:jc w:val="center"/>
            </w:pPr>
            <w:r>
              <w:rPr>
                <w:color w:val="000000"/>
                <w:sz w:val="24"/>
              </w:rPr>
              <w:t>2018-08-29</w:t>
            </w:r>
          </w:p>
        </w:tc>
        <w:tc>
          <w:tcPr>
            <w:tcW w:w="1300" w:type="dxa"/>
            <w:vAlign w:val="center"/>
          </w:tcPr>
          <w:p w:rsidR="00784E76" w:rsidRDefault="005E6A7B">
            <w:pPr>
              <w:jc w:val="center"/>
            </w:pPr>
            <w:r>
              <w:rPr>
                <w:color w:val="000000"/>
                <w:sz w:val="24"/>
              </w:rPr>
              <w:t>-</w:t>
            </w:r>
          </w:p>
        </w:tc>
        <w:tc>
          <w:tcPr>
            <w:tcW w:w="1245" w:type="dxa"/>
            <w:vAlign w:val="center"/>
          </w:tcPr>
          <w:p w:rsidR="00784E76" w:rsidRDefault="005E6A7B">
            <w:pPr>
              <w:jc w:val="center"/>
            </w:pPr>
            <w:r>
              <w:rPr>
                <w:color w:val="000000"/>
                <w:sz w:val="24"/>
              </w:rPr>
              <w:t>7</w:t>
            </w:r>
            <w:r>
              <w:rPr>
                <w:color w:val="000000"/>
                <w:sz w:val="24"/>
              </w:rPr>
              <w:t>年</w:t>
            </w:r>
          </w:p>
        </w:tc>
        <w:tc>
          <w:tcPr>
            <w:tcW w:w="3251" w:type="dxa"/>
            <w:vAlign w:val="center"/>
          </w:tcPr>
          <w:p w:rsidR="00784E76" w:rsidRDefault="005E6A7B">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784E76" w:rsidRDefault="005E6A7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84E76" w:rsidRDefault="005E6A7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84E76" w:rsidRDefault="005E6A7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784E76" w:rsidRDefault="005E6A7B">
      <w:pPr>
        <w:spacing w:before="29" w:line="288" w:lineRule="auto"/>
        <w:ind w:firstLineChars="200" w:firstLine="480"/>
        <w:rPr>
          <w:color w:val="000000"/>
          <w:sz w:val="24"/>
        </w:rPr>
      </w:pPr>
      <w:r>
        <w:rPr>
          <w:color w:val="000000"/>
          <w:sz w:val="24"/>
        </w:rPr>
        <w:t>2019</w:t>
      </w:r>
      <w:r>
        <w:rPr>
          <w:color w:val="000000"/>
          <w:sz w:val="24"/>
        </w:rPr>
        <w:t>年一季度以来债券市场的交易逻辑从去年的</w:t>
      </w:r>
      <w:r>
        <w:rPr>
          <w:color w:val="000000"/>
          <w:sz w:val="24"/>
        </w:rPr>
        <w:t>“</w:t>
      </w:r>
      <w:r>
        <w:rPr>
          <w:color w:val="000000"/>
          <w:sz w:val="24"/>
        </w:rPr>
        <w:t>宽货币紧信用</w:t>
      </w:r>
      <w:r>
        <w:rPr>
          <w:color w:val="000000"/>
          <w:sz w:val="24"/>
        </w:rPr>
        <w:t>”</w:t>
      </w:r>
      <w:r>
        <w:rPr>
          <w:color w:val="000000"/>
          <w:sz w:val="24"/>
        </w:rPr>
        <w:t>逐步转向</w:t>
      </w:r>
      <w:r>
        <w:rPr>
          <w:color w:val="000000"/>
          <w:sz w:val="24"/>
        </w:rPr>
        <w:t>“</w:t>
      </w:r>
      <w:r>
        <w:rPr>
          <w:color w:val="000000"/>
          <w:sz w:val="24"/>
        </w:rPr>
        <w:t>宽货币宽信用</w:t>
      </w:r>
      <w:r>
        <w:rPr>
          <w:color w:val="000000"/>
          <w:sz w:val="24"/>
        </w:rPr>
        <w:t>”</w:t>
      </w:r>
      <w:r>
        <w:rPr>
          <w:color w:val="000000"/>
          <w:sz w:val="24"/>
        </w:rPr>
        <w:t>，随着经济托底政策的推进，市场对前期经济的悲观预期明显修复，债券收益率下行受阻，权益市场风险偏好回升。今年以来市场对基本面的分歧加大，对融资数据和经济增长数据何时企稳讨论更多。融资方面，由于春节错位导致的一月的的社融大增和二月的社融缩量，使得判断融资数据是否企稳分歧加大。经济增长方面，春节复工情况是普遍关注焦点，分项看消费波动不大，投资端的</w:t>
      </w:r>
      <w:r>
        <w:rPr>
          <w:color w:val="000000"/>
          <w:sz w:val="24"/>
        </w:rPr>
        <w:t>制造业下行和基建回升形成对冲，主要观察点在出口和地产投资。通胀方面，整体判断全年中枢依然较低，但由于猪肉价</w:t>
      </w:r>
      <w:r>
        <w:rPr>
          <w:color w:val="000000"/>
          <w:sz w:val="24"/>
        </w:rPr>
        <w:lastRenderedPageBreak/>
        <w:t>格的明显上涨，</w:t>
      </w:r>
      <w:r>
        <w:rPr>
          <w:color w:val="000000"/>
          <w:sz w:val="24"/>
        </w:rPr>
        <w:t>CPI</w:t>
      </w:r>
      <w:r>
        <w:rPr>
          <w:color w:val="000000"/>
          <w:sz w:val="24"/>
        </w:rPr>
        <w:t>可能超预期成为市场的隐忧。总体而言随着经济预期的修复债券市场方向不明，一季度维持弱势震荡。</w:t>
      </w:r>
    </w:p>
    <w:p w:rsidR="00784E76" w:rsidRDefault="005E6A7B">
      <w:pPr>
        <w:spacing w:before="29" w:line="288" w:lineRule="auto"/>
        <w:ind w:firstLineChars="200" w:firstLine="480"/>
        <w:rPr>
          <w:color w:val="000000"/>
          <w:sz w:val="24"/>
        </w:rPr>
      </w:pPr>
      <w:r>
        <w:rPr>
          <w:color w:val="000000"/>
          <w:sz w:val="24"/>
        </w:rPr>
        <w:t>报告期内，基于对宏观经济的判断，结合市场收益率曲线的形态动态的进行了组合的配置，组合以中短期利率债为主要配置，享受了流动性宽松情况下短端收益率下行的资本利得和骑乘收益。同时，组合灵活配置了一定比例的中等久期利率债，波段操作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债券市场在资金面预期边际收紧，通胀预期抬升和股市风险偏好上行等多重因素下仍将维持弱势震荡。当前时点股债跷跷板效应较为明显，股市估值修复和中美贸易摩擦缓和有利风险偏好的提升，同时由于货币政策处于观察期而市场对降准降息有一定期待，短期内宽松预期可能会出现反复，预计短端维持平稳、长端延续震荡走势。后期债券市场的机会需要等待基本面更加明确的下行。中长期来看，债券市场牛市尚未结束，从社融企稳到经济企稳至少存在半年以上的时间差，只有投资企稳拉动经济上行债市才会出现由牛转熊的拐点。往后看，全球经济增速放缓带来的出口下行以及棚改退潮带来地产投资的回落是经济增长的主要拖累项。此外全球央行货币政策宽松格局下，国内经济企稳之前货币政策预计将维持宽松。操作策略方面，组合将继续关注市场情况，适时进行组合各券调仓，积极进行灵活的利率债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3,946,600,186.40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3,946,600,186.40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1,258,482.46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73,168,041.16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4,021,026,710.02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290,356,186.40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3,656,244,000.00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3,656,244,000.00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3,946,600,186.40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125.60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84E76">
        <w:trPr>
          <w:jc w:val="center"/>
        </w:trPr>
        <w:tc>
          <w:tcPr>
            <w:tcW w:w="1075" w:type="dxa"/>
            <w:vAlign w:val="center"/>
          </w:tcPr>
          <w:p w:rsidR="00784E76" w:rsidRDefault="005E6A7B">
            <w:pPr>
              <w:jc w:val="center"/>
            </w:pPr>
            <w:r>
              <w:rPr>
                <w:color w:val="000000"/>
                <w:sz w:val="24"/>
              </w:rPr>
              <w:t>1</w:t>
            </w:r>
          </w:p>
        </w:tc>
        <w:tc>
          <w:tcPr>
            <w:tcW w:w="1533" w:type="dxa"/>
            <w:vAlign w:val="center"/>
          </w:tcPr>
          <w:p w:rsidR="00784E76" w:rsidRDefault="005E6A7B">
            <w:pPr>
              <w:jc w:val="center"/>
            </w:pPr>
            <w:r>
              <w:rPr>
                <w:color w:val="000000"/>
                <w:sz w:val="24"/>
              </w:rPr>
              <w:t>170212</w:t>
            </w:r>
          </w:p>
        </w:tc>
        <w:tc>
          <w:tcPr>
            <w:tcW w:w="1533" w:type="dxa"/>
            <w:vAlign w:val="center"/>
          </w:tcPr>
          <w:p w:rsidR="00784E76" w:rsidRDefault="005E6A7B">
            <w:pPr>
              <w:jc w:val="center"/>
            </w:pPr>
            <w:r>
              <w:rPr>
                <w:color w:val="000000"/>
                <w:sz w:val="24"/>
              </w:rPr>
              <w:t>17</w:t>
            </w:r>
            <w:r>
              <w:rPr>
                <w:color w:val="000000"/>
                <w:sz w:val="24"/>
              </w:rPr>
              <w:t>国开</w:t>
            </w:r>
            <w:r>
              <w:rPr>
                <w:color w:val="000000"/>
                <w:sz w:val="24"/>
              </w:rPr>
              <w:t>12</w:t>
            </w:r>
          </w:p>
        </w:tc>
        <w:tc>
          <w:tcPr>
            <w:tcW w:w="1394" w:type="dxa"/>
            <w:vAlign w:val="center"/>
          </w:tcPr>
          <w:p w:rsidR="00784E76" w:rsidRDefault="005E6A7B">
            <w:pPr>
              <w:jc w:val="right"/>
            </w:pPr>
            <w:r>
              <w:rPr>
                <w:color w:val="000000"/>
                <w:sz w:val="24"/>
              </w:rPr>
              <w:t>6,000,000</w:t>
            </w:r>
          </w:p>
        </w:tc>
        <w:tc>
          <w:tcPr>
            <w:tcW w:w="1944" w:type="dxa"/>
            <w:vAlign w:val="center"/>
          </w:tcPr>
          <w:p w:rsidR="00784E76" w:rsidRDefault="005E6A7B">
            <w:pPr>
              <w:jc w:val="right"/>
            </w:pPr>
            <w:r>
              <w:rPr>
                <w:color w:val="000000"/>
                <w:sz w:val="24"/>
              </w:rPr>
              <w:t>622,260,000.00</w:t>
            </w:r>
          </w:p>
        </w:tc>
        <w:tc>
          <w:tcPr>
            <w:tcW w:w="1389" w:type="dxa"/>
            <w:vAlign w:val="center"/>
          </w:tcPr>
          <w:p w:rsidR="00784E76" w:rsidRDefault="005E6A7B">
            <w:pPr>
              <w:jc w:val="right"/>
            </w:pPr>
            <w:r>
              <w:rPr>
                <w:color w:val="000000"/>
                <w:sz w:val="24"/>
              </w:rPr>
              <w:t>19.80</w:t>
            </w:r>
          </w:p>
        </w:tc>
      </w:tr>
      <w:tr w:rsidR="00784E76">
        <w:trPr>
          <w:jc w:val="center"/>
        </w:trPr>
        <w:tc>
          <w:tcPr>
            <w:tcW w:w="1075" w:type="dxa"/>
            <w:vAlign w:val="center"/>
          </w:tcPr>
          <w:p w:rsidR="00784E76" w:rsidRDefault="005E6A7B">
            <w:pPr>
              <w:jc w:val="center"/>
            </w:pPr>
            <w:r>
              <w:rPr>
                <w:color w:val="000000"/>
                <w:sz w:val="24"/>
              </w:rPr>
              <w:t>2</w:t>
            </w:r>
          </w:p>
        </w:tc>
        <w:tc>
          <w:tcPr>
            <w:tcW w:w="1533" w:type="dxa"/>
            <w:vAlign w:val="center"/>
          </w:tcPr>
          <w:p w:rsidR="00784E76" w:rsidRDefault="005E6A7B">
            <w:pPr>
              <w:jc w:val="center"/>
            </w:pPr>
            <w:r>
              <w:rPr>
                <w:color w:val="000000"/>
                <w:sz w:val="24"/>
              </w:rPr>
              <w:t>180208</w:t>
            </w:r>
          </w:p>
        </w:tc>
        <w:tc>
          <w:tcPr>
            <w:tcW w:w="1533" w:type="dxa"/>
            <w:vAlign w:val="center"/>
          </w:tcPr>
          <w:p w:rsidR="00784E76" w:rsidRDefault="005E6A7B">
            <w:pPr>
              <w:jc w:val="center"/>
            </w:pPr>
            <w:r>
              <w:rPr>
                <w:color w:val="000000"/>
                <w:sz w:val="24"/>
              </w:rPr>
              <w:t>18</w:t>
            </w:r>
            <w:r>
              <w:rPr>
                <w:color w:val="000000"/>
                <w:sz w:val="24"/>
              </w:rPr>
              <w:t>国开</w:t>
            </w:r>
            <w:r>
              <w:rPr>
                <w:color w:val="000000"/>
                <w:sz w:val="24"/>
              </w:rPr>
              <w:t>08</w:t>
            </w:r>
          </w:p>
        </w:tc>
        <w:tc>
          <w:tcPr>
            <w:tcW w:w="1394" w:type="dxa"/>
            <w:vAlign w:val="center"/>
          </w:tcPr>
          <w:p w:rsidR="00784E76" w:rsidRDefault="005E6A7B">
            <w:pPr>
              <w:jc w:val="right"/>
            </w:pPr>
            <w:r>
              <w:rPr>
                <w:color w:val="000000"/>
                <w:sz w:val="24"/>
              </w:rPr>
              <w:t>5,700,000</w:t>
            </w:r>
          </w:p>
        </w:tc>
        <w:tc>
          <w:tcPr>
            <w:tcW w:w="1944" w:type="dxa"/>
            <w:vAlign w:val="center"/>
          </w:tcPr>
          <w:p w:rsidR="00784E76" w:rsidRDefault="005E6A7B">
            <w:pPr>
              <w:jc w:val="right"/>
            </w:pPr>
            <w:r>
              <w:rPr>
                <w:color w:val="000000"/>
                <w:sz w:val="24"/>
              </w:rPr>
              <w:t>582,198,000.00</w:t>
            </w:r>
          </w:p>
        </w:tc>
        <w:tc>
          <w:tcPr>
            <w:tcW w:w="1389" w:type="dxa"/>
            <w:vAlign w:val="center"/>
          </w:tcPr>
          <w:p w:rsidR="00784E76" w:rsidRDefault="005E6A7B">
            <w:pPr>
              <w:jc w:val="right"/>
            </w:pPr>
            <w:r>
              <w:rPr>
                <w:color w:val="000000"/>
                <w:sz w:val="24"/>
              </w:rPr>
              <w:t>18.53</w:t>
            </w:r>
          </w:p>
        </w:tc>
      </w:tr>
      <w:tr w:rsidR="00784E76">
        <w:trPr>
          <w:jc w:val="center"/>
        </w:trPr>
        <w:tc>
          <w:tcPr>
            <w:tcW w:w="1075" w:type="dxa"/>
            <w:vAlign w:val="center"/>
          </w:tcPr>
          <w:p w:rsidR="00784E76" w:rsidRDefault="005E6A7B">
            <w:pPr>
              <w:jc w:val="center"/>
            </w:pPr>
            <w:r>
              <w:rPr>
                <w:color w:val="000000"/>
                <w:sz w:val="24"/>
              </w:rPr>
              <w:t>3</w:t>
            </w:r>
          </w:p>
        </w:tc>
        <w:tc>
          <w:tcPr>
            <w:tcW w:w="1533" w:type="dxa"/>
            <w:vAlign w:val="center"/>
          </w:tcPr>
          <w:p w:rsidR="00784E76" w:rsidRDefault="005E6A7B">
            <w:pPr>
              <w:jc w:val="center"/>
            </w:pPr>
            <w:r>
              <w:rPr>
                <w:color w:val="000000"/>
                <w:sz w:val="24"/>
              </w:rPr>
              <w:t>180204</w:t>
            </w:r>
          </w:p>
        </w:tc>
        <w:tc>
          <w:tcPr>
            <w:tcW w:w="1533" w:type="dxa"/>
            <w:vAlign w:val="center"/>
          </w:tcPr>
          <w:p w:rsidR="00784E76" w:rsidRDefault="005E6A7B">
            <w:pPr>
              <w:jc w:val="center"/>
            </w:pPr>
            <w:r>
              <w:rPr>
                <w:color w:val="000000"/>
                <w:sz w:val="24"/>
              </w:rPr>
              <w:t>18</w:t>
            </w:r>
            <w:r>
              <w:rPr>
                <w:color w:val="000000"/>
                <w:sz w:val="24"/>
              </w:rPr>
              <w:t>国开</w:t>
            </w:r>
            <w:r>
              <w:rPr>
                <w:color w:val="000000"/>
                <w:sz w:val="24"/>
              </w:rPr>
              <w:t>04</w:t>
            </w:r>
          </w:p>
        </w:tc>
        <w:tc>
          <w:tcPr>
            <w:tcW w:w="1394" w:type="dxa"/>
            <w:vAlign w:val="center"/>
          </w:tcPr>
          <w:p w:rsidR="00784E76" w:rsidRDefault="005E6A7B">
            <w:pPr>
              <w:jc w:val="right"/>
            </w:pPr>
            <w:r>
              <w:rPr>
                <w:color w:val="000000"/>
                <w:sz w:val="24"/>
              </w:rPr>
              <w:t>5,000,000</w:t>
            </w:r>
          </w:p>
        </w:tc>
        <w:tc>
          <w:tcPr>
            <w:tcW w:w="1944" w:type="dxa"/>
            <w:vAlign w:val="center"/>
          </w:tcPr>
          <w:p w:rsidR="00784E76" w:rsidRDefault="005E6A7B">
            <w:pPr>
              <w:jc w:val="right"/>
            </w:pPr>
            <w:r>
              <w:rPr>
                <w:color w:val="000000"/>
                <w:sz w:val="24"/>
              </w:rPr>
              <w:t>523,750,000.00</w:t>
            </w:r>
          </w:p>
        </w:tc>
        <w:tc>
          <w:tcPr>
            <w:tcW w:w="1389" w:type="dxa"/>
            <w:vAlign w:val="center"/>
          </w:tcPr>
          <w:p w:rsidR="00784E76" w:rsidRDefault="005E6A7B">
            <w:pPr>
              <w:jc w:val="right"/>
            </w:pPr>
            <w:r>
              <w:rPr>
                <w:color w:val="000000"/>
                <w:sz w:val="24"/>
              </w:rPr>
              <w:t>16.67</w:t>
            </w:r>
          </w:p>
        </w:tc>
      </w:tr>
      <w:tr w:rsidR="00784E76">
        <w:trPr>
          <w:jc w:val="center"/>
        </w:trPr>
        <w:tc>
          <w:tcPr>
            <w:tcW w:w="1075" w:type="dxa"/>
            <w:vAlign w:val="center"/>
          </w:tcPr>
          <w:p w:rsidR="00784E76" w:rsidRDefault="005E6A7B">
            <w:pPr>
              <w:jc w:val="center"/>
            </w:pPr>
            <w:r>
              <w:rPr>
                <w:color w:val="000000"/>
                <w:sz w:val="24"/>
              </w:rPr>
              <w:t>4</w:t>
            </w:r>
          </w:p>
        </w:tc>
        <w:tc>
          <w:tcPr>
            <w:tcW w:w="1533" w:type="dxa"/>
            <w:vAlign w:val="center"/>
          </w:tcPr>
          <w:p w:rsidR="00784E76" w:rsidRDefault="005E6A7B">
            <w:pPr>
              <w:jc w:val="center"/>
            </w:pPr>
            <w:r>
              <w:rPr>
                <w:color w:val="000000"/>
                <w:sz w:val="24"/>
              </w:rPr>
              <w:t>170209</w:t>
            </w:r>
          </w:p>
        </w:tc>
        <w:tc>
          <w:tcPr>
            <w:tcW w:w="1533" w:type="dxa"/>
            <w:vAlign w:val="center"/>
          </w:tcPr>
          <w:p w:rsidR="00784E76" w:rsidRDefault="005E6A7B">
            <w:pPr>
              <w:jc w:val="center"/>
            </w:pPr>
            <w:r>
              <w:rPr>
                <w:color w:val="000000"/>
                <w:sz w:val="24"/>
              </w:rPr>
              <w:t>17</w:t>
            </w:r>
            <w:r>
              <w:rPr>
                <w:color w:val="000000"/>
                <w:sz w:val="24"/>
              </w:rPr>
              <w:t>国开</w:t>
            </w:r>
            <w:r>
              <w:rPr>
                <w:color w:val="000000"/>
                <w:sz w:val="24"/>
              </w:rPr>
              <w:t>09</w:t>
            </w:r>
          </w:p>
        </w:tc>
        <w:tc>
          <w:tcPr>
            <w:tcW w:w="1394" w:type="dxa"/>
            <w:vAlign w:val="center"/>
          </w:tcPr>
          <w:p w:rsidR="00784E76" w:rsidRDefault="005E6A7B">
            <w:pPr>
              <w:jc w:val="right"/>
            </w:pPr>
            <w:r>
              <w:rPr>
                <w:color w:val="000000"/>
                <w:sz w:val="24"/>
              </w:rPr>
              <w:t>3,300,000</w:t>
            </w:r>
          </w:p>
        </w:tc>
        <w:tc>
          <w:tcPr>
            <w:tcW w:w="1944" w:type="dxa"/>
            <w:vAlign w:val="center"/>
          </w:tcPr>
          <w:p w:rsidR="00784E76" w:rsidRDefault="005E6A7B">
            <w:pPr>
              <w:jc w:val="right"/>
            </w:pPr>
            <w:r>
              <w:rPr>
                <w:color w:val="000000"/>
                <w:sz w:val="24"/>
              </w:rPr>
              <w:t>336,006,000.00</w:t>
            </w:r>
          </w:p>
        </w:tc>
        <w:tc>
          <w:tcPr>
            <w:tcW w:w="1389" w:type="dxa"/>
            <w:vAlign w:val="center"/>
          </w:tcPr>
          <w:p w:rsidR="00784E76" w:rsidRDefault="005E6A7B">
            <w:pPr>
              <w:jc w:val="right"/>
            </w:pPr>
            <w:r>
              <w:rPr>
                <w:color w:val="000000"/>
                <w:sz w:val="24"/>
              </w:rPr>
              <w:t>10.69</w:t>
            </w:r>
          </w:p>
        </w:tc>
      </w:tr>
      <w:tr w:rsidR="00784E76">
        <w:trPr>
          <w:jc w:val="center"/>
        </w:trPr>
        <w:tc>
          <w:tcPr>
            <w:tcW w:w="1075" w:type="dxa"/>
            <w:vAlign w:val="center"/>
          </w:tcPr>
          <w:p w:rsidR="00784E76" w:rsidRDefault="005E6A7B">
            <w:pPr>
              <w:jc w:val="center"/>
            </w:pPr>
            <w:r>
              <w:rPr>
                <w:color w:val="000000"/>
                <w:sz w:val="24"/>
              </w:rPr>
              <w:t>5</w:t>
            </w:r>
          </w:p>
        </w:tc>
        <w:tc>
          <w:tcPr>
            <w:tcW w:w="1533" w:type="dxa"/>
            <w:vAlign w:val="center"/>
          </w:tcPr>
          <w:p w:rsidR="00784E76" w:rsidRDefault="005E6A7B">
            <w:pPr>
              <w:jc w:val="center"/>
            </w:pPr>
            <w:r>
              <w:rPr>
                <w:color w:val="000000"/>
                <w:sz w:val="24"/>
              </w:rPr>
              <w:t>180203</w:t>
            </w:r>
          </w:p>
        </w:tc>
        <w:tc>
          <w:tcPr>
            <w:tcW w:w="1533" w:type="dxa"/>
            <w:vAlign w:val="center"/>
          </w:tcPr>
          <w:p w:rsidR="00784E76" w:rsidRDefault="005E6A7B">
            <w:pPr>
              <w:jc w:val="center"/>
            </w:pPr>
            <w:r>
              <w:rPr>
                <w:color w:val="000000"/>
                <w:sz w:val="24"/>
              </w:rPr>
              <w:t>18</w:t>
            </w:r>
            <w:r>
              <w:rPr>
                <w:color w:val="000000"/>
                <w:sz w:val="24"/>
              </w:rPr>
              <w:t>国开</w:t>
            </w:r>
            <w:r>
              <w:rPr>
                <w:color w:val="000000"/>
                <w:sz w:val="24"/>
              </w:rPr>
              <w:t>03</w:t>
            </w:r>
          </w:p>
        </w:tc>
        <w:tc>
          <w:tcPr>
            <w:tcW w:w="1394" w:type="dxa"/>
            <w:vAlign w:val="center"/>
          </w:tcPr>
          <w:p w:rsidR="00784E76" w:rsidRDefault="005E6A7B">
            <w:pPr>
              <w:jc w:val="right"/>
            </w:pPr>
            <w:r>
              <w:rPr>
                <w:color w:val="000000"/>
                <w:sz w:val="24"/>
              </w:rPr>
              <w:t>3,200,000</w:t>
            </w:r>
          </w:p>
        </w:tc>
        <w:tc>
          <w:tcPr>
            <w:tcW w:w="1944" w:type="dxa"/>
            <w:vAlign w:val="center"/>
          </w:tcPr>
          <w:p w:rsidR="00784E76" w:rsidRDefault="005E6A7B">
            <w:pPr>
              <w:jc w:val="right"/>
            </w:pPr>
            <w:r>
              <w:rPr>
                <w:color w:val="000000"/>
                <w:sz w:val="24"/>
              </w:rPr>
              <w:t>329,984,000.00</w:t>
            </w:r>
          </w:p>
        </w:tc>
        <w:tc>
          <w:tcPr>
            <w:tcW w:w="1389" w:type="dxa"/>
            <w:vAlign w:val="center"/>
          </w:tcPr>
          <w:p w:rsidR="00784E76" w:rsidRDefault="005E6A7B">
            <w:pPr>
              <w:jc w:val="right"/>
            </w:pPr>
            <w:r>
              <w:rPr>
                <w:color w:val="000000"/>
                <w:sz w:val="24"/>
              </w:rPr>
              <w:t>10.50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lastRenderedPageBreak/>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12,685.30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73,155,355.86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73,168,041.16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Default="005E6A7B" w:rsidP="007C14DF">
      <w:pPr>
        <w:spacing w:before="29" w:line="288" w:lineRule="auto"/>
        <w:rPr>
          <w:rFonts w:eastAsiaTheme="minorEastAsia"/>
          <w:sz w:val="24"/>
        </w:rPr>
      </w:pPr>
      <w:r w:rsidRPr="005E6A7B">
        <w:rPr>
          <w:rFonts w:eastAsiaTheme="minorEastAsia" w:hint="eastAsia"/>
          <w:sz w:val="24"/>
        </w:rPr>
        <w:t>本基金本报告期末未持有股票。</w:t>
      </w:r>
      <w:bookmarkStart w:id="0" w:name="_GoBack"/>
      <w:bookmarkEnd w:id="0"/>
    </w:p>
    <w:p w:rsidR="005E6A7B" w:rsidRPr="005E6A7B" w:rsidRDefault="005E6A7B" w:rsidP="007C14DF">
      <w:pPr>
        <w:spacing w:before="29" w:line="288" w:lineRule="auto"/>
        <w:rPr>
          <w:rFonts w:eastAsiaTheme="minorEastAsia" w:hint="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lastRenderedPageBreak/>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交银裕如纯债债券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2,838,519,986.25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912,412,584.57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682,019,147.31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3,068,913,423.51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784E76" w:rsidRDefault="005E6A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84E76">
        <w:tc>
          <w:tcPr>
            <w:tcW w:w="992" w:type="dxa"/>
            <w:vMerge w:val="restart"/>
          </w:tcPr>
          <w:p w:rsidR="00784E76" w:rsidRDefault="00784E76"/>
          <w:p w:rsidR="00784E76" w:rsidRDefault="005E6A7B">
            <w:r>
              <w:rPr>
                <w:rFonts w:ascii="宋体" w:hAnsi="宋体" w:hint="eastAsia"/>
                <w:bCs/>
                <w:color w:val="000000"/>
                <w:kern w:val="0"/>
                <w:szCs w:val="21"/>
              </w:rPr>
              <w:t>机构</w:t>
            </w:r>
          </w:p>
        </w:tc>
        <w:tc>
          <w:tcPr>
            <w:tcW w:w="991" w:type="dxa"/>
            <w:vAlign w:val="center"/>
          </w:tcPr>
          <w:p w:rsidR="00784E76" w:rsidRDefault="005E6A7B">
            <w:pPr>
              <w:jc w:val="center"/>
            </w:pPr>
            <w:r>
              <w:rPr>
                <w:rFonts w:ascii="宋体" w:hAnsi="宋体" w:hint="eastAsia"/>
                <w:color w:val="000000"/>
                <w:kern w:val="0"/>
                <w:szCs w:val="21"/>
              </w:rPr>
              <w:t>1</w:t>
            </w:r>
          </w:p>
        </w:tc>
        <w:tc>
          <w:tcPr>
            <w:tcW w:w="1843" w:type="dxa"/>
            <w:vAlign w:val="center"/>
          </w:tcPr>
          <w:p w:rsidR="00784E76" w:rsidRDefault="005E6A7B">
            <w:pPr>
              <w:jc w:val="center"/>
            </w:pPr>
            <w:r>
              <w:rPr>
                <w:rFonts w:ascii="宋体" w:hAnsi="宋体" w:hint="eastAsia"/>
                <w:color w:val="000000"/>
                <w:kern w:val="0"/>
                <w:szCs w:val="21"/>
              </w:rPr>
              <w:t>2019/1/1-2019/3/31</w:t>
            </w:r>
          </w:p>
        </w:tc>
        <w:tc>
          <w:tcPr>
            <w:tcW w:w="851" w:type="dxa"/>
            <w:vAlign w:val="center"/>
          </w:tcPr>
          <w:p w:rsidR="00784E76" w:rsidRDefault="005E6A7B">
            <w:pPr>
              <w:jc w:val="center"/>
            </w:pPr>
            <w:r>
              <w:rPr>
                <w:rFonts w:ascii="宋体" w:hAnsi="宋体" w:hint="eastAsia"/>
                <w:color w:val="000000"/>
                <w:kern w:val="0"/>
                <w:szCs w:val="21"/>
              </w:rPr>
              <w:t>779,027,014.65</w:t>
            </w:r>
          </w:p>
        </w:tc>
        <w:tc>
          <w:tcPr>
            <w:tcW w:w="850" w:type="dxa"/>
            <w:vAlign w:val="center"/>
          </w:tcPr>
          <w:p w:rsidR="00784E76" w:rsidRDefault="005E6A7B">
            <w:pPr>
              <w:jc w:val="center"/>
            </w:pPr>
            <w:r>
              <w:rPr>
                <w:rFonts w:ascii="宋体" w:hAnsi="宋体" w:hint="eastAsia"/>
                <w:color w:val="000000"/>
                <w:kern w:val="0"/>
                <w:szCs w:val="21"/>
              </w:rPr>
              <w:t>-</w:t>
            </w:r>
          </w:p>
        </w:tc>
        <w:tc>
          <w:tcPr>
            <w:tcW w:w="1134" w:type="dxa"/>
            <w:vAlign w:val="center"/>
          </w:tcPr>
          <w:p w:rsidR="00784E76" w:rsidRDefault="005E6A7B">
            <w:pPr>
              <w:jc w:val="center"/>
            </w:pPr>
            <w:r>
              <w:rPr>
                <w:rFonts w:ascii="宋体" w:hAnsi="宋体" w:hint="eastAsia"/>
                <w:color w:val="000000"/>
                <w:kern w:val="0"/>
                <w:szCs w:val="21"/>
              </w:rPr>
              <w:t>-</w:t>
            </w:r>
          </w:p>
        </w:tc>
        <w:tc>
          <w:tcPr>
            <w:tcW w:w="1419" w:type="dxa"/>
            <w:vAlign w:val="center"/>
          </w:tcPr>
          <w:p w:rsidR="00784E76" w:rsidRDefault="005E6A7B">
            <w:pPr>
              <w:jc w:val="center"/>
            </w:pPr>
            <w:r>
              <w:rPr>
                <w:rFonts w:ascii="宋体" w:hAnsi="宋体" w:hint="eastAsia"/>
                <w:color w:val="000000"/>
                <w:kern w:val="0"/>
                <w:szCs w:val="21"/>
              </w:rPr>
              <w:t>779,027,014.65</w:t>
            </w:r>
          </w:p>
        </w:tc>
        <w:tc>
          <w:tcPr>
            <w:tcW w:w="1130" w:type="dxa"/>
            <w:vAlign w:val="center"/>
          </w:tcPr>
          <w:p w:rsidR="00784E76" w:rsidRDefault="005E6A7B">
            <w:pPr>
              <w:jc w:val="center"/>
            </w:pPr>
            <w:r>
              <w:rPr>
                <w:rFonts w:ascii="宋体" w:hAnsi="宋体" w:hint="eastAsia"/>
                <w:color w:val="000000"/>
                <w:kern w:val="0"/>
                <w:szCs w:val="21"/>
              </w:rPr>
              <w:t>25.38%</w:t>
            </w:r>
          </w:p>
        </w:tc>
      </w:tr>
      <w:tr w:rsidR="00784E76">
        <w:tc>
          <w:tcPr>
            <w:tcW w:w="992" w:type="dxa"/>
            <w:vMerge/>
          </w:tcPr>
          <w:p w:rsidR="00784E76" w:rsidRDefault="00784E76"/>
        </w:tc>
        <w:tc>
          <w:tcPr>
            <w:tcW w:w="991" w:type="dxa"/>
            <w:vAlign w:val="center"/>
          </w:tcPr>
          <w:p w:rsidR="00784E76" w:rsidRDefault="005E6A7B">
            <w:pPr>
              <w:jc w:val="center"/>
            </w:pPr>
            <w:r>
              <w:rPr>
                <w:rFonts w:ascii="宋体" w:hAnsi="宋体" w:hint="eastAsia"/>
                <w:color w:val="000000"/>
                <w:kern w:val="0"/>
                <w:szCs w:val="21"/>
              </w:rPr>
              <w:t>2</w:t>
            </w:r>
          </w:p>
        </w:tc>
        <w:tc>
          <w:tcPr>
            <w:tcW w:w="1843" w:type="dxa"/>
            <w:vAlign w:val="center"/>
          </w:tcPr>
          <w:p w:rsidR="00784E76" w:rsidRDefault="005E6A7B">
            <w:pPr>
              <w:jc w:val="center"/>
            </w:pPr>
            <w:r>
              <w:rPr>
                <w:rFonts w:ascii="宋体" w:hAnsi="宋体" w:hint="eastAsia"/>
                <w:color w:val="000000"/>
                <w:kern w:val="0"/>
                <w:szCs w:val="21"/>
              </w:rPr>
              <w:t>2019/1/1-2019/3/31</w:t>
            </w:r>
          </w:p>
        </w:tc>
        <w:tc>
          <w:tcPr>
            <w:tcW w:w="851" w:type="dxa"/>
            <w:vAlign w:val="center"/>
          </w:tcPr>
          <w:p w:rsidR="00784E76" w:rsidRDefault="005E6A7B">
            <w:pPr>
              <w:jc w:val="center"/>
            </w:pPr>
            <w:r>
              <w:rPr>
                <w:rFonts w:ascii="宋体" w:hAnsi="宋体" w:hint="eastAsia"/>
                <w:color w:val="000000"/>
                <w:kern w:val="0"/>
                <w:szCs w:val="21"/>
              </w:rPr>
              <w:t>291,884,607.</w:t>
            </w:r>
            <w:r>
              <w:rPr>
                <w:rFonts w:ascii="宋体" w:hAnsi="宋体" w:hint="eastAsia"/>
                <w:color w:val="000000"/>
                <w:kern w:val="0"/>
                <w:szCs w:val="21"/>
              </w:rPr>
              <w:lastRenderedPageBreak/>
              <w:t>90</w:t>
            </w:r>
          </w:p>
        </w:tc>
        <w:tc>
          <w:tcPr>
            <w:tcW w:w="850" w:type="dxa"/>
            <w:vAlign w:val="center"/>
          </w:tcPr>
          <w:p w:rsidR="00784E76" w:rsidRDefault="005E6A7B">
            <w:pPr>
              <w:jc w:val="center"/>
            </w:pPr>
            <w:r>
              <w:rPr>
                <w:rFonts w:ascii="宋体" w:hAnsi="宋体" w:hint="eastAsia"/>
                <w:color w:val="000000"/>
                <w:kern w:val="0"/>
                <w:szCs w:val="21"/>
              </w:rPr>
              <w:lastRenderedPageBreak/>
              <w:t>383,471,383.</w:t>
            </w:r>
            <w:r>
              <w:rPr>
                <w:rFonts w:ascii="宋体" w:hAnsi="宋体" w:hint="eastAsia"/>
                <w:color w:val="000000"/>
                <w:kern w:val="0"/>
                <w:szCs w:val="21"/>
              </w:rPr>
              <w:lastRenderedPageBreak/>
              <w:t>38</w:t>
            </w:r>
          </w:p>
        </w:tc>
        <w:tc>
          <w:tcPr>
            <w:tcW w:w="1134" w:type="dxa"/>
            <w:vAlign w:val="center"/>
          </w:tcPr>
          <w:p w:rsidR="00784E76" w:rsidRDefault="005E6A7B">
            <w:pPr>
              <w:jc w:val="center"/>
            </w:pPr>
            <w:r>
              <w:rPr>
                <w:rFonts w:ascii="宋体" w:hAnsi="宋体" w:hint="eastAsia"/>
                <w:color w:val="000000"/>
                <w:kern w:val="0"/>
                <w:szCs w:val="21"/>
              </w:rPr>
              <w:lastRenderedPageBreak/>
              <w:t>-</w:t>
            </w:r>
          </w:p>
        </w:tc>
        <w:tc>
          <w:tcPr>
            <w:tcW w:w="1419" w:type="dxa"/>
            <w:vAlign w:val="center"/>
          </w:tcPr>
          <w:p w:rsidR="00784E76" w:rsidRDefault="005E6A7B">
            <w:pPr>
              <w:jc w:val="center"/>
            </w:pPr>
            <w:r>
              <w:rPr>
                <w:rFonts w:ascii="宋体" w:hAnsi="宋体" w:hint="eastAsia"/>
                <w:color w:val="000000"/>
                <w:kern w:val="0"/>
                <w:szCs w:val="21"/>
              </w:rPr>
              <w:t>675,355,991.28</w:t>
            </w:r>
          </w:p>
        </w:tc>
        <w:tc>
          <w:tcPr>
            <w:tcW w:w="1130" w:type="dxa"/>
            <w:vAlign w:val="center"/>
          </w:tcPr>
          <w:p w:rsidR="00784E76" w:rsidRDefault="005E6A7B">
            <w:pPr>
              <w:jc w:val="center"/>
            </w:pPr>
            <w:r>
              <w:rPr>
                <w:rFonts w:ascii="宋体" w:hAnsi="宋体" w:hint="eastAsia"/>
                <w:color w:val="000000"/>
                <w:kern w:val="0"/>
                <w:szCs w:val="21"/>
              </w:rPr>
              <w:t>22.01%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、中国证监会准予交银施罗德裕如纯债债券型证券投资基金募集注册的文件；</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、《交银施罗德裕如纯债债券型证券投资基金基金合同》；</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、《交银施罗德裕如纯债债券型证券投资基金招募说明书》；</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、《交银施罗德裕如纯债债券型证券投资基金托管协议》；</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、关于申请募集注册交银施罗德裕如纯债债券型证券投资基金的法律意见书；</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、报告期内交银施罗德裕如纯债债券型证券投资基金在指定报刊上各项公告的原稿。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784E76" w:rsidRDefault="005E6A7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5E6A7B">
      <w:rPr>
        <w:noProof/>
        <w:kern w:val="0"/>
        <w:szCs w:val="21"/>
      </w:rPr>
      <w:t>12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5E6A7B">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交银施罗德裕如纯债债券型证券投资基金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A7B"/>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E76"/>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4:docId w14:val="4FE1188D"/>
  <w15:docId w15:val="{CF93D1FA-A281-4864-A0CC-D1484538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AAFA5-A114-467A-8BF2-6ED5AD66F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208</TotalTime>
  <Pages>14</Pages>
  <Words>1211</Words>
  <Characters>6909</Characters>
  <Application>Microsoft Office Word</Application>
  <DocSecurity>0</DocSecurity>
  <Lines>57</Lines>
  <Paragraphs>16</Paragraphs>
  <ScaleCrop>false</ScaleCrop>
  <Company>TRT. Ltd. Co.</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378</cp:revision>
  <cp:lastPrinted>2007-07-19T00:46:00Z</cp:lastPrinted>
  <dcterms:created xsi:type="dcterms:W3CDTF">2014-01-17T06:19:00Z</dcterms:created>
  <dcterms:modified xsi:type="dcterms:W3CDTF">2019-04-12T05:16:00Z</dcterms:modified>
</cp:coreProperties>
</file>