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交银施罗德定期支付双息平衡混合型证券投资基金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662,006,249.35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50%×中证红利指数收益率+50%×中债综合全价指数收益率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114,682,019.37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379,012,477.18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0.5539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2,066,780,985.30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3.122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21.24%</w:t>
            </w:r>
          </w:p>
        </w:tc>
        <w:tc>
          <w:tcPr>
            <w:vAlign w:val="center"/>
          </w:tcPr>
          <w:p>
            <w:pPr>
              <w:jc w:val="center"/>
            </w:pPr>
            <w:r>
              <w:rPr>
                <w:color w:val="000000"/>
                <w:sz w:val="24"/>
                <w:szCs w:val="24"/>
              </w:rPr>
              <w:t>1.30%</w:t>
            </w:r>
          </w:p>
        </w:tc>
        <w:tc>
          <w:tcPr>
            <w:vAlign w:val="center"/>
          </w:tcPr>
          <w:p>
            <w:pPr>
              <w:jc w:val="center"/>
            </w:pPr>
            <w:r>
              <w:rPr>
                <w:color w:val="000000"/>
                <w:sz w:val="24"/>
                <w:szCs w:val="24"/>
              </w:rPr>
              <w:t>11.59%</w:t>
            </w:r>
          </w:p>
        </w:tc>
        <w:tc>
          <w:tcPr>
            <w:vAlign w:val="center"/>
          </w:tcPr>
          <w:p>
            <w:pPr>
              <w:jc w:val="center"/>
            </w:pPr>
            <w:r>
              <w:rPr>
                <w:color w:val="000000"/>
                <w:sz w:val="24"/>
                <w:szCs w:val="24"/>
              </w:rPr>
              <w:t>0.64%</w:t>
            </w:r>
          </w:p>
        </w:tc>
        <w:tc>
          <w:tcPr>
            <w:vAlign w:val="center"/>
          </w:tcPr>
          <w:p>
            <w:pPr>
              <w:jc w:val="center"/>
            </w:pPr>
            <w:r>
              <w:rPr>
                <w:color w:val="000000"/>
                <w:sz w:val="24"/>
                <w:szCs w:val="24"/>
              </w:rPr>
              <w:t>9.65%</w:t>
            </w:r>
          </w:p>
        </w:tc>
        <w:tc>
          <w:tcPr>
            <w:vAlign w:val="center"/>
          </w:tcPr>
          <w:p>
            <w:pPr>
              <w:jc w:val="center"/>
            </w:pPr>
            <w:r>
              <w:rPr>
                <w:color w:val="000000"/>
                <w:sz w:val="24"/>
                <w:szCs w:val="24"/>
              </w:rPr>
              <w:t>0.66%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交银施罗德定期支付双息平衡混合型证券投资基金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2015-08-15</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第一季度，随着经济货币政策的调整，年初社会融资出现较大幅度的反弹，政府对中小企业的支持强劲，经济数据出现反弹的迹象。与此同时随着国家机构改革的推进，新兴行业促进政策与证券市场改革（如科创板等）也加快启动。中美贸易战处于持续谈判期，边际上较2018年有所缓和。如此种种，今年一季度市场出现强劲反弹，各大指数均大幅上涨，相较而言，过去几年跌幅较多的中小市值公司价格弹性较大。</w:t>
      </w:r>
    </w:p>
    <w:p>
      <w:pPr>
        <w:spacing w:before="29" w:line="288" w:lineRule="auto"/>
        <w:ind w:firstLine="480" w:firstLineChars="200"/>
        <w:rPr>
          <w:color w:val="000000"/>
          <w:sz w:val="24"/>
          <w:szCs w:val="24"/>
        </w:rPr>
      </w:pPr>
      <w:r>
        <w:rPr>
          <w:color w:val="000000"/>
          <w:sz w:val="24"/>
          <w:szCs w:val="24"/>
        </w:rPr>
        <w:t>我们认为从2018年四季度以来经济货币政策的调整仍然应当以纠偏的角度的去看待，从长期的角度，国内外政治经济的新常态仍然需要得到产业界和资本界的清醒认识，放弃对数量型发展模式的复辟预期，探索质量型发展模式的具象仍然任重道远。所以，我们对因为这次货币释放脉冲带来的经济波动仍然持谨慎态度，但可喜的是，在微观方面，在每一次经济波动的过程中，我们都观测到有一批优秀的公司体现出超越行业平均水平的能力。在宏观方面，我们也看到社会转型期的权责与利益分配机制在一点点重新构建，对中长期我们信心较足。</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年初找到一些符合一贯理念的新品种，仓位因而上行，本季度收益率为21.24%，跑赢业绩比较基准。持仓结构上看，我们持有政企软件、互联网服务、民生消费以及高端制造四个方向比较多。我们将继续寻找具备新时代背景的优秀公司投资，持续稳健的为持有人服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1,380,676,090.33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65.77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1,380,676,090.33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65.77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399,992,600.00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19.06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301,644,368.80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14.37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16,817,445.19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0.80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2,099,130,504.32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299,038,773.97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176,999,643.20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11,569,520.00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452,718,784.96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134,343.00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25,090,000.00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64,272,700.80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41,017,887.00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309,834,437.40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1,380,676,090.33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66.80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4,176,404</w:t>
            </w:r>
          </w:p>
        </w:tc>
        <w:tc>
          <w:tcPr>
            <w:vAlign w:val="center"/>
          </w:tcPr>
          <w:p>
            <w:pPr>
              <w:jc w:val="right"/>
            </w:pPr>
            <w:r>
              <w:rPr>
                <w:color w:val="000000"/>
                <w:sz w:val="24"/>
                <w:szCs w:val="24"/>
              </w:rPr>
              <w:t>185,014,697.20</w:t>
            </w:r>
          </w:p>
        </w:tc>
        <w:tc>
          <w:tcPr>
            <w:vAlign w:val="center"/>
          </w:tcPr>
          <w:p>
            <w:pPr>
              <w:jc w:val="right"/>
            </w:pPr>
            <w:r>
              <w:rPr>
                <w:color w:val="000000"/>
                <w:sz w:val="24"/>
                <w:szCs w:val="24"/>
              </w:rPr>
              <w:t>8.95</w:t>
            </w:r>
          </w:p>
        </w:tc>
      </w:tr>
      <w:tr>
        <w:tc>
          <w:tcPr>
            <w:vAlign w:val="center"/>
          </w:tcPr>
          <w:p>
            <w:pPr>
              <w:jc w:val="center"/>
            </w:pPr>
            <w:r>
              <w:rPr>
                <w:color w:val="000000"/>
                <w:sz w:val="24"/>
                <w:szCs w:val="24"/>
              </w:rPr>
              <w:t>2</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10,717,940</w:t>
            </w:r>
          </w:p>
        </w:tc>
        <w:tc>
          <w:tcPr>
            <w:vAlign w:val="center"/>
          </w:tcPr>
          <w:p>
            <w:pPr>
              <w:jc w:val="right"/>
            </w:pPr>
            <w:r>
              <w:rPr>
                <w:color w:val="000000"/>
                <w:sz w:val="24"/>
                <w:szCs w:val="24"/>
              </w:rPr>
              <w:t>138,047,067.20</w:t>
            </w:r>
          </w:p>
        </w:tc>
        <w:tc>
          <w:tcPr>
            <w:vAlign w:val="center"/>
          </w:tcPr>
          <w:p>
            <w:pPr>
              <w:jc w:val="right"/>
            </w:pPr>
            <w:r>
              <w:rPr>
                <w:color w:val="000000"/>
                <w:sz w:val="24"/>
                <w:szCs w:val="24"/>
              </w:rPr>
              <w:t>6.68</w:t>
            </w:r>
          </w:p>
        </w:tc>
      </w:tr>
      <w:tr>
        <w:tc>
          <w:tcPr>
            <w:vAlign w:val="center"/>
          </w:tcPr>
          <w:p>
            <w:pPr>
              <w:jc w:val="center"/>
            </w:pPr>
            <w:r>
              <w:rPr>
                <w:color w:val="000000"/>
                <w:sz w:val="24"/>
                <w:szCs w:val="24"/>
              </w:rPr>
              <w:t>3</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4,735,195</w:t>
            </w:r>
          </w:p>
        </w:tc>
        <w:tc>
          <w:tcPr>
            <w:vAlign w:val="center"/>
          </w:tcPr>
          <w:p>
            <w:pPr>
              <w:jc w:val="right"/>
            </w:pPr>
            <w:r>
              <w:rPr>
                <w:color w:val="000000"/>
                <w:sz w:val="24"/>
                <w:szCs w:val="24"/>
              </w:rPr>
              <w:t>124,819,740.20</w:t>
            </w:r>
          </w:p>
        </w:tc>
        <w:tc>
          <w:tcPr>
            <w:vAlign w:val="center"/>
          </w:tcPr>
          <w:p>
            <w:pPr>
              <w:jc w:val="right"/>
            </w:pPr>
            <w:r>
              <w:rPr>
                <w:color w:val="000000"/>
                <w:sz w:val="24"/>
                <w:szCs w:val="24"/>
              </w:rPr>
              <w:t>6.04</w:t>
            </w:r>
          </w:p>
        </w:tc>
      </w:tr>
      <w:tr>
        <w:tc>
          <w:tcPr>
            <w:vAlign w:val="center"/>
          </w:tcPr>
          <w:p>
            <w:pPr>
              <w:jc w:val="center"/>
            </w:pPr>
            <w:r>
              <w:rPr>
                <w:color w:val="000000"/>
                <w:sz w:val="24"/>
                <w:szCs w:val="24"/>
              </w:rPr>
              <w:t>4</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6,339,669</w:t>
            </w:r>
          </w:p>
        </w:tc>
        <w:tc>
          <w:tcPr>
            <w:vAlign w:val="center"/>
          </w:tcPr>
          <w:p>
            <w:pPr>
              <w:jc w:val="right"/>
            </w:pPr>
            <w:r>
              <w:rPr>
                <w:color w:val="000000"/>
                <w:sz w:val="24"/>
                <w:szCs w:val="24"/>
              </w:rPr>
              <w:t>109,105,703.49</w:t>
            </w:r>
          </w:p>
        </w:tc>
        <w:tc>
          <w:tcPr>
            <w:vAlign w:val="center"/>
          </w:tcPr>
          <w:p>
            <w:pPr>
              <w:jc w:val="right"/>
            </w:pPr>
            <w:r>
              <w:rPr>
                <w:color w:val="000000"/>
                <w:sz w:val="24"/>
                <w:szCs w:val="24"/>
              </w:rPr>
              <w:t>5.28</w:t>
            </w:r>
          </w:p>
        </w:tc>
      </w:tr>
      <w:tr>
        <w:tc>
          <w:tcPr>
            <w:vAlign w:val="center"/>
          </w:tcPr>
          <w:p>
            <w:pPr>
              <w:jc w:val="center"/>
            </w:pPr>
            <w:r>
              <w:rPr>
                <w:color w:val="000000"/>
                <w:sz w:val="24"/>
                <w:szCs w:val="24"/>
              </w:rPr>
              <w:t>5</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4,237,190</w:t>
            </w:r>
          </w:p>
        </w:tc>
        <w:tc>
          <w:tcPr>
            <w:vAlign w:val="center"/>
          </w:tcPr>
          <w:p>
            <w:pPr>
              <w:jc w:val="right"/>
            </w:pPr>
            <w:r>
              <w:rPr>
                <w:color w:val="000000"/>
                <w:sz w:val="24"/>
                <w:szCs w:val="24"/>
              </w:rPr>
              <w:t>89,277,593.30</w:t>
            </w:r>
          </w:p>
        </w:tc>
        <w:tc>
          <w:tcPr>
            <w:vAlign w:val="center"/>
          </w:tcPr>
          <w:p>
            <w:pPr>
              <w:jc w:val="right"/>
            </w:pPr>
            <w:r>
              <w:rPr>
                <w:color w:val="000000"/>
                <w:sz w:val="24"/>
                <w:szCs w:val="24"/>
              </w:rPr>
              <w:t>4.32</w:t>
            </w:r>
          </w:p>
        </w:tc>
      </w:tr>
      <w:tr>
        <w:tc>
          <w:tcPr>
            <w:vAlign w:val="center"/>
          </w:tcPr>
          <w:p>
            <w:pPr>
              <w:jc w:val="center"/>
            </w:pPr>
            <w:r>
              <w:rPr>
                <w:color w:val="000000"/>
                <w:sz w:val="24"/>
                <w:szCs w:val="24"/>
              </w:rPr>
              <w:t>6</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2,940,482</w:t>
            </w:r>
          </w:p>
        </w:tc>
        <w:tc>
          <w:tcPr>
            <w:vAlign w:val="center"/>
          </w:tcPr>
          <w:p>
            <w:pPr>
              <w:jc w:val="right"/>
            </w:pPr>
            <w:r>
              <w:rPr>
                <w:color w:val="000000"/>
                <w:sz w:val="24"/>
                <w:szCs w:val="24"/>
              </w:rPr>
              <w:t>87,655,768.42</w:t>
            </w:r>
          </w:p>
        </w:tc>
        <w:tc>
          <w:tcPr>
            <w:vAlign w:val="center"/>
          </w:tcPr>
          <w:p>
            <w:pPr>
              <w:jc w:val="right"/>
            </w:pPr>
            <w:r>
              <w:rPr>
                <w:color w:val="000000"/>
                <w:sz w:val="24"/>
                <w:szCs w:val="24"/>
              </w:rPr>
              <w:t>4.24</w:t>
            </w:r>
          </w:p>
        </w:tc>
      </w:tr>
      <w:tr>
        <w:tc>
          <w:tcPr>
            <w:vAlign w:val="center"/>
          </w:tcPr>
          <w:p>
            <w:pPr>
              <w:jc w:val="center"/>
            </w:pPr>
            <w:r>
              <w:rPr>
                <w:color w:val="000000"/>
                <w:sz w:val="24"/>
                <w:szCs w:val="24"/>
              </w:rPr>
              <w:t>7</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2,326,886</w:t>
            </w:r>
          </w:p>
        </w:tc>
        <w:tc>
          <w:tcPr>
            <w:vAlign w:val="center"/>
          </w:tcPr>
          <w:p>
            <w:pPr>
              <w:jc w:val="right"/>
            </w:pPr>
            <w:r>
              <w:rPr>
                <w:color w:val="000000"/>
                <w:sz w:val="24"/>
                <w:szCs w:val="24"/>
              </w:rPr>
              <w:t>84,442,692.94</w:t>
            </w:r>
          </w:p>
        </w:tc>
        <w:tc>
          <w:tcPr>
            <w:vAlign w:val="center"/>
          </w:tcPr>
          <w:p>
            <w:pPr>
              <w:jc w:val="right"/>
            </w:pPr>
            <w:r>
              <w:rPr>
                <w:color w:val="000000"/>
                <w:sz w:val="24"/>
                <w:szCs w:val="24"/>
              </w:rPr>
              <w:t>4.09</w:t>
            </w:r>
          </w:p>
        </w:tc>
      </w:tr>
      <w:tr>
        <w:tc>
          <w:tcPr>
            <w:vAlign w:val="center"/>
          </w:tcPr>
          <w:p>
            <w:pPr>
              <w:jc w:val="center"/>
            </w:pPr>
            <w:r>
              <w:rPr>
                <w:color w:val="000000"/>
                <w:sz w:val="24"/>
                <w:szCs w:val="24"/>
              </w:rPr>
              <w:t>8</w:t>
            </w:r>
          </w:p>
        </w:tc>
        <w:tc>
          <w:tcPr>
            <w:vAlign w:val="center"/>
          </w:tcPr>
          <w:p>
            <w:pPr>
              <w:jc w:val="center"/>
            </w:pPr>
            <w:r>
              <w:rPr>
                <w:color w:val="000000"/>
                <w:sz w:val="24"/>
                <w:szCs w:val="24"/>
              </w:rPr>
              <w:t>603039</w:t>
            </w:r>
          </w:p>
        </w:tc>
        <w:tc>
          <w:tcPr>
            <w:vAlign w:val="center"/>
          </w:tcPr>
          <w:p>
            <w:pPr>
              <w:jc w:val="center"/>
            </w:pPr>
            <w:r>
              <w:rPr>
                <w:color w:val="000000"/>
                <w:sz w:val="24"/>
                <w:szCs w:val="24"/>
              </w:rPr>
              <w:t>泛微网络</w:t>
            </w:r>
          </w:p>
        </w:tc>
        <w:tc>
          <w:tcPr>
            <w:vAlign w:val="center"/>
          </w:tcPr>
          <w:p>
            <w:pPr>
              <w:jc w:val="right"/>
            </w:pPr>
            <w:r>
              <w:rPr>
                <w:color w:val="000000"/>
                <w:sz w:val="24"/>
                <w:szCs w:val="24"/>
              </w:rPr>
              <w:t>705,579</w:t>
            </w:r>
          </w:p>
        </w:tc>
        <w:tc>
          <w:tcPr>
            <w:vAlign w:val="center"/>
          </w:tcPr>
          <w:p>
            <w:pPr>
              <w:jc w:val="right"/>
            </w:pPr>
            <w:r>
              <w:rPr>
                <w:color w:val="000000"/>
                <w:sz w:val="24"/>
                <w:szCs w:val="24"/>
              </w:rPr>
              <w:t>73,309,658.10</w:t>
            </w:r>
          </w:p>
        </w:tc>
        <w:tc>
          <w:tcPr>
            <w:vAlign w:val="center"/>
          </w:tcPr>
          <w:p>
            <w:pPr>
              <w:jc w:val="right"/>
            </w:pPr>
            <w:r>
              <w:rPr>
                <w:color w:val="000000"/>
                <w:sz w:val="24"/>
                <w:szCs w:val="24"/>
              </w:rPr>
              <w:t>3.55</w:t>
            </w:r>
          </w:p>
        </w:tc>
      </w:tr>
      <w:tr>
        <w:tc>
          <w:tcPr>
            <w:vAlign w:val="center"/>
          </w:tcPr>
          <w:p>
            <w:pPr>
              <w:jc w:val="center"/>
            </w:pPr>
            <w:r>
              <w:rPr>
                <w:color w:val="000000"/>
                <w:sz w:val="24"/>
                <w:szCs w:val="24"/>
              </w:rPr>
              <w:t>9</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7,303,716</w:t>
            </w:r>
          </w:p>
        </w:tc>
        <w:tc>
          <w:tcPr>
            <w:vAlign w:val="center"/>
          </w:tcPr>
          <w:p>
            <w:pPr>
              <w:jc w:val="right"/>
            </w:pPr>
            <w:r>
              <w:rPr>
                <w:color w:val="000000"/>
                <w:sz w:val="24"/>
                <w:szCs w:val="24"/>
              </w:rPr>
              <w:t>64,272,700.80</w:t>
            </w:r>
          </w:p>
        </w:tc>
        <w:tc>
          <w:tcPr>
            <w:vAlign w:val="center"/>
          </w:tcPr>
          <w:p>
            <w:pPr>
              <w:jc w:val="right"/>
            </w:pPr>
            <w:r>
              <w:rPr>
                <w:color w:val="000000"/>
                <w:sz w:val="24"/>
                <w:szCs w:val="24"/>
              </w:rPr>
              <w:t>3.11</w:t>
            </w:r>
          </w:p>
        </w:tc>
      </w:tr>
      <w:tr>
        <w:tc>
          <w:tcPr>
            <w:vAlign w:val="center"/>
          </w:tcPr>
          <w:p>
            <w:pPr>
              <w:jc w:val="center"/>
            </w:pPr>
            <w:r>
              <w:rPr>
                <w:color w:val="000000"/>
                <w:sz w:val="24"/>
                <w:szCs w:val="24"/>
              </w:rPr>
              <w:t>10</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4,367,507</w:t>
            </w:r>
          </w:p>
        </w:tc>
        <w:tc>
          <w:tcPr>
            <w:vAlign w:val="center"/>
          </w:tcPr>
          <w:p>
            <w:pPr>
              <w:jc w:val="right"/>
            </w:pPr>
            <w:r>
              <w:rPr>
                <w:color w:val="000000"/>
                <w:sz w:val="24"/>
                <w:szCs w:val="24"/>
              </w:rPr>
              <w:t>52,017,008.37</w:t>
            </w:r>
          </w:p>
        </w:tc>
        <w:tc>
          <w:tcPr>
            <w:vAlign w:val="center"/>
          </w:tcPr>
          <w:p>
            <w:pPr>
              <w:jc w:val="right"/>
            </w:pPr>
            <w:r>
              <w:rPr>
                <w:color w:val="000000"/>
                <w:sz w:val="24"/>
                <w:szCs w:val="24"/>
              </w:rPr>
              <w:t>2.52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924,522.41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6,962,000.23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221,995.83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8,708,926.72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16,817,445.19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109,105,703.49</w:t>
            </w:r>
          </w:p>
        </w:tc>
        <w:tc>
          <w:tcPr>
            <w:vAlign w:val="center"/>
          </w:tcPr>
          <w:p>
            <w:pPr>
              <w:jc w:val="right"/>
            </w:pPr>
            <w:r>
              <w:rPr>
                <w:color w:val="000000"/>
                <w:sz w:val="24"/>
                <w:szCs w:val="24"/>
              </w:rPr>
              <w:t>5.28</w:t>
            </w:r>
          </w:p>
        </w:tc>
        <w:tc>
          <w:tcPr>
            <w:vAlign w:val="center"/>
          </w:tcPr>
          <w:p>
            <w:pPr>
              <w:jc w:val="right"/>
            </w:pPr>
            <w:r>
              <w:rPr>
                <w:color w:val="000000"/>
                <w:sz w:val="24"/>
                <w:szCs w:val="24"/>
              </w:rPr>
              <w:t>重大事项</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667,827,447.77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244,643,918.96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250,465,117.38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662,006,249.35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1、中国证监会批准交银施罗德定期支付双息平衡混合型证券投资基金募集的文件；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2、《交银施罗德定期支付双息平衡混合型证券投资基金基金合同》；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3、《交银施罗德定期支付双息平衡混合型证券投资基金招募说明书》；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4、《交银施罗德定期支付双息平衡混合型证券投资基金托管协议》；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5、关于募集交银施罗德定期支付双息平衡混合型证券投资基金之法律意见书；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8、报告期内交银施罗德定期支付双息平衡混合型证券投资基金在指定报刊上各项公告的原稿。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交银施罗德定期支付双息平衡混合型证券投资基金2019年第1季度报告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