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452,758,838.18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58,982,971.40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123,871,127.34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0.2716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563,678,077.68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27.82%</w:t>
            </w:r>
          </w:p>
        </w:tc>
        <w:tc>
          <w:tcPr>
            <w:vAlign w:val="center"/>
          </w:tcPr>
          <w:p>
            <w:pPr>
              <w:jc w:val="center"/>
            </w:pPr>
            <w:r>
              <w:rPr>
                <w:color w:val="000000"/>
                <w:sz w:val="24"/>
                <w:szCs w:val="24"/>
              </w:rPr>
              <w:t>1.25%</w:t>
            </w:r>
          </w:p>
        </w:tc>
        <w:tc>
          <w:tcPr>
            <w:vAlign w:val="center"/>
          </w:tcPr>
          <w:p>
            <w:pPr>
              <w:jc w:val="center"/>
            </w:pPr>
            <w:r>
              <w:rPr>
                <w:color w:val="000000"/>
                <w:sz w:val="24"/>
                <w:szCs w:val="24"/>
              </w:rPr>
              <w:t>17.14%</w:t>
            </w:r>
          </w:p>
        </w:tc>
        <w:tc>
          <w:tcPr>
            <w:vAlign w:val="center"/>
          </w:tcPr>
          <w:p>
            <w:pPr>
              <w:jc w:val="center"/>
            </w:pPr>
            <w:r>
              <w:rPr>
                <w:color w:val="000000"/>
                <w:sz w:val="24"/>
                <w:szCs w:val="24"/>
              </w:rPr>
              <w:t>0.93%</w:t>
            </w:r>
          </w:p>
        </w:tc>
        <w:tc>
          <w:tcPr>
            <w:vAlign w:val="center"/>
          </w:tcPr>
          <w:p>
            <w:pPr>
              <w:jc w:val="center"/>
            </w:pPr>
            <w:r>
              <w:rPr>
                <w:color w:val="000000"/>
                <w:sz w:val="24"/>
                <w:szCs w:val="24"/>
              </w:rPr>
              <w:t>10.68%</w:t>
            </w:r>
          </w:p>
        </w:tc>
        <w:tc>
          <w:tcPr>
            <w:vAlign w:val="center"/>
          </w:tcPr>
          <w:p>
            <w:pPr>
              <w:jc w:val="center"/>
            </w:pPr>
            <w:r>
              <w:rPr>
                <w:color w:val="000000"/>
                <w:sz w:val="24"/>
                <w:szCs w:val="24"/>
              </w:rPr>
              <w:t>0.32%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以来，国内经济总需求从中观行业观察有企稳迹象，相比2018年底的预期有明显改善。内部来看，财政政策趋于宽松，社融增速企稳，外部环境，中美贸易战的不确定性降低，双方达成协议的可能性较高。我们认为从中期来看市场底部区域已经确认，短期伴随内外部环境的好转，市场继续处于可为阶段，2019年投资机会预计将多于2018年。</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报告期内，本基金增持了偏成长相关的行业领域，主要集中包括高端制造、医药、计算机、军工以及消费等领域。展望2019年二季度，我们认为如果贸易战逐渐缓和，那么结构性投资机会预计将不断显现，市场的估值有望回升，主题趋于活跃。总体来看上市企业分化较大，拥有较好现金流以及商业壁垒的企业，与外部不利因素相关性低的行业仍将得到市场更多的青睐，本产品将考虑加大此类个股配置。同时将继续关注高端制造、半导体等进口替代升级领域，计算机、通信等技术升级领域，以及航空、医药等可选消费。</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427,270,148.46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66.06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427,270,148.46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12,637,398.28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12,637,398.28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205,602,212.12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31.79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1,274,249.37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646,784,008.23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18,249,920.47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213,144,921.92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8,034,529.15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2,814,400.00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34,370,444.60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43,130,260.00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37,101,376.92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28,031,843.00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8,550,000.00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11,564,000.00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2,106,500.00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8,033,275.40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12,138,677.00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427,270,148.46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75.80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600115</w:t>
            </w:r>
          </w:p>
        </w:tc>
        <w:tc>
          <w:tcPr>
            <w:vAlign w:val="center"/>
          </w:tcPr>
          <w:p>
            <w:pPr>
              <w:jc w:val="center"/>
            </w:pPr>
            <w:r>
              <w:rPr>
                <w:color w:val="000000"/>
                <w:sz w:val="24"/>
                <w:szCs w:val="24"/>
              </w:rPr>
              <w:t>东方航空</w:t>
            </w:r>
          </w:p>
        </w:tc>
        <w:tc>
          <w:tcPr>
            <w:vAlign w:val="center"/>
          </w:tcPr>
          <w:p>
            <w:pPr>
              <w:jc w:val="right"/>
            </w:pPr>
            <w:r>
              <w:rPr>
                <w:color w:val="000000"/>
                <w:sz w:val="24"/>
                <w:szCs w:val="24"/>
              </w:rPr>
              <w:t>3,688,100</w:t>
            </w:r>
          </w:p>
        </w:tc>
        <w:tc>
          <w:tcPr>
            <w:vAlign w:val="center"/>
          </w:tcPr>
          <w:p>
            <w:pPr>
              <w:jc w:val="right"/>
            </w:pPr>
            <w:r>
              <w:rPr>
                <w:color w:val="000000"/>
                <w:sz w:val="24"/>
                <w:szCs w:val="24"/>
              </w:rPr>
              <w:t>25,595,414.00</w:t>
            </w:r>
          </w:p>
        </w:tc>
        <w:tc>
          <w:tcPr>
            <w:vAlign w:val="center"/>
          </w:tcPr>
          <w:p>
            <w:pPr>
              <w:jc w:val="right"/>
            </w:pPr>
            <w:r>
              <w:rPr>
                <w:color w:val="000000"/>
                <w:sz w:val="24"/>
                <w:szCs w:val="24"/>
              </w:rPr>
              <w:t>4.54</w:t>
            </w:r>
          </w:p>
        </w:tc>
      </w:tr>
      <w:tr>
        <w:tc>
          <w:tcPr>
            <w:vAlign w:val="center"/>
          </w:tcPr>
          <w:p>
            <w:pPr>
              <w:jc w:val="center"/>
            </w:pPr>
            <w:r>
              <w:rPr>
                <w:color w:val="000000"/>
                <w:sz w:val="24"/>
                <w:szCs w:val="24"/>
              </w:rPr>
              <w:t>2</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751,520</w:t>
            </w:r>
          </w:p>
        </w:tc>
        <w:tc>
          <w:tcPr>
            <w:vAlign w:val="center"/>
          </w:tcPr>
          <w:p>
            <w:pPr>
              <w:jc w:val="right"/>
            </w:pPr>
            <w:r>
              <w:rPr>
                <w:color w:val="000000"/>
                <w:sz w:val="24"/>
                <w:szCs w:val="24"/>
              </w:rPr>
              <w:t>24,461,976.00</w:t>
            </w:r>
          </w:p>
        </w:tc>
        <w:tc>
          <w:tcPr>
            <w:vAlign w:val="center"/>
          </w:tcPr>
          <w:p>
            <w:pPr>
              <w:jc w:val="right"/>
            </w:pPr>
            <w:r>
              <w:rPr>
                <w:color w:val="000000"/>
                <w:sz w:val="24"/>
                <w:szCs w:val="24"/>
              </w:rPr>
              <w:t>4.34</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449,864</w:t>
            </w:r>
          </w:p>
        </w:tc>
        <w:tc>
          <w:tcPr>
            <w:vAlign w:val="center"/>
          </w:tcPr>
          <w:p>
            <w:pPr>
              <w:jc w:val="right"/>
            </w:pPr>
            <w:r>
              <w:rPr>
                <w:color w:val="000000"/>
                <w:sz w:val="24"/>
                <w:szCs w:val="24"/>
              </w:rPr>
              <w:t>21,031,142.00</w:t>
            </w:r>
          </w:p>
        </w:tc>
        <w:tc>
          <w:tcPr>
            <w:vAlign w:val="center"/>
          </w:tcPr>
          <w:p>
            <w:pPr>
              <w:jc w:val="right"/>
            </w:pPr>
            <w:r>
              <w:rPr>
                <w:color w:val="000000"/>
                <w:sz w:val="24"/>
                <w:szCs w:val="24"/>
              </w:rPr>
              <w:t>3.73</w:t>
            </w:r>
          </w:p>
        </w:tc>
      </w:tr>
      <w:tr>
        <w:tc>
          <w:tcPr>
            <w:vAlign w:val="center"/>
          </w:tcPr>
          <w:p>
            <w:pPr>
              <w:jc w:val="center"/>
            </w:pPr>
            <w:r>
              <w:rPr>
                <w:color w:val="000000"/>
                <w:sz w:val="24"/>
                <w:szCs w:val="24"/>
              </w:rPr>
              <w:t>4</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1,464,525</w:t>
            </w:r>
          </w:p>
        </w:tc>
        <w:tc>
          <w:tcPr>
            <w:vAlign w:val="center"/>
          </w:tcPr>
          <w:p>
            <w:pPr>
              <w:jc w:val="right"/>
            </w:pPr>
            <w:r>
              <w:rPr>
                <w:color w:val="000000"/>
                <w:sz w:val="24"/>
                <w:szCs w:val="24"/>
              </w:rPr>
              <w:t>17,662,171.50</w:t>
            </w:r>
          </w:p>
        </w:tc>
        <w:tc>
          <w:tcPr>
            <w:vAlign w:val="center"/>
          </w:tcPr>
          <w:p>
            <w:pPr>
              <w:jc w:val="right"/>
            </w:pPr>
            <w:r>
              <w:rPr>
                <w:color w:val="000000"/>
                <w:sz w:val="24"/>
                <w:szCs w:val="24"/>
              </w:rPr>
              <w:t>3.13</w:t>
            </w:r>
          </w:p>
        </w:tc>
      </w:tr>
      <w:tr>
        <w:tc>
          <w:tcPr>
            <w:vAlign w:val="center"/>
          </w:tcPr>
          <w:p>
            <w:pPr>
              <w:jc w:val="center"/>
            </w:pPr>
            <w:r>
              <w:rPr>
                <w:color w:val="000000"/>
                <w:sz w:val="24"/>
                <w:szCs w:val="24"/>
              </w:rPr>
              <w:t>5</w:t>
            </w:r>
          </w:p>
        </w:tc>
        <w:tc>
          <w:tcPr>
            <w:vAlign w:val="center"/>
          </w:tcPr>
          <w:p>
            <w:pPr>
              <w:jc w:val="center"/>
            </w:pPr>
            <w:r>
              <w:rPr>
                <w:color w:val="000000"/>
                <w:sz w:val="24"/>
                <w:szCs w:val="24"/>
              </w:rPr>
              <w:t>603345</w:t>
            </w:r>
          </w:p>
        </w:tc>
        <w:tc>
          <w:tcPr>
            <w:vAlign w:val="center"/>
          </w:tcPr>
          <w:p>
            <w:pPr>
              <w:jc w:val="center"/>
            </w:pPr>
            <w:r>
              <w:rPr>
                <w:color w:val="000000"/>
                <w:sz w:val="24"/>
                <w:szCs w:val="24"/>
              </w:rPr>
              <w:t>安井食品</w:t>
            </w:r>
          </w:p>
        </w:tc>
        <w:tc>
          <w:tcPr>
            <w:vAlign w:val="center"/>
          </w:tcPr>
          <w:p>
            <w:pPr>
              <w:jc w:val="right"/>
            </w:pPr>
            <w:r>
              <w:rPr>
                <w:color w:val="000000"/>
                <w:sz w:val="24"/>
                <w:szCs w:val="24"/>
              </w:rPr>
              <w:t>411,600</w:t>
            </w:r>
          </w:p>
        </w:tc>
        <w:tc>
          <w:tcPr>
            <w:vAlign w:val="center"/>
          </w:tcPr>
          <w:p>
            <w:pPr>
              <w:jc w:val="right"/>
            </w:pPr>
            <w:r>
              <w:rPr>
                <w:color w:val="000000"/>
                <w:sz w:val="24"/>
                <w:szCs w:val="24"/>
              </w:rPr>
              <w:t>16,731,540.00</w:t>
            </w:r>
          </w:p>
        </w:tc>
        <w:tc>
          <w:tcPr>
            <w:vAlign w:val="center"/>
          </w:tcPr>
          <w:p>
            <w:pPr>
              <w:jc w:val="right"/>
            </w:pPr>
            <w:r>
              <w:rPr>
                <w:color w:val="000000"/>
                <w:sz w:val="24"/>
                <w:szCs w:val="24"/>
              </w:rPr>
              <w:t>2.97</w:t>
            </w:r>
          </w:p>
        </w:tc>
      </w:tr>
      <w:tr>
        <w:tc>
          <w:tcPr>
            <w:vAlign w:val="center"/>
          </w:tcPr>
          <w:p>
            <w:pPr>
              <w:jc w:val="center"/>
            </w:pPr>
            <w:r>
              <w:rPr>
                <w:color w:val="000000"/>
                <w:sz w:val="24"/>
                <w:szCs w:val="24"/>
              </w:rPr>
              <w:t>6</w:t>
            </w:r>
          </w:p>
        </w:tc>
        <w:tc>
          <w:tcPr>
            <w:vAlign w:val="center"/>
          </w:tcPr>
          <w:p>
            <w:pPr>
              <w:jc w:val="center"/>
            </w:pPr>
            <w:r>
              <w:rPr>
                <w:color w:val="000000"/>
                <w:sz w:val="24"/>
                <w:szCs w:val="24"/>
              </w:rPr>
              <w:t>002511</w:t>
            </w:r>
          </w:p>
        </w:tc>
        <w:tc>
          <w:tcPr>
            <w:vAlign w:val="center"/>
          </w:tcPr>
          <w:p>
            <w:pPr>
              <w:jc w:val="center"/>
            </w:pPr>
            <w:r>
              <w:rPr>
                <w:color w:val="000000"/>
                <w:sz w:val="24"/>
                <w:szCs w:val="24"/>
              </w:rPr>
              <w:t>中顺洁柔</w:t>
            </w:r>
          </w:p>
        </w:tc>
        <w:tc>
          <w:tcPr>
            <w:vAlign w:val="center"/>
          </w:tcPr>
          <w:p>
            <w:pPr>
              <w:jc w:val="right"/>
            </w:pPr>
            <w:r>
              <w:rPr>
                <w:color w:val="000000"/>
                <w:sz w:val="24"/>
                <w:szCs w:val="24"/>
              </w:rPr>
              <w:t>1,756,573</w:t>
            </w:r>
          </w:p>
        </w:tc>
        <w:tc>
          <w:tcPr>
            <w:vAlign w:val="center"/>
          </w:tcPr>
          <w:p>
            <w:pPr>
              <w:jc w:val="right"/>
            </w:pPr>
            <w:r>
              <w:rPr>
                <w:color w:val="000000"/>
                <w:sz w:val="24"/>
                <w:szCs w:val="24"/>
              </w:rPr>
              <w:t>16,652,312.04</w:t>
            </w:r>
          </w:p>
        </w:tc>
        <w:tc>
          <w:tcPr>
            <w:vAlign w:val="center"/>
          </w:tcPr>
          <w:p>
            <w:pPr>
              <w:jc w:val="right"/>
            </w:pPr>
            <w:r>
              <w:rPr>
                <w:color w:val="000000"/>
                <w:sz w:val="24"/>
                <w:szCs w:val="24"/>
              </w:rPr>
              <w:t>2.95</w:t>
            </w:r>
          </w:p>
        </w:tc>
      </w:tr>
      <w:tr>
        <w:tc>
          <w:tcPr>
            <w:vAlign w:val="center"/>
          </w:tcPr>
          <w:p>
            <w:pPr>
              <w:jc w:val="center"/>
            </w:pPr>
            <w:r>
              <w:rPr>
                <w:color w:val="000000"/>
                <w:sz w:val="24"/>
                <w:szCs w:val="24"/>
              </w:rPr>
              <w:t>7</w:t>
            </w:r>
          </w:p>
        </w:tc>
        <w:tc>
          <w:tcPr>
            <w:vAlign w:val="center"/>
          </w:tcPr>
          <w:p>
            <w:pPr>
              <w:jc w:val="center"/>
            </w:pPr>
            <w:r>
              <w:rPr>
                <w:color w:val="000000"/>
                <w:sz w:val="24"/>
                <w:szCs w:val="24"/>
              </w:rPr>
              <w:t>603708</w:t>
            </w:r>
          </w:p>
        </w:tc>
        <w:tc>
          <w:tcPr>
            <w:vAlign w:val="center"/>
          </w:tcPr>
          <w:p>
            <w:pPr>
              <w:jc w:val="center"/>
            </w:pPr>
            <w:r>
              <w:rPr>
                <w:color w:val="000000"/>
                <w:sz w:val="24"/>
                <w:szCs w:val="24"/>
              </w:rPr>
              <w:t>家家悦</w:t>
            </w:r>
          </w:p>
        </w:tc>
        <w:tc>
          <w:tcPr>
            <w:vAlign w:val="center"/>
          </w:tcPr>
          <w:p>
            <w:pPr>
              <w:jc w:val="right"/>
            </w:pPr>
            <w:r>
              <w:rPr>
                <w:color w:val="000000"/>
                <w:sz w:val="24"/>
                <w:szCs w:val="24"/>
              </w:rPr>
              <w:t>661,690</w:t>
            </w:r>
          </w:p>
        </w:tc>
        <w:tc>
          <w:tcPr>
            <w:vAlign w:val="center"/>
          </w:tcPr>
          <w:p>
            <w:pPr>
              <w:jc w:val="right"/>
            </w:pPr>
            <w:r>
              <w:rPr>
                <w:color w:val="000000"/>
                <w:sz w:val="24"/>
                <w:szCs w:val="24"/>
              </w:rPr>
              <w:t>16,297,424.70</w:t>
            </w:r>
          </w:p>
        </w:tc>
        <w:tc>
          <w:tcPr>
            <w:vAlign w:val="center"/>
          </w:tcPr>
          <w:p>
            <w:pPr>
              <w:jc w:val="right"/>
            </w:pPr>
            <w:r>
              <w:rPr>
                <w:color w:val="000000"/>
                <w:sz w:val="24"/>
                <w:szCs w:val="24"/>
              </w:rPr>
              <w:t>2.89</w:t>
            </w:r>
          </w:p>
        </w:tc>
      </w:tr>
      <w:tr>
        <w:tc>
          <w:tcPr>
            <w:vAlign w:val="center"/>
          </w:tcPr>
          <w:p>
            <w:pPr>
              <w:jc w:val="center"/>
            </w:pPr>
            <w:r>
              <w:rPr>
                <w:color w:val="000000"/>
                <w:sz w:val="24"/>
                <w:szCs w:val="24"/>
              </w:rPr>
              <w:t>8</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156,211</w:t>
            </w:r>
          </w:p>
        </w:tc>
        <w:tc>
          <w:tcPr>
            <w:vAlign w:val="center"/>
          </w:tcPr>
          <w:p>
            <w:pPr>
              <w:jc w:val="right"/>
            </w:pPr>
            <w:r>
              <w:rPr>
                <w:color w:val="000000"/>
                <w:sz w:val="24"/>
                <w:szCs w:val="24"/>
              </w:rPr>
              <w:t>16,214,701.80</w:t>
            </w:r>
          </w:p>
        </w:tc>
        <w:tc>
          <w:tcPr>
            <w:vAlign w:val="center"/>
          </w:tcPr>
          <w:p>
            <w:pPr>
              <w:jc w:val="right"/>
            </w:pPr>
            <w:r>
              <w:rPr>
                <w:color w:val="000000"/>
                <w:sz w:val="24"/>
                <w:szCs w:val="24"/>
              </w:rPr>
              <w:t>2.88</w:t>
            </w:r>
          </w:p>
        </w:tc>
      </w:tr>
      <w:tr>
        <w:tc>
          <w:tcPr>
            <w:vAlign w:val="center"/>
          </w:tcPr>
          <w:p>
            <w:pPr>
              <w:jc w:val="center"/>
            </w:pPr>
            <w:r>
              <w:rPr>
                <w:color w:val="000000"/>
                <w:sz w:val="24"/>
                <w:szCs w:val="24"/>
              </w:rPr>
              <w:t>9</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500,000</w:t>
            </w:r>
          </w:p>
        </w:tc>
        <w:tc>
          <w:tcPr>
            <w:vAlign w:val="center"/>
          </w:tcPr>
          <w:p>
            <w:pPr>
              <w:jc w:val="right"/>
            </w:pPr>
            <w:r>
              <w:rPr>
                <w:color w:val="000000"/>
                <w:sz w:val="24"/>
                <w:szCs w:val="24"/>
              </w:rPr>
              <w:t>12,390,000.00</w:t>
            </w:r>
          </w:p>
        </w:tc>
        <w:tc>
          <w:tcPr>
            <w:vAlign w:val="center"/>
          </w:tcPr>
          <w:p>
            <w:pPr>
              <w:jc w:val="right"/>
            </w:pPr>
            <w:r>
              <w:rPr>
                <w:color w:val="000000"/>
                <w:sz w:val="24"/>
                <w:szCs w:val="24"/>
              </w:rPr>
              <w:t>2.20</w:t>
            </w:r>
          </w:p>
        </w:tc>
      </w:tr>
      <w:tr>
        <w:tc>
          <w:tcPr>
            <w:vAlign w:val="center"/>
          </w:tcPr>
          <w:p>
            <w:pPr>
              <w:jc w:val="center"/>
            </w:pPr>
            <w:r>
              <w:rPr>
                <w:color w:val="000000"/>
                <w:sz w:val="24"/>
                <w:szCs w:val="24"/>
              </w:rPr>
              <w:t>10</w:t>
            </w:r>
          </w:p>
        </w:tc>
        <w:tc>
          <w:tcPr>
            <w:vAlign w:val="center"/>
          </w:tcPr>
          <w:p>
            <w:pPr>
              <w:jc w:val="center"/>
            </w:pPr>
            <w:r>
              <w:rPr>
                <w:color w:val="000000"/>
                <w:sz w:val="24"/>
                <w:szCs w:val="24"/>
              </w:rPr>
              <w:t>603871</w:t>
            </w:r>
          </w:p>
        </w:tc>
        <w:tc>
          <w:tcPr>
            <w:vAlign w:val="center"/>
          </w:tcPr>
          <w:p>
            <w:pPr>
              <w:jc w:val="center"/>
            </w:pPr>
            <w:r>
              <w:rPr>
                <w:color w:val="000000"/>
                <w:sz w:val="24"/>
                <w:szCs w:val="24"/>
              </w:rPr>
              <w:t>嘉友国际</w:t>
            </w:r>
          </w:p>
        </w:tc>
        <w:tc>
          <w:tcPr>
            <w:vAlign w:val="center"/>
          </w:tcPr>
          <w:p>
            <w:pPr>
              <w:jc w:val="right"/>
            </w:pPr>
            <w:r>
              <w:rPr>
                <w:color w:val="000000"/>
                <w:sz w:val="24"/>
                <w:szCs w:val="24"/>
              </w:rPr>
              <w:t>219,780</w:t>
            </w:r>
          </w:p>
        </w:tc>
        <w:tc>
          <w:tcPr>
            <w:vAlign w:val="center"/>
          </w:tcPr>
          <w:p>
            <w:pPr>
              <w:jc w:val="right"/>
            </w:pPr>
            <w:r>
              <w:rPr>
                <w:color w:val="000000"/>
                <w:sz w:val="24"/>
                <w:szCs w:val="24"/>
              </w:rPr>
              <w:t>11,142,846.00</w:t>
            </w:r>
          </w:p>
        </w:tc>
        <w:tc>
          <w:tcPr>
            <w:vAlign w:val="center"/>
          </w:tcPr>
          <w:p>
            <w:pPr>
              <w:jc w:val="right"/>
            </w:pPr>
            <w:r>
              <w:rPr>
                <w:color w:val="000000"/>
                <w:sz w:val="24"/>
                <w:szCs w:val="24"/>
              </w:rPr>
              <w:t>1.98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12,637,398.28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12,637,398.28</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46,414</w:t>
            </w:r>
          </w:p>
        </w:tc>
        <w:tc>
          <w:tcPr>
            <w:vAlign w:val="center"/>
          </w:tcPr>
          <w:p>
            <w:pPr>
              <w:jc w:val="right"/>
            </w:pPr>
            <w:r>
              <w:rPr>
                <w:color w:val="000000"/>
                <w:sz w:val="24"/>
                <w:szCs w:val="24"/>
              </w:rPr>
              <w:t>5,399,804.76</w:t>
            </w:r>
          </w:p>
        </w:tc>
        <w:tc>
          <w:tcPr>
            <w:vAlign w:val="center"/>
          </w:tcPr>
          <w:p>
            <w:pPr>
              <w:jc w:val="right"/>
            </w:pPr>
            <w:r>
              <w:rPr>
                <w:color w:val="000000"/>
                <w:sz w:val="24"/>
                <w:szCs w:val="24"/>
              </w:rPr>
              <w:t>0.96</w:t>
            </w:r>
          </w:p>
        </w:tc>
      </w:tr>
      <w:tr>
        <w:tc>
          <w:tcPr>
            <w:vAlign w:val="center"/>
          </w:tcPr>
          <w:p>
            <w:pPr>
              <w:jc w:val="center"/>
            </w:pPr>
            <w:r>
              <w:rPr>
                <w:color w:val="000000"/>
                <w:sz w:val="24"/>
                <w:szCs w:val="24"/>
              </w:rPr>
              <w:t>2</w:t>
            </w:r>
          </w:p>
        </w:tc>
        <w:tc>
          <w:tcPr>
            <w:vAlign w:val="center"/>
          </w:tcPr>
          <w:p>
            <w:pPr>
              <w:jc w:val="center"/>
            </w:pPr>
            <w:r>
              <w:rPr>
                <w:color w:val="000000"/>
                <w:sz w:val="24"/>
                <w:szCs w:val="24"/>
              </w:rPr>
              <w:t>128045</w:t>
            </w:r>
          </w:p>
        </w:tc>
        <w:tc>
          <w:tcPr>
            <w:vAlign w:val="center"/>
          </w:tcPr>
          <w:p>
            <w:pPr>
              <w:jc w:val="center"/>
            </w:pPr>
            <w:r>
              <w:rPr>
                <w:color w:val="000000"/>
                <w:sz w:val="24"/>
                <w:szCs w:val="24"/>
              </w:rPr>
              <w:t>机电转债</w:t>
            </w:r>
          </w:p>
        </w:tc>
        <w:tc>
          <w:tcPr>
            <w:vAlign w:val="center"/>
          </w:tcPr>
          <w:p>
            <w:pPr>
              <w:jc w:val="right"/>
            </w:pPr>
            <w:r>
              <w:rPr>
                <w:color w:val="000000"/>
                <w:sz w:val="24"/>
                <w:szCs w:val="24"/>
              </w:rPr>
              <w:t>19,991</w:t>
            </w:r>
          </w:p>
        </w:tc>
        <w:tc>
          <w:tcPr>
            <w:vAlign w:val="center"/>
          </w:tcPr>
          <w:p>
            <w:pPr>
              <w:jc w:val="right"/>
            </w:pPr>
            <w:r>
              <w:rPr>
                <w:color w:val="000000"/>
                <w:sz w:val="24"/>
                <w:szCs w:val="24"/>
              </w:rPr>
              <w:t>2,347,343.22</w:t>
            </w:r>
          </w:p>
        </w:tc>
        <w:tc>
          <w:tcPr>
            <w:vAlign w:val="center"/>
          </w:tcPr>
          <w:p>
            <w:pPr>
              <w:jc w:val="right"/>
            </w:pPr>
            <w:r>
              <w:rPr>
                <w:color w:val="000000"/>
                <w:sz w:val="24"/>
                <w:szCs w:val="24"/>
              </w:rPr>
              <w:t>0.42</w:t>
            </w:r>
          </w:p>
        </w:tc>
      </w:tr>
      <w:tr>
        <w:tc>
          <w:tcPr>
            <w:vAlign w:val="center"/>
          </w:tcPr>
          <w:p>
            <w:pPr>
              <w:jc w:val="center"/>
            </w:pPr>
            <w:r>
              <w:rPr>
                <w:color w:val="000000"/>
                <w:sz w:val="24"/>
                <w:szCs w:val="24"/>
              </w:rPr>
              <w:t>3</w:t>
            </w:r>
          </w:p>
        </w:tc>
        <w:tc>
          <w:tcPr>
            <w:vAlign w:val="center"/>
          </w:tcPr>
          <w:p>
            <w:pPr>
              <w:jc w:val="center"/>
            </w:pPr>
            <w:r>
              <w:rPr>
                <w:color w:val="000000"/>
                <w:sz w:val="24"/>
                <w:szCs w:val="24"/>
              </w:rPr>
              <w:t>113525</w:t>
            </w:r>
          </w:p>
        </w:tc>
        <w:tc>
          <w:tcPr>
            <w:vAlign w:val="center"/>
          </w:tcPr>
          <w:p>
            <w:pPr>
              <w:jc w:val="center"/>
            </w:pPr>
            <w:r>
              <w:rPr>
                <w:color w:val="000000"/>
                <w:sz w:val="24"/>
                <w:szCs w:val="24"/>
              </w:rPr>
              <w:t>台华转债</w:t>
            </w:r>
          </w:p>
        </w:tc>
        <w:tc>
          <w:tcPr>
            <w:vAlign w:val="center"/>
          </w:tcPr>
          <w:p>
            <w:pPr>
              <w:jc w:val="right"/>
            </w:pPr>
            <w:r>
              <w:rPr>
                <w:color w:val="000000"/>
                <w:sz w:val="24"/>
                <w:szCs w:val="24"/>
              </w:rPr>
              <w:t>20,000</w:t>
            </w:r>
          </w:p>
        </w:tc>
        <w:tc>
          <w:tcPr>
            <w:vAlign w:val="center"/>
          </w:tcPr>
          <w:p>
            <w:pPr>
              <w:jc w:val="right"/>
            </w:pPr>
            <w:r>
              <w:rPr>
                <w:color w:val="000000"/>
                <w:sz w:val="24"/>
                <w:szCs w:val="24"/>
              </w:rPr>
              <w:t>2,294,200.00</w:t>
            </w:r>
          </w:p>
        </w:tc>
        <w:tc>
          <w:tcPr>
            <w:vAlign w:val="center"/>
          </w:tcPr>
          <w:p>
            <w:pPr>
              <w:jc w:val="right"/>
            </w:pPr>
            <w:r>
              <w:rPr>
                <w:color w:val="000000"/>
                <w:sz w:val="24"/>
                <w:szCs w:val="24"/>
              </w:rPr>
              <w:t>0.41</w:t>
            </w:r>
          </w:p>
        </w:tc>
      </w:tr>
      <w:tr>
        <w:tc>
          <w:tcPr>
            <w:vAlign w:val="center"/>
          </w:tcPr>
          <w:p>
            <w:pPr>
              <w:jc w:val="center"/>
            </w:pPr>
            <w:r>
              <w:rPr>
                <w:color w:val="000000"/>
                <w:sz w:val="24"/>
                <w:szCs w:val="24"/>
              </w:rPr>
              <w:t>4</w:t>
            </w:r>
          </w:p>
        </w:tc>
        <w:tc>
          <w:tcPr>
            <w:vAlign w:val="center"/>
          </w:tcPr>
          <w:p>
            <w:pPr>
              <w:jc w:val="center"/>
            </w:pPr>
            <w:r>
              <w:rPr>
                <w:color w:val="000000"/>
                <w:sz w:val="24"/>
                <w:szCs w:val="24"/>
              </w:rPr>
              <w:t>113515</w:t>
            </w:r>
          </w:p>
        </w:tc>
        <w:tc>
          <w:tcPr>
            <w:vAlign w:val="center"/>
          </w:tcPr>
          <w:p>
            <w:pPr>
              <w:jc w:val="center"/>
            </w:pPr>
            <w:r>
              <w:rPr>
                <w:color w:val="000000"/>
                <w:sz w:val="24"/>
                <w:szCs w:val="24"/>
              </w:rPr>
              <w:t>高能转债</w:t>
            </w:r>
          </w:p>
        </w:tc>
        <w:tc>
          <w:tcPr>
            <w:vAlign w:val="center"/>
          </w:tcPr>
          <w:p>
            <w:pPr>
              <w:jc w:val="right"/>
            </w:pPr>
            <w:r>
              <w:rPr>
                <w:color w:val="000000"/>
                <w:sz w:val="24"/>
                <w:szCs w:val="24"/>
              </w:rPr>
              <w:t>20,000</w:t>
            </w:r>
          </w:p>
        </w:tc>
        <w:tc>
          <w:tcPr>
            <w:vAlign w:val="center"/>
          </w:tcPr>
          <w:p>
            <w:pPr>
              <w:jc w:val="right"/>
            </w:pPr>
            <w:r>
              <w:rPr>
                <w:color w:val="000000"/>
                <w:sz w:val="24"/>
                <w:szCs w:val="24"/>
              </w:rPr>
              <w:t>2,269,200.00</w:t>
            </w:r>
          </w:p>
        </w:tc>
        <w:tc>
          <w:tcPr>
            <w:vAlign w:val="center"/>
          </w:tcPr>
          <w:p>
            <w:pPr>
              <w:jc w:val="right"/>
            </w:pPr>
            <w:r>
              <w:rPr>
                <w:color w:val="000000"/>
                <w:sz w:val="24"/>
                <w:szCs w:val="24"/>
              </w:rPr>
              <w:t>0.40</w:t>
            </w:r>
          </w:p>
        </w:tc>
      </w:tr>
      <w:tr>
        <w:tc>
          <w:tcPr>
            <w:vAlign w:val="center"/>
          </w:tcPr>
          <w:p>
            <w:pPr>
              <w:jc w:val="center"/>
            </w:pPr>
            <w:r>
              <w:rPr>
                <w:color w:val="000000"/>
                <w:sz w:val="24"/>
                <w:szCs w:val="24"/>
              </w:rPr>
              <w:t>5</w:t>
            </w:r>
          </w:p>
        </w:tc>
        <w:tc>
          <w:tcPr>
            <w:vAlign w:val="center"/>
          </w:tcPr>
          <w:p>
            <w:pPr>
              <w:jc w:val="center"/>
            </w:pPr>
            <w:r>
              <w:rPr>
                <w:color w:val="000000"/>
                <w:sz w:val="24"/>
                <w:szCs w:val="24"/>
              </w:rPr>
              <w:t>113517</w:t>
            </w:r>
          </w:p>
        </w:tc>
        <w:tc>
          <w:tcPr>
            <w:vAlign w:val="center"/>
          </w:tcPr>
          <w:p>
            <w:pPr>
              <w:jc w:val="center"/>
            </w:pPr>
            <w:r>
              <w:rPr>
                <w:color w:val="000000"/>
                <w:sz w:val="24"/>
                <w:szCs w:val="24"/>
              </w:rPr>
              <w:t>曙光转债</w:t>
            </w:r>
          </w:p>
        </w:tc>
        <w:tc>
          <w:tcPr>
            <w:vAlign w:val="center"/>
          </w:tcPr>
          <w:p>
            <w:pPr>
              <w:jc w:val="right"/>
            </w:pPr>
            <w:r>
              <w:rPr>
                <w:color w:val="000000"/>
                <w:sz w:val="24"/>
                <w:szCs w:val="24"/>
              </w:rPr>
              <w:t>2,610</w:t>
            </w:r>
          </w:p>
        </w:tc>
        <w:tc>
          <w:tcPr>
            <w:vAlign w:val="center"/>
          </w:tcPr>
          <w:p>
            <w:pPr>
              <w:jc w:val="right"/>
            </w:pPr>
            <w:r>
              <w:rPr>
                <w:color w:val="000000"/>
                <w:sz w:val="24"/>
                <w:szCs w:val="24"/>
              </w:rPr>
              <w:t>326,850.30</w:t>
            </w:r>
          </w:p>
        </w:tc>
        <w:tc>
          <w:tcPr>
            <w:vAlign w:val="center"/>
          </w:tcPr>
          <w:p>
            <w:pPr>
              <w:jc w:val="right"/>
            </w:pPr>
            <w:r>
              <w:rPr>
                <w:color w:val="000000"/>
                <w:sz w:val="24"/>
                <w:szCs w:val="24"/>
              </w:rPr>
              <w:t>0.06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392,413.45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57,653.00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824,182.92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1,274,249.37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5,399,804.76</w:t>
            </w:r>
          </w:p>
        </w:tc>
        <w:tc>
          <w:tcPr>
            <w:vAlign w:val="center"/>
          </w:tcPr>
          <w:p>
            <w:pPr>
              <w:jc w:val="right"/>
            </w:pPr>
            <w:r>
              <w:rPr>
                <w:color w:val="000000"/>
                <w:sz w:val="24"/>
                <w:szCs w:val="24"/>
              </w:rPr>
              <w:t>0.96</w:t>
            </w:r>
          </w:p>
        </w:tc>
      </w:tr>
      <w:tr>
        <w:tc>
          <w:tcPr>
            <w:vAlign w:val="center"/>
          </w:tcPr>
          <w:p>
            <w:pPr>
              <w:jc w:val="center"/>
            </w:pPr>
            <w:r>
              <w:rPr>
                <w:color w:val="000000"/>
                <w:sz w:val="24"/>
                <w:szCs w:val="24"/>
              </w:rPr>
              <w:t>2</w:t>
            </w:r>
          </w:p>
        </w:tc>
        <w:tc>
          <w:tcPr>
            <w:vAlign w:val="center"/>
          </w:tcPr>
          <w:p>
            <w:pPr>
              <w:jc w:val="center"/>
            </w:pPr>
            <w:r>
              <w:rPr>
                <w:color w:val="000000"/>
                <w:sz w:val="24"/>
                <w:szCs w:val="24"/>
              </w:rPr>
              <w:t>128045</w:t>
            </w:r>
          </w:p>
        </w:tc>
        <w:tc>
          <w:tcPr>
            <w:vAlign w:val="center"/>
          </w:tcPr>
          <w:p>
            <w:pPr>
              <w:jc w:val="center"/>
            </w:pPr>
            <w:r>
              <w:rPr>
                <w:color w:val="000000"/>
                <w:sz w:val="24"/>
                <w:szCs w:val="24"/>
              </w:rPr>
              <w:t>机电转债</w:t>
            </w:r>
          </w:p>
        </w:tc>
        <w:tc>
          <w:tcPr>
            <w:vAlign w:val="center"/>
          </w:tcPr>
          <w:p>
            <w:pPr>
              <w:jc w:val="right"/>
            </w:pPr>
            <w:r>
              <w:rPr>
                <w:color w:val="000000"/>
                <w:sz w:val="24"/>
                <w:szCs w:val="24"/>
              </w:rPr>
              <w:t>2,347,343.22</w:t>
            </w:r>
          </w:p>
        </w:tc>
        <w:tc>
          <w:tcPr>
            <w:vAlign w:val="center"/>
          </w:tcPr>
          <w:p>
            <w:pPr>
              <w:jc w:val="right"/>
            </w:pPr>
            <w:r>
              <w:rPr>
                <w:color w:val="000000"/>
                <w:sz w:val="24"/>
                <w:szCs w:val="24"/>
              </w:rPr>
              <w:t>0.42</w:t>
            </w:r>
          </w:p>
        </w:tc>
      </w:tr>
      <w:tr>
        <w:tc>
          <w:tcPr>
            <w:vAlign w:val="center"/>
          </w:tcPr>
          <w:p>
            <w:pPr>
              <w:jc w:val="center"/>
            </w:pPr>
            <w:r>
              <w:rPr>
                <w:color w:val="000000"/>
                <w:sz w:val="24"/>
                <w:szCs w:val="24"/>
              </w:rPr>
              <w:t>3</w:t>
            </w:r>
          </w:p>
        </w:tc>
        <w:tc>
          <w:tcPr>
            <w:vAlign w:val="center"/>
          </w:tcPr>
          <w:p>
            <w:pPr>
              <w:jc w:val="center"/>
            </w:pPr>
            <w:r>
              <w:rPr>
                <w:color w:val="000000"/>
                <w:sz w:val="24"/>
                <w:szCs w:val="24"/>
              </w:rPr>
              <w:t>113515</w:t>
            </w:r>
          </w:p>
        </w:tc>
        <w:tc>
          <w:tcPr>
            <w:vAlign w:val="center"/>
          </w:tcPr>
          <w:p>
            <w:pPr>
              <w:jc w:val="center"/>
            </w:pPr>
            <w:r>
              <w:rPr>
                <w:color w:val="000000"/>
                <w:sz w:val="24"/>
                <w:szCs w:val="24"/>
              </w:rPr>
              <w:t>高能转债</w:t>
            </w:r>
          </w:p>
        </w:tc>
        <w:tc>
          <w:tcPr>
            <w:vAlign w:val="center"/>
          </w:tcPr>
          <w:p>
            <w:pPr>
              <w:jc w:val="right"/>
            </w:pPr>
            <w:r>
              <w:rPr>
                <w:color w:val="000000"/>
                <w:sz w:val="24"/>
                <w:szCs w:val="24"/>
              </w:rPr>
              <w:t>2,269,200.00</w:t>
            </w:r>
          </w:p>
        </w:tc>
        <w:tc>
          <w:tcPr>
            <w:vAlign w:val="center"/>
          </w:tcPr>
          <w:p>
            <w:pPr>
              <w:jc w:val="right"/>
            </w:pPr>
            <w:r>
              <w:rPr>
                <w:color w:val="000000"/>
                <w:sz w:val="24"/>
                <w:szCs w:val="24"/>
              </w:rPr>
              <w:t>0.40</w:t>
            </w:r>
          </w:p>
        </w:tc>
      </w:tr>
      <w:tr>
        <w:tc>
          <w:tcPr>
            <w:vAlign w:val="center"/>
          </w:tcPr>
          <w:p>
            <w:pPr>
              <w:jc w:val="center"/>
            </w:pPr>
            <w:r>
              <w:rPr>
                <w:color w:val="000000"/>
                <w:sz w:val="24"/>
                <w:szCs w:val="24"/>
              </w:rPr>
              <w:t>4</w:t>
            </w:r>
          </w:p>
        </w:tc>
        <w:tc>
          <w:tcPr>
            <w:vAlign w:val="center"/>
          </w:tcPr>
          <w:p>
            <w:pPr>
              <w:jc w:val="center"/>
            </w:pPr>
            <w:r>
              <w:rPr>
                <w:color w:val="000000"/>
                <w:sz w:val="24"/>
                <w:szCs w:val="24"/>
              </w:rPr>
              <w:t>113517</w:t>
            </w:r>
          </w:p>
        </w:tc>
        <w:tc>
          <w:tcPr>
            <w:vAlign w:val="center"/>
          </w:tcPr>
          <w:p>
            <w:pPr>
              <w:jc w:val="center"/>
            </w:pPr>
            <w:r>
              <w:rPr>
                <w:color w:val="000000"/>
                <w:sz w:val="24"/>
                <w:szCs w:val="24"/>
              </w:rPr>
              <w:t>曙光转债</w:t>
            </w:r>
          </w:p>
        </w:tc>
        <w:tc>
          <w:tcPr>
            <w:vAlign w:val="center"/>
          </w:tcPr>
          <w:p>
            <w:pPr>
              <w:jc w:val="right"/>
            </w:pPr>
            <w:r>
              <w:rPr>
                <w:color w:val="000000"/>
                <w:sz w:val="24"/>
                <w:szCs w:val="24"/>
              </w:rPr>
              <w:t>326,850.30</w:t>
            </w:r>
          </w:p>
        </w:tc>
        <w:tc>
          <w:tcPr>
            <w:vAlign w:val="center"/>
          </w:tcPr>
          <w:p>
            <w:pPr>
              <w:jc w:val="right"/>
            </w:pPr>
            <w:r>
              <w:rPr>
                <w:color w:val="000000"/>
                <w:sz w:val="24"/>
                <w:szCs w:val="24"/>
              </w:rPr>
              <w:t>0.06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456,759,358.17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37,572,444.52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41,572,964.51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452,758,838.18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交银施罗德主题优选灵活配置混合型证券投资基金2019年第1季度报告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