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交银施罗德持续成长主题混合型证券投资基金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307E3" w:rsidRDefault="008E50D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307E3" w:rsidRDefault="008E50D1">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307E3" w:rsidRDefault="008E50D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307E3" w:rsidRDefault="008E50D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307E3" w:rsidRDefault="008E50D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交银持续成长主题混合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005001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005001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12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1,719,702,155.80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w:t>
            </w:r>
            <w:r w:rsidRPr="00414345">
              <w:rPr>
                <w:color w:val="000000"/>
                <w:kern w:val="0"/>
                <w:sz w:val="24"/>
                <w:szCs w:val="24"/>
              </w:rPr>
              <w:lastRenderedPageBreak/>
              <w:t>评价，精选个股，力争实现基金资产的长期稳定增值。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E50D1" w:rsidRPr="00414345" w:rsidTr="008E50D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E50D1" w:rsidRPr="00414345" w:rsidTr="008E50D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135,047,645.67</w:t>
            </w:r>
          </w:p>
        </w:tc>
      </w:tr>
      <w:tr w:rsidR="008E50D1" w:rsidRPr="00414345" w:rsidTr="008E50D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485,392,775.86</w:t>
            </w:r>
          </w:p>
        </w:tc>
      </w:tr>
      <w:tr w:rsidR="008E50D1" w:rsidRPr="00414345" w:rsidTr="008E50D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0.2930</w:t>
            </w:r>
          </w:p>
        </w:tc>
      </w:tr>
      <w:tr w:rsidR="008E50D1" w:rsidRPr="00414345" w:rsidTr="008E50D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2,190,342,928.64</w:t>
            </w:r>
          </w:p>
        </w:tc>
      </w:tr>
      <w:tr w:rsidR="008E50D1" w:rsidRPr="00414345" w:rsidTr="008E50D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1.2737</w:t>
            </w:r>
          </w:p>
        </w:tc>
      </w:tr>
    </w:tbl>
    <w:p w:rsidR="003307E3" w:rsidRDefault="008E50D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3307E3" w:rsidRDefault="008E50D1">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307E3">
        <w:trPr>
          <w:jc w:val="center"/>
        </w:trPr>
        <w:tc>
          <w:tcPr>
            <w:tcW w:w="1701" w:type="dxa"/>
            <w:vAlign w:val="center"/>
          </w:tcPr>
          <w:p w:rsidR="003307E3" w:rsidRDefault="008E50D1">
            <w:pPr>
              <w:jc w:val="left"/>
            </w:pPr>
            <w:r>
              <w:rPr>
                <w:color w:val="000000"/>
                <w:sz w:val="24"/>
                <w:szCs w:val="24"/>
              </w:rPr>
              <w:t>过去三个月</w:t>
            </w:r>
          </w:p>
        </w:tc>
        <w:tc>
          <w:tcPr>
            <w:tcW w:w="1045" w:type="dxa"/>
            <w:vAlign w:val="center"/>
          </w:tcPr>
          <w:p w:rsidR="003307E3" w:rsidRDefault="008E50D1">
            <w:pPr>
              <w:jc w:val="center"/>
            </w:pPr>
            <w:r>
              <w:rPr>
                <w:color w:val="000000"/>
                <w:sz w:val="24"/>
                <w:szCs w:val="24"/>
              </w:rPr>
              <w:t>31.98%</w:t>
            </w:r>
          </w:p>
        </w:tc>
        <w:tc>
          <w:tcPr>
            <w:tcW w:w="1344" w:type="dxa"/>
            <w:vAlign w:val="center"/>
          </w:tcPr>
          <w:p w:rsidR="003307E3" w:rsidRDefault="008E50D1">
            <w:pPr>
              <w:jc w:val="center"/>
            </w:pPr>
            <w:r>
              <w:rPr>
                <w:color w:val="000000"/>
                <w:sz w:val="24"/>
                <w:szCs w:val="24"/>
              </w:rPr>
              <w:t>1.61%</w:t>
            </w:r>
          </w:p>
        </w:tc>
        <w:tc>
          <w:tcPr>
            <w:tcW w:w="1194" w:type="dxa"/>
            <w:vAlign w:val="center"/>
          </w:tcPr>
          <w:p w:rsidR="003307E3" w:rsidRDefault="008E50D1">
            <w:pPr>
              <w:jc w:val="center"/>
            </w:pPr>
            <w:r>
              <w:rPr>
                <w:color w:val="000000"/>
                <w:sz w:val="24"/>
                <w:szCs w:val="24"/>
              </w:rPr>
              <w:t>21.35%</w:t>
            </w:r>
          </w:p>
        </w:tc>
        <w:tc>
          <w:tcPr>
            <w:tcW w:w="1492" w:type="dxa"/>
            <w:vAlign w:val="center"/>
          </w:tcPr>
          <w:p w:rsidR="003307E3" w:rsidRDefault="008E50D1">
            <w:pPr>
              <w:jc w:val="center"/>
            </w:pPr>
            <w:r>
              <w:rPr>
                <w:color w:val="000000"/>
                <w:sz w:val="24"/>
                <w:szCs w:val="24"/>
              </w:rPr>
              <w:t>1.16%</w:t>
            </w:r>
          </w:p>
        </w:tc>
        <w:tc>
          <w:tcPr>
            <w:tcW w:w="1194" w:type="dxa"/>
            <w:vAlign w:val="center"/>
          </w:tcPr>
          <w:p w:rsidR="003307E3" w:rsidRDefault="008E50D1">
            <w:pPr>
              <w:jc w:val="center"/>
            </w:pPr>
            <w:r>
              <w:rPr>
                <w:color w:val="000000"/>
                <w:sz w:val="24"/>
                <w:szCs w:val="24"/>
              </w:rPr>
              <w:t>10.63%</w:t>
            </w:r>
          </w:p>
        </w:tc>
        <w:tc>
          <w:tcPr>
            <w:tcW w:w="898" w:type="dxa"/>
            <w:vAlign w:val="center"/>
          </w:tcPr>
          <w:p w:rsidR="003307E3" w:rsidRDefault="008E50D1">
            <w:pPr>
              <w:jc w:val="center"/>
            </w:pPr>
            <w:r>
              <w:rPr>
                <w:color w:val="000000"/>
                <w:sz w:val="24"/>
                <w:szCs w:val="24"/>
              </w:rPr>
              <w:t>0.45%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交银施罗德持续成长主题混合型证券投资基金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12</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307E3">
        <w:trPr>
          <w:jc w:val="center"/>
        </w:trPr>
        <w:tc>
          <w:tcPr>
            <w:tcW w:w="846" w:type="dxa"/>
            <w:vAlign w:val="center"/>
          </w:tcPr>
          <w:p w:rsidR="003307E3" w:rsidRDefault="008E50D1">
            <w:pPr>
              <w:jc w:val="center"/>
            </w:pPr>
            <w:r>
              <w:rPr>
                <w:color w:val="000000"/>
                <w:sz w:val="24"/>
                <w:szCs w:val="24"/>
              </w:rPr>
              <w:t>何帅</w:t>
            </w:r>
          </w:p>
        </w:tc>
        <w:tc>
          <w:tcPr>
            <w:tcW w:w="845" w:type="dxa"/>
            <w:vAlign w:val="center"/>
          </w:tcPr>
          <w:p w:rsidR="003307E3" w:rsidRDefault="008E50D1">
            <w:pPr>
              <w:jc w:val="center"/>
            </w:pPr>
            <w:r>
              <w:rPr>
                <w:color w:val="000000"/>
                <w:sz w:val="24"/>
                <w:szCs w:val="24"/>
              </w:rPr>
              <w:t>交银优势行业混合、交银阿尔法核心混合、交银持续成长主题混合的基金经理</w:t>
            </w:r>
          </w:p>
        </w:tc>
        <w:tc>
          <w:tcPr>
            <w:tcW w:w="1549" w:type="dxa"/>
            <w:vAlign w:val="center"/>
          </w:tcPr>
          <w:p w:rsidR="003307E3" w:rsidRDefault="008E50D1">
            <w:pPr>
              <w:jc w:val="center"/>
            </w:pPr>
            <w:r>
              <w:rPr>
                <w:color w:val="000000"/>
                <w:sz w:val="24"/>
                <w:szCs w:val="24"/>
              </w:rPr>
              <w:t>2018-01-12</w:t>
            </w:r>
          </w:p>
        </w:tc>
        <w:tc>
          <w:tcPr>
            <w:tcW w:w="1548" w:type="dxa"/>
            <w:vAlign w:val="center"/>
          </w:tcPr>
          <w:p w:rsidR="003307E3" w:rsidRDefault="008E50D1">
            <w:pPr>
              <w:jc w:val="center"/>
            </w:pPr>
            <w:r>
              <w:rPr>
                <w:color w:val="000000"/>
                <w:sz w:val="24"/>
                <w:szCs w:val="24"/>
              </w:rPr>
              <w:t>-</w:t>
            </w:r>
          </w:p>
        </w:tc>
        <w:tc>
          <w:tcPr>
            <w:tcW w:w="1407" w:type="dxa"/>
            <w:vAlign w:val="center"/>
          </w:tcPr>
          <w:p w:rsidR="003307E3" w:rsidRDefault="008E50D1">
            <w:pPr>
              <w:jc w:val="center"/>
            </w:pPr>
            <w:r>
              <w:rPr>
                <w:color w:val="000000"/>
                <w:sz w:val="24"/>
                <w:szCs w:val="24"/>
              </w:rPr>
              <w:t>9</w:t>
            </w:r>
            <w:r>
              <w:rPr>
                <w:color w:val="000000"/>
                <w:sz w:val="24"/>
                <w:szCs w:val="24"/>
              </w:rPr>
              <w:t>年</w:t>
            </w:r>
          </w:p>
        </w:tc>
        <w:tc>
          <w:tcPr>
            <w:tcW w:w="2673" w:type="dxa"/>
            <w:vAlign w:val="center"/>
          </w:tcPr>
          <w:p w:rsidR="003307E3" w:rsidRDefault="008E50D1">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307E3" w:rsidRDefault="008E50D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307E3" w:rsidRDefault="008E50D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307E3" w:rsidRDefault="008E50D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307E3" w:rsidRDefault="008E50D1">
      <w:pPr>
        <w:spacing w:before="29" w:line="288" w:lineRule="auto"/>
        <w:ind w:firstLineChars="200" w:firstLine="480"/>
        <w:rPr>
          <w:color w:val="000000"/>
          <w:sz w:val="24"/>
          <w:szCs w:val="24"/>
        </w:rPr>
      </w:pPr>
      <w:r>
        <w:rPr>
          <w:color w:val="000000"/>
          <w:sz w:val="24"/>
          <w:szCs w:val="24"/>
        </w:rPr>
        <w:t>2019</w:t>
      </w:r>
      <w:r>
        <w:rPr>
          <w:color w:val="000000"/>
          <w:sz w:val="24"/>
          <w:szCs w:val="24"/>
        </w:rPr>
        <w:t>年一季度</w:t>
      </w:r>
      <w:r>
        <w:rPr>
          <w:color w:val="000000"/>
          <w:sz w:val="24"/>
          <w:szCs w:val="24"/>
        </w:rPr>
        <w:t>A</w:t>
      </w:r>
      <w:r>
        <w:rPr>
          <w:color w:val="000000"/>
          <w:sz w:val="24"/>
          <w:szCs w:val="24"/>
        </w:rPr>
        <w:t>股市场回暖明显，上证指数上涨</w:t>
      </w:r>
      <w:r>
        <w:rPr>
          <w:color w:val="000000"/>
          <w:sz w:val="24"/>
          <w:szCs w:val="24"/>
        </w:rPr>
        <w:t>23.93%</w:t>
      </w:r>
      <w:r>
        <w:rPr>
          <w:color w:val="000000"/>
          <w:sz w:val="24"/>
          <w:szCs w:val="24"/>
        </w:rPr>
        <w:t>，创业板指数上涨</w:t>
      </w:r>
      <w:r>
        <w:rPr>
          <w:color w:val="000000"/>
          <w:sz w:val="24"/>
          <w:szCs w:val="24"/>
        </w:rPr>
        <w:t>35.43%</w:t>
      </w:r>
      <w:r>
        <w:rPr>
          <w:color w:val="000000"/>
          <w:sz w:val="24"/>
          <w:szCs w:val="24"/>
        </w:rPr>
        <w:t>。</w:t>
      </w:r>
    </w:p>
    <w:p w:rsidR="003307E3" w:rsidRDefault="008E50D1">
      <w:pPr>
        <w:spacing w:before="29" w:line="288" w:lineRule="auto"/>
        <w:ind w:firstLineChars="200" w:firstLine="480"/>
        <w:rPr>
          <w:color w:val="000000"/>
          <w:sz w:val="24"/>
          <w:szCs w:val="24"/>
        </w:rPr>
      </w:pPr>
      <w:r>
        <w:rPr>
          <w:color w:val="000000"/>
          <w:sz w:val="24"/>
          <w:szCs w:val="24"/>
        </w:rPr>
        <w:t>本基金在一季度略有超额收益，主要原因是前期布局的优质公司表现较好，虽然我们并不以短期股价反映公司基本面，但持仓中大部分公司在</w:t>
      </w:r>
      <w:r>
        <w:rPr>
          <w:color w:val="000000"/>
          <w:sz w:val="24"/>
          <w:szCs w:val="24"/>
        </w:rPr>
        <w:t>2018</w:t>
      </w:r>
      <w:r>
        <w:rPr>
          <w:color w:val="000000"/>
          <w:sz w:val="24"/>
          <w:szCs w:val="24"/>
        </w:rPr>
        <w:t>年获得了明显正收益后，今年一季度依然获得了不错的收益，表现良好。</w:t>
      </w:r>
    </w:p>
    <w:p w:rsidR="003307E3" w:rsidRDefault="008E50D1">
      <w:pPr>
        <w:spacing w:before="29" w:line="288" w:lineRule="auto"/>
        <w:ind w:firstLineChars="200" w:firstLine="480"/>
        <w:rPr>
          <w:color w:val="000000"/>
          <w:sz w:val="24"/>
          <w:szCs w:val="24"/>
        </w:rPr>
      </w:pPr>
      <w:r>
        <w:rPr>
          <w:color w:val="000000"/>
          <w:sz w:val="24"/>
          <w:szCs w:val="24"/>
        </w:rPr>
        <w:t>对于经济、利率及股票市场，我们目前持中性态度，经济增速预计仍有压力，与经济较为相关行业需求压力并未完全释放。股票市场从年初</w:t>
      </w:r>
      <w:r>
        <w:rPr>
          <w:color w:val="000000"/>
          <w:sz w:val="24"/>
          <w:szCs w:val="24"/>
        </w:rPr>
        <w:t>“</w:t>
      </w:r>
      <w:r>
        <w:rPr>
          <w:color w:val="000000"/>
          <w:sz w:val="24"/>
          <w:szCs w:val="24"/>
        </w:rPr>
        <w:t>很好的价格</w:t>
      </w:r>
      <w:r>
        <w:rPr>
          <w:color w:val="000000"/>
          <w:sz w:val="24"/>
          <w:szCs w:val="24"/>
        </w:rPr>
        <w:t>”</w:t>
      </w:r>
      <w:r>
        <w:rPr>
          <w:color w:val="000000"/>
          <w:sz w:val="24"/>
          <w:szCs w:val="24"/>
        </w:rPr>
        <w:t>，上涨到目前基本达到</w:t>
      </w:r>
      <w:r>
        <w:rPr>
          <w:color w:val="000000"/>
          <w:sz w:val="24"/>
          <w:szCs w:val="24"/>
        </w:rPr>
        <w:t>“</w:t>
      </w:r>
      <w:r>
        <w:rPr>
          <w:color w:val="000000"/>
          <w:sz w:val="24"/>
          <w:szCs w:val="24"/>
        </w:rPr>
        <w:t>合理的价格</w:t>
      </w:r>
      <w:r>
        <w:rPr>
          <w:color w:val="000000"/>
          <w:sz w:val="24"/>
          <w:szCs w:val="24"/>
        </w:rPr>
        <w:t>”</w:t>
      </w:r>
      <w:r>
        <w:rPr>
          <w:color w:val="000000"/>
          <w:sz w:val="24"/>
          <w:szCs w:val="24"/>
        </w:rPr>
        <w:t>，在此环境下我们预计以震荡走势为主。从中长期的角度，优秀的公司仍有较大的机会。只是目前，我们发现不少公司由于年初的上涨，基本实现今年的隐含回报率。</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我们希望通过深度研究，找到需求可持续增长的行业，竞争力可持续拓宽的公司，享受公司价值的可持续成长，并希望以此能够持续为持有人获得超额收益。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1,924,389,231.66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83.04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1,924,389,231.66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83.04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81,668,100.00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81,668,100.00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288,762,370.32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12.46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22,622,775.19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0.98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2,317,442,477.17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509,649,454.33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884,728,801.24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134,343.00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70,998,282.62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90,775,414.40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291,540,922.35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76,562,013.72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1,924,389,231.66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87.86</w:t>
            </w:r>
          </w:p>
        </w:tc>
      </w:tr>
    </w:tbl>
    <w:p w:rsidR="008E50D1" w:rsidRDefault="008E50D1"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307E3">
        <w:trPr>
          <w:jc w:val="center"/>
        </w:trPr>
        <w:tc>
          <w:tcPr>
            <w:tcW w:w="855" w:type="dxa"/>
            <w:vAlign w:val="center"/>
          </w:tcPr>
          <w:p w:rsidR="003307E3" w:rsidRDefault="008E50D1">
            <w:pPr>
              <w:jc w:val="center"/>
            </w:pPr>
            <w:r>
              <w:rPr>
                <w:color w:val="000000"/>
                <w:sz w:val="24"/>
                <w:szCs w:val="24"/>
              </w:rPr>
              <w:t>1</w:t>
            </w:r>
          </w:p>
        </w:tc>
        <w:tc>
          <w:tcPr>
            <w:tcW w:w="1334" w:type="dxa"/>
            <w:vAlign w:val="center"/>
          </w:tcPr>
          <w:p w:rsidR="003307E3" w:rsidRDefault="008E50D1">
            <w:pPr>
              <w:jc w:val="center"/>
            </w:pPr>
            <w:r>
              <w:rPr>
                <w:color w:val="000000"/>
                <w:sz w:val="24"/>
                <w:szCs w:val="24"/>
              </w:rPr>
              <w:t>300188</w:t>
            </w:r>
          </w:p>
        </w:tc>
        <w:tc>
          <w:tcPr>
            <w:tcW w:w="1777" w:type="dxa"/>
            <w:vAlign w:val="center"/>
          </w:tcPr>
          <w:p w:rsidR="003307E3" w:rsidRDefault="008E50D1">
            <w:pPr>
              <w:jc w:val="center"/>
            </w:pPr>
            <w:r>
              <w:rPr>
                <w:color w:val="000000"/>
                <w:sz w:val="24"/>
                <w:szCs w:val="24"/>
              </w:rPr>
              <w:t>美亚柏科</w:t>
            </w:r>
          </w:p>
        </w:tc>
        <w:tc>
          <w:tcPr>
            <w:tcW w:w="1334" w:type="dxa"/>
            <w:vAlign w:val="center"/>
          </w:tcPr>
          <w:p w:rsidR="003307E3" w:rsidRDefault="008E50D1">
            <w:pPr>
              <w:jc w:val="right"/>
            </w:pPr>
            <w:r>
              <w:rPr>
                <w:color w:val="000000"/>
                <w:sz w:val="24"/>
                <w:szCs w:val="24"/>
              </w:rPr>
              <w:t>10,451,781</w:t>
            </w:r>
          </w:p>
        </w:tc>
        <w:tc>
          <w:tcPr>
            <w:tcW w:w="1924" w:type="dxa"/>
            <w:vAlign w:val="center"/>
          </w:tcPr>
          <w:p w:rsidR="003307E3" w:rsidRDefault="008E50D1">
            <w:pPr>
              <w:jc w:val="right"/>
            </w:pPr>
            <w:r>
              <w:rPr>
                <w:color w:val="000000"/>
                <w:sz w:val="24"/>
                <w:szCs w:val="24"/>
              </w:rPr>
              <w:t>179,875,151.01</w:t>
            </w:r>
          </w:p>
        </w:tc>
        <w:tc>
          <w:tcPr>
            <w:tcW w:w="1644" w:type="dxa"/>
            <w:vAlign w:val="center"/>
          </w:tcPr>
          <w:p w:rsidR="003307E3" w:rsidRDefault="008E50D1">
            <w:pPr>
              <w:jc w:val="right"/>
            </w:pPr>
            <w:r>
              <w:rPr>
                <w:color w:val="000000"/>
                <w:sz w:val="24"/>
                <w:szCs w:val="24"/>
              </w:rPr>
              <w:t>8.21</w:t>
            </w:r>
          </w:p>
        </w:tc>
      </w:tr>
      <w:tr w:rsidR="003307E3">
        <w:trPr>
          <w:jc w:val="center"/>
        </w:trPr>
        <w:tc>
          <w:tcPr>
            <w:tcW w:w="855" w:type="dxa"/>
            <w:vAlign w:val="center"/>
          </w:tcPr>
          <w:p w:rsidR="003307E3" w:rsidRDefault="008E50D1">
            <w:pPr>
              <w:jc w:val="center"/>
            </w:pPr>
            <w:r>
              <w:rPr>
                <w:color w:val="000000"/>
                <w:sz w:val="24"/>
                <w:szCs w:val="24"/>
              </w:rPr>
              <w:t>2</w:t>
            </w:r>
          </w:p>
        </w:tc>
        <w:tc>
          <w:tcPr>
            <w:tcW w:w="1334" w:type="dxa"/>
            <w:vAlign w:val="center"/>
          </w:tcPr>
          <w:p w:rsidR="003307E3" w:rsidRDefault="008E50D1">
            <w:pPr>
              <w:jc w:val="center"/>
            </w:pPr>
            <w:r>
              <w:rPr>
                <w:color w:val="000000"/>
                <w:sz w:val="24"/>
                <w:szCs w:val="24"/>
              </w:rPr>
              <w:t>002044</w:t>
            </w:r>
          </w:p>
        </w:tc>
        <w:tc>
          <w:tcPr>
            <w:tcW w:w="1777" w:type="dxa"/>
            <w:vAlign w:val="center"/>
          </w:tcPr>
          <w:p w:rsidR="003307E3" w:rsidRDefault="008E50D1">
            <w:pPr>
              <w:jc w:val="center"/>
            </w:pPr>
            <w:r>
              <w:rPr>
                <w:color w:val="000000"/>
                <w:sz w:val="24"/>
                <w:szCs w:val="24"/>
              </w:rPr>
              <w:t>美年健康</w:t>
            </w:r>
          </w:p>
        </w:tc>
        <w:tc>
          <w:tcPr>
            <w:tcW w:w="1334" w:type="dxa"/>
            <w:vAlign w:val="center"/>
          </w:tcPr>
          <w:p w:rsidR="003307E3" w:rsidRDefault="008E50D1">
            <w:pPr>
              <w:jc w:val="right"/>
            </w:pPr>
            <w:r>
              <w:rPr>
                <w:color w:val="000000"/>
                <w:sz w:val="24"/>
                <w:szCs w:val="24"/>
              </w:rPr>
              <w:t>9,388,865</w:t>
            </w:r>
          </w:p>
        </w:tc>
        <w:tc>
          <w:tcPr>
            <w:tcW w:w="1924" w:type="dxa"/>
            <w:vAlign w:val="center"/>
          </w:tcPr>
          <w:p w:rsidR="003307E3" w:rsidRDefault="008E50D1">
            <w:pPr>
              <w:jc w:val="right"/>
            </w:pPr>
            <w:r>
              <w:rPr>
                <w:color w:val="000000"/>
                <w:sz w:val="24"/>
                <w:szCs w:val="24"/>
              </w:rPr>
              <w:t>174,539,000.35</w:t>
            </w:r>
          </w:p>
        </w:tc>
        <w:tc>
          <w:tcPr>
            <w:tcW w:w="1644" w:type="dxa"/>
            <w:vAlign w:val="center"/>
          </w:tcPr>
          <w:p w:rsidR="003307E3" w:rsidRDefault="008E50D1">
            <w:pPr>
              <w:jc w:val="right"/>
            </w:pPr>
            <w:r>
              <w:rPr>
                <w:color w:val="000000"/>
                <w:sz w:val="24"/>
                <w:szCs w:val="24"/>
              </w:rPr>
              <w:t>7.97</w:t>
            </w:r>
          </w:p>
        </w:tc>
      </w:tr>
      <w:tr w:rsidR="003307E3">
        <w:trPr>
          <w:jc w:val="center"/>
        </w:trPr>
        <w:tc>
          <w:tcPr>
            <w:tcW w:w="855" w:type="dxa"/>
            <w:vAlign w:val="center"/>
          </w:tcPr>
          <w:p w:rsidR="003307E3" w:rsidRDefault="008E50D1">
            <w:pPr>
              <w:jc w:val="center"/>
            </w:pPr>
            <w:r>
              <w:rPr>
                <w:color w:val="000000"/>
                <w:sz w:val="24"/>
                <w:szCs w:val="24"/>
              </w:rPr>
              <w:t>3</w:t>
            </w:r>
          </w:p>
        </w:tc>
        <w:tc>
          <w:tcPr>
            <w:tcW w:w="1334" w:type="dxa"/>
            <w:vAlign w:val="center"/>
          </w:tcPr>
          <w:p w:rsidR="003307E3" w:rsidRDefault="008E50D1">
            <w:pPr>
              <w:jc w:val="center"/>
            </w:pPr>
            <w:r>
              <w:rPr>
                <w:color w:val="000000"/>
                <w:sz w:val="24"/>
                <w:szCs w:val="24"/>
              </w:rPr>
              <w:t>300365</w:t>
            </w:r>
          </w:p>
        </w:tc>
        <w:tc>
          <w:tcPr>
            <w:tcW w:w="1777" w:type="dxa"/>
            <w:vAlign w:val="center"/>
          </w:tcPr>
          <w:p w:rsidR="003307E3" w:rsidRDefault="008E50D1">
            <w:pPr>
              <w:jc w:val="center"/>
            </w:pPr>
            <w:r>
              <w:rPr>
                <w:color w:val="000000"/>
                <w:sz w:val="24"/>
                <w:szCs w:val="24"/>
              </w:rPr>
              <w:t>恒华科技</w:t>
            </w:r>
          </w:p>
        </w:tc>
        <w:tc>
          <w:tcPr>
            <w:tcW w:w="1334" w:type="dxa"/>
            <w:vAlign w:val="center"/>
          </w:tcPr>
          <w:p w:rsidR="003307E3" w:rsidRDefault="008E50D1">
            <w:pPr>
              <w:jc w:val="right"/>
            </w:pPr>
            <w:r>
              <w:rPr>
                <w:color w:val="000000"/>
                <w:sz w:val="24"/>
                <w:szCs w:val="24"/>
              </w:rPr>
              <w:t>5,009,988</w:t>
            </w:r>
          </w:p>
        </w:tc>
        <w:tc>
          <w:tcPr>
            <w:tcW w:w="1924" w:type="dxa"/>
            <w:vAlign w:val="center"/>
          </w:tcPr>
          <w:p w:rsidR="003307E3" w:rsidRDefault="008E50D1">
            <w:pPr>
              <w:jc w:val="right"/>
            </w:pPr>
            <w:r>
              <w:rPr>
                <w:color w:val="000000"/>
                <w:sz w:val="24"/>
                <w:szCs w:val="24"/>
              </w:rPr>
              <w:t>128,806,791.48</w:t>
            </w:r>
          </w:p>
        </w:tc>
        <w:tc>
          <w:tcPr>
            <w:tcW w:w="1644" w:type="dxa"/>
            <w:vAlign w:val="center"/>
          </w:tcPr>
          <w:p w:rsidR="003307E3" w:rsidRDefault="008E50D1">
            <w:pPr>
              <w:jc w:val="right"/>
            </w:pPr>
            <w:r>
              <w:rPr>
                <w:color w:val="000000"/>
                <w:sz w:val="24"/>
                <w:szCs w:val="24"/>
              </w:rPr>
              <w:t>5.88</w:t>
            </w:r>
          </w:p>
        </w:tc>
      </w:tr>
      <w:tr w:rsidR="003307E3">
        <w:trPr>
          <w:jc w:val="center"/>
        </w:trPr>
        <w:tc>
          <w:tcPr>
            <w:tcW w:w="855" w:type="dxa"/>
            <w:vAlign w:val="center"/>
          </w:tcPr>
          <w:p w:rsidR="003307E3" w:rsidRDefault="008E50D1">
            <w:pPr>
              <w:jc w:val="center"/>
            </w:pPr>
            <w:r>
              <w:rPr>
                <w:color w:val="000000"/>
                <w:sz w:val="24"/>
                <w:szCs w:val="24"/>
              </w:rPr>
              <w:t>4</w:t>
            </w:r>
          </w:p>
        </w:tc>
        <w:tc>
          <w:tcPr>
            <w:tcW w:w="1334" w:type="dxa"/>
            <w:vAlign w:val="center"/>
          </w:tcPr>
          <w:p w:rsidR="003307E3" w:rsidRDefault="008E50D1">
            <w:pPr>
              <w:jc w:val="center"/>
            </w:pPr>
            <w:r>
              <w:rPr>
                <w:color w:val="000000"/>
                <w:sz w:val="24"/>
                <w:szCs w:val="24"/>
              </w:rPr>
              <w:t>300078</w:t>
            </w:r>
          </w:p>
        </w:tc>
        <w:tc>
          <w:tcPr>
            <w:tcW w:w="1777" w:type="dxa"/>
            <w:vAlign w:val="center"/>
          </w:tcPr>
          <w:p w:rsidR="003307E3" w:rsidRDefault="008E50D1">
            <w:pPr>
              <w:jc w:val="center"/>
            </w:pPr>
            <w:r>
              <w:rPr>
                <w:color w:val="000000"/>
                <w:sz w:val="24"/>
                <w:szCs w:val="24"/>
              </w:rPr>
              <w:t>思创医惠</w:t>
            </w:r>
          </w:p>
        </w:tc>
        <w:tc>
          <w:tcPr>
            <w:tcW w:w="1334" w:type="dxa"/>
            <w:vAlign w:val="center"/>
          </w:tcPr>
          <w:p w:rsidR="003307E3" w:rsidRDefault="008E50D1">
            <w:pPr>
              <w:jc w:val="right"/>
            </w:pPr>
            <w:r>
              <w:rPr>
                <w:color w:val="000000"/>
                <w:sz w:val="24"/>
                <w:szCs w:val="24"/>
              </w:rPr>
              <w:t>9,718,212</w:t>
            </w:r>
          </w:p>
        </w:tc>
        <w:tc>
          <w:tcPr>
            <w:tcW w:w="1924" w:type="dxa"/>
            <w:vAlign w:val="center"/>
          </w:tcPr>
          <w:p w:rsidR="003307E3" w:rsidRDefault="008E50D1">
            <w:pPr>
              <w:jc w:val="right"/>
            </w:pPr>
            <w:r>
              <w:rPr>
                <w:color w:val="000000"/>
                <w:sz w:val="24"/>
                <w:szCs w:val="24"/>
              </w:rPr>
              <w:t>105,734,146.56</w:t>
            </w:r>
          </w:p>
        </w:tc>
        <w:tc>
          <w:tcPr>
            <w:tcW w:w="1644" w:type="dxa"/>
            <w:vAlign w:val="center"/>
          </w:tcPr>
          <w:p w:rsidR="003307E3" w:rsidRDefault="008E50D1">
            <w:pPr>
              <w:jc w:val="right"/>
            </w:pPr>
            <w:r>
              <w:rPr>
                <w:color w:val="000000"/>
                <w:sz w:val="24"/>
                <w:szCs w:val="24"/>
              </w:rPr>
              <w:t>4.83</w:t>
            </w:r>
          </w:p>
        </w:tc>
      </w:tr>
      <w:tr w:rsidR="003307E3">
        <w:trPr>
          <w:jc w:val="center"/>
        </w:trPr>
        <w:tc>
          <w:tcPr>
            <w:tcW w:w="855" w:type="dxa"/>
            <w:vAlign w:val="center"/>
          </w:tcPr>
          <w:p w:rsidR="003307E3" w:rsidRDefault="008E50D1">
            <w:pPr>
              <w:jc w:val="center"/>
            </w:pPr>
            <w:r>
              <w:rPr>
                <w:color w:val="000000"/>
                <w:sz w:val="24"/>
                <w:szCs w:val="24"/>
              </w:rPr>
              <w:t>5</w:t>
            </w:r>
          </w:p>
        </w:tc>
        <w:tc>
          <w:tcPr>
            <w:tcW w:w="1334" w:type="dxa"/>
            <w:vAlign w:val="center"/>
          </w:tcPr>
          <w:p w:rsidR="003307E3" w:rsidRDefault="008E50D1">
            <w:pPr>
              <w:jc w:val="center"/>
            </w:pPr>
            <w:r>
              <w:rPr>
                <w:color w:val="000000"/>
                <w:sz w:val="24"/>
                <w:szCs w:val="24"/>
              </w:rPr>
              <w:t>300012</w:t>
            </w:r>
          </w:p>
        </w:tc>
        <w:tc>
          <w:tcPr>
            <w:tcW w:w="1777" w:type="dxa"/>
            <w:vAlign w:val="center"/>
          </w:tcPr>
          <w:p w:rsidR="003307E3" w:rsidRDefault="008E50D1">
            <w:pPr>
              <w:jc w:val="center"/>
            </w:pPr>
            <w:r>
              <w:rPr>
                <w:color w:val="000000"/>
                <w:sz w:val="24"/>
                <w:szCs w:val="24"/>
              </w:rPr>
              <w:t>华测检测</w:t>
            </w:r>
          </w:p>
        </w:tc>
        <w:tc>
          <w:tcPr>
            <w:tcW w:w="1334" w:type="dxa"/>
            <w:vAlign w:val="center"/>
          </w:tcPr>
          <w:p w:rsidR="003307E3" w:rsidRDefault="008E50D1">
            <w:pPr>
              <w:jc w:val="right"/>
            </w:pPr>
            <w:r>
              <w:rPr>
                <w:color w:val="000000"/>
                <w:sz w:val="24"/>
                <w:szCs w:val="24"/>
              </w:rPr>
              <w:t>10,315,388</w:t>
            </w:r>
          </w:p>
        </w:tc>
        <w:tc>
          <w:tcPr>
            <w:tcW w:w="1924" w:type="dxa"/>
            <w:vAlign w:val="center"/>
          </w:tcPr>
          <w:p w:rsidR="003307E3" w:rsidRDefault="008E50D1">
            <w:pPr>
              <w:jc w:val="right"/>
            </w:pPr>
            <w:r>
              <w:rPr>
                <w:color w:val="000000"/>
                <w:sz w:val="24"/>
                <w:szCs w:val="24"/>
              </w:rPr>
              <w:t>90,775,414.40</w:t>
            </w:r>
          </w:p>
        </w:tc>
        <w:tc>
          <w:tcPr>
            <w:tcW w:w="1644" w:type="dxa"/>
            <w:vAlign w:val="center"/>
          </w:tcPr>
          <w:p w:rsidR="003307E3" w:rsidRDefault="008E50D1">
            <w:pPr>
              <w:jc w:val="right"/>
            </w:pPr>
            <w:r>
              <w:rPr>
                <w:color w:val="000000"/>
                <w:sz w:val="24"/>
                <w:szCs w:val="24"/>
              </w:rPr>
              <w:t>4.14</w:t>
            </w:r>
          </w:p>
        </w:tc>
      </w:tr>
      <w:tr w:rsidR="003307E3">
        <w:trPr>
          <w:jc w:val="center"/>
        </w:trPr>
        <w:tc>
          <w:tcPr>
            <w:tcW w:w="855" w:type="dxa"/>
            <w:vAlign w:val="center"/>
          </w:tcPr>
          <w:p w:rsidR="003307E3" w:rsidRDefault="008E50D1">
            <w:pPr>
              <w:jc w:val="center"/>
            </w:pPr>
            <w:r>
              <w:rPr>
                <w:color w:val="000000"/>
                <w:sz w:val="24"/>
                <w:szCs w:val="24"/>
              </w:rPr>
              <w:t>6</w:t>
            </w:r>
          </w:p>
        </w:tc>
        <w:tc>
          <w:tcPr>
            <w:tcW w:w="1334" w:type="dxa"/>
            <w:vAlign w:val="center"/>
          </w:tcPr>
          <w:p w:rsidR="003307E3" w:rsidRDefault="008E50D1">
            <w:pPr>
              <w:jc w:val="center"/>
            </w:pPr>
            <w:r>
              <w:rPr>
                <w:color w:val="000000"/>
                <w:sz w:val="24"/>
                <w:szCs w:val="24"/>
              </w:rPr>
              <w:t>002410</w:t>
            </w:r>
          </w:p>
        </w:tc>
        <w:tc>
          <w:tcPr>
            <w:tcW w:w="1777" w:type="dxa"/>
            <w:vAlign w:val="center"/>
          </w:tcPr>
          <w:p w:rsidR="003307E3" w:rsidRDefault="008E50D1">
            <w:pPr>
              <w:jc w:val="center"/>
            </w:pPr>
            <w:r>
              <w:rPr>
                <w:color w:val="000000"/>
                <w:sz w:val="24"/>
                <w:szCs w:val="24"/>
              </w:rPr>
              <w:t>广联达</w:t>
            </w:r>
          </w:p>
        </w:tc>
        <w:tc>
          <w:tcPr>
            <w:tcW w:w="1334" w:type="dxa"/>
            <w:vAlign w:val="center"/>
          </w:tcPr>
          <w:p w:rsidR="003307E3" w:rsidRDefault="008E50D1">
            <w:pPr>
              <w:jc w:val="right"/>
            </w:pPr>
            <w:r>
              <w:rPr>
                <w:color w:val="000000"/>
                <w:sz w:val="24"/>
                <w:szCs w:val="24"/>
              </w:rPr>
              <w:t>2,951,585</w:t>
            </w:r>
          </w:p>
        </w:tc>
        <w:tc>
          <w:tcPr>
            <w:tcW w:w="1924" w:type="dxa"/>
            <w:vAlign w:val="center"/>
          </w:tcPr>
          <w:p w:rsidR="003307E3" w:rsidRDefault="008E50D1">
            <w:pPr>
              <w:jc w:val="right"/>
            </w:pPr>
            <w:r>
              <w:rPr>
                <w:color w:val="000000"/>
                <w:sz w:val="24"/>
                <w:szCs w:val="24"/>
              </w:rPr>
              <w:t>87,986,748.85</w:t>
            </w:r>
          </w:p>
        </w:tc>
        <w:tc>
          <w:tcPr>
            <w:tcW w:w="1644" w:type="dxa"/>
            <w:vAlign w:val="center"/>
          </w:tcPr>
          <w:p w:rsidR="003307E3" w:rsidRDefault="008E50D1">
            <w:pPr>
              <w:jc w:val="right"/>
            </w:pPr>
            <w:r>
              <w:rPr>
                <w:color w:val="000000"/>
                <w:sz w:val="24"/>
                <w:szCs w:val="24"/>
              </w:rPr>
              <w:t>4.02</w:t>
            </w:r>
          </w:p>
        </w:tc>
      </w:tr>
      <w:tr w:rsidR="003307E3">
        <w:trPr>
          <w:jc w:val="center"/>
        </w:trPr>
        <w:tc>
          <w:tcPr>
            <w:tcW w:w="855" w:type="dxa"/>
            <w:vAlign w:val="center"/>
          </w:tcPr>
          <w:p w:rsidR="003307E3" w:rsidRDefault="008E50D1">
            <w:pPr>
              <w:jc w:val="center"/>
            </w:pPr>
            <w:r>
              <w:rPr>
                <w:color w:val="000000"/>
                <w:sz w:val="24"/>
                <w:szCs w:val="24"/>
              </w:rPr>
              <w:t>7</w:t>
            </w:r>
          </w:p>
        </w:tc>
        <w:tc>
          <w:tcPr>
            <w:tcW w:w="1334" w:type="dxa"/>
            <w:vAlign w:val="center"/>
          </w:tcPr>
          <w:p w:rsidR="003307E3" w:rsidRDefault="008E50D1">
            <w:pPr>
              <w:jc w:val="center"/>
            </w:pPr>
            <w:r>
              <w:rPr>
                <w:color w:val="000000"/>
                <w:sz w:val="24"/>
                <w:szCs w:val="24"/>
              </w:rPr>
              <w:t>600763</w:t>
            </w:r>
          </w:p>
        </w:tc>
        <w:tc>
          <w:tcPr>
            <w:tcW w:w="1777" w:type="dxa"/>
            <w:vAlign w:val="center"/>
          </w:tcPr>
          <w:p w:rsidR="003307E3" w:rsidRDefault="008E50D1">
            <w:pPr>
              <w:jc w:val="center"/>
            </w:pPr>
            <w:r>
              <w:rPr>
                <w:color w:val="000000"/>
                <w:sz w:val="24"/>
                <w:szCs w:val="24"/>
              </w:rPr>
              <w:t>通策医疗</w:t>
            </w:r>
          </w:p>
        </w:tc>
        <w:tc>
          <w:tcPr>
            <w:tcW w:w="1334" w:type="dxa"/>
            <w:vAlign w:val="center"/>
          </w:tcPr>
          <w:p w:rsidR="003307E3" w:rsidRDefault="008E50D1">
            <w:pPr>
              <w:jc w:val="right"/>
            </w:pPr>
            <w:r>
              <w:rPr>
                <w:color w:val="000000"/>
                <w:sz w:val="24"/>
                <w:szCs w:val="24"/>
              </w:rPr>
              <w:t>1,176,424</w:t>
            </w:r>
          </w:p>
        </w:tc>
        <w:tc>
          <w:tcPr>
            <w:tcW w:w="1924" w:type="dxa"/>
            <w:vAlign w:val="center"/>
          </w:tcPr>
          <w:p w:rsidR="003307E3" w:rsidRDefault="008E50D1">
            <w:pPr>
              <w:jc w:val="right"/>
            </w:pPr>
            <w:r>
              <w:rPr>
                <w:color w:val="000000"/>
                <w:sz w:val="24"/>
                <w:szCs w:val="24"/>
              </w:rPr>
              <w:t>82,937,892.00</w:t>
            </w:r>
          </w:p>
        </w:tc>
        <w:tc>
          <w:tcPr>
            <w:tcW w:w="1644" w:type="dxa"/>
            <w:vAlign w:val="center"/>
          </w:tcPr>
          <w:p w:rsidR="003307E3" w:rsidRDefault="008E50D1">
            <w:pPr>
              <w:jc w:val="right"/>
            </w:pPr>
            <w:r>
              <w:rPr>
                <w:color w:val="000000"/>
                <w:sz w:val="24"/>
                <w:szCs w:val="24"/>
              </w:rPr>
              <w:t>3.79</w:t>
            </w:r>
          </w:p>
        </w:tc>
      </w:tr>
      <w:tr w:rsidR="003307E3">
        <w:trPr>
          <w:jc w:val="center"/>
        </w:trPr>
        <w:tc>
          <w:tcPr>
            <w:tcW w:w="855" w:type="dxa"/>
            <w:vAlign w:val="center"/>
          </w:tcPr>
          <w:p w:rsidR="003307E3" w:rsidRDefault="008E50D1">
            <w:pPr>
              <w:jc w:val="center"/>
            </w:pPr>
            <w:r>
              <w:rPr>
                <w:color w:val="000000"/>
                <w:sz w:val="24"/>
                <w:szCs w:val="24"/>
              </w:rPr>
              <w:t>8</w:t>
            </w:r>
          </w:p>
        </w:tc>
        <w:tc>
          <w:tcPr>
            <w:tcW w:w="1334" w:type="dxa"/>
            <w:vAlign w:val="center"/>
          </w:tcPr>
          <w:p w:rsidR="003307E3" w:rsidRDefault="008E50D1">
            <w:pPr>
              <w:jc w:val="center"/>
            </w:pPr>
            <w:r>
              <w:rPr>
                <w:color w:val="000000"/>
                <w:sz w:val="24"/>
                <w:szCs w:val="24"/>
              </w:rPr>
              <w:t>300271</w:t>
            </w:r>
          </w:p>
        </w:tc>
        <w:tc>
          <w:tcPr>
            <w:tcW w:w="1777" w:type="dxa"/>
            <w:vAlign w:val="center"/>
          </w:tcPr>
          <w:p w:rsidR="003307E3" w:rsidRDefault="008E50D1">
            <w:pPr>
              <w:jc w:val="center"/>
            </w:pPr>
            <w:r>
              <w:rPr>
                <w:color w:val="000000"/>
                <w:sz w:val="24"/>
                <w:szCs w:val="24"/>
              </w:rPr>
              <w:t>华宇软件</w:t>
            </w:r>
          </w:p>
        </w:tc>
        <w:tc>
          <w:tcPr>
            <w:tcW w:w="1334" w:type="dxa"/>
            <w:vAlign w:val="center"/>
          </w:tcPr>
          <w:p w:rsidR="003307E3" w:rsidRDefault="008E50D1">
            <w:pPr>
              <w:jc w:val="right"/>
            </w:pPr>
            <w:r>
              <w:rPr>
                <w:color w:val="000000"/>
                <w:sz w:val="24"/>
                <w:szCs w:val="24"/>
              </w:rPr>
              <w:t>3,713,715</w:t>
            </w:r>
          </w:p>
        </w:tc>
        <w:tc>
          <w:tcPr>
            <w:tcW w:w="1924" w:type="dxa"/>
            <w:vAlign w:val="center"/>
          </w:tcPr>
          <w:p w:rsidR="003307E3" w:rsidRDefault="008E50D1">
            <w:pPr>
              <w:jc w:val="right"/>
            </w:pPr>
            <w:r>
              <w:rPr>
                <w:color w:val="000000"/>
                <w:sz w:val="24"/>
                <w:szCs w:val="24"/>
              </w:rPr>
              <w:t>78,990,718.05</w:t>
            </w:r>
          </w:p>
        </w:tc>
        <w:tc>
          <w:tcPr>
            <w:tcW w:w="1644" w:type="dxa"/>
            <w:vAlign w:val="center"/>
          </w:tcPr>
          <w:p w:rsidR="003307E3" w:rsidRDefault="008E50D1">
            <w:pPr>
              <w:jc w:val="right"/>
            </w:pPr>
            <w:r>
              <w:rPr>
                <w:color w:val="000000"/>
                <w:sz w:val="24"/>
                <w:szCs w:val="24"/>
              </w:rPr>
              <w:t>3.61</w:t>
            </w:r>
          </w:p>
        </w:tc>
      </w:tr>
      <w:tr w:rsidR="003307E3">
        <w:trPr>
          <w:jc w:val="center"/>
        </w:trPr>
        <w:tc>
          <w:tcPr>
            <w:tcW w:w="855" w:type="dxa"/>
            <w:vAlign w:val="center"/>
          </w:tcPr>
          <w:p w:rsidR="003307E3" w:rsidRDefault="008E50D1">
            <w:pPr>
              <w:jc w:val="center"/>
            </w:pPr>
            <w:r>
              <w:rPr>
                <w:color w:val="000000"/>
                <w:sz w:val="24"/>
                <w:szCs w:val="24"/>
              </w:rPr>
              <w:t>9</w:t>
            </w:r>
          </w:p>
        </w:tc>
        <w:tc>
          <w:tcPr>
            <w:tcW w:w="1334" w:type="dxa"/>
            <w:vAlign w:val="center"/>
          </w:tcPr>
          <w:p w:rsidR="003307E3" w:rsidRDefault="008E50D1">
            <w:pPr>
              <w:jc w:val="center"/>
            </w:pPr>
            <w:r>
              <w:rPr>
                <w:color w:val="000000"/>
                <w:sz w:val="24"/>
                <w:szCs w:val="24"/>
              </w:rPr>
              <w:t>000681</w:t>
            </w:r>
          </w:p>
        </w:tc>
        <w:tc>
          <w:tcPr>
            <w:tcW w:w="1777" w:type="dxa"/>
            <w:vAlign w:val="center"/>
          </w:tcPr>
          <w:p w:rsidR="003307E3" w:rsidRDefault="008E50D1">
            <w:pPr>
              <w:jc w:val="center"/>
            </w:pPr>
            <w:r>
              <w:rPr>
                <w:color w:val="000000"/>
                <w:sz w:val="24"/>
                <w:szCs w:val="24"/>
              </w:rPr>
              <w:t>视觉中国</w:t>
            </w:r>
          </w:p>
        </w:tc>
        <w:tc>
          <w:tcPr>
            <w:tcW w:w="1334" w:type="dxa"/>
            <w:vAlign w:val="center"/>
          </w:tcPr>
          <w:p w:rsidR="003307E3" w:rsidRDefault="008E50D1">
            <w:pPr>
              <w:jc w:val="right"/>
            </w:pPr>
            <w:r>
              <w:rPr>
                <w:color w:val="000000"/>
                <w:sz w:val="24"/>
                <w:szCs w:val="24"/>
              </w:rPr>
              <w:t>2,904,477</w:t>
            </w:r>
          </w:p>
        </w:tc>
        <w:tc>
          <w:tcPr>
            <w:tcW w:w="1924" w:type="dxa"/>
            <w:vAlign w:val="center"/>
          </w:tcPr>
          <w:p w:rsidR="003307E3" w:rsidRDefault="008E50D1">
            <w:pPr>
              <w:jc w:val="right"/>
            </w:pPr>
            <w:r>
              <w:rPr>
                <w:color w:val="000000"/>
                <w:sz w:val="24"/>
                <w:szCs w:val="24"/>
              </w:rPr>
              <w:t>76,562,013.72</w:t>
            </w:r>
          </w:p>
        </w:tc>
        <w:tc>
          <w:tcPr>
            <w:tcW w:w="1644" w:type="dxa"/>
            <w:vAlign w:val="center"/>
          </w:tcPr>
          <w:p w:rsidR="003307E3" w:rsidRDefault="008E50D1">
            <w:pPr>
              <w:jc w:val="right"/>
            </w:pPr>
            <w:r>
              <w:rPr>
                <w:color w:val="000000"/>
                <w:sz w:val="24"/>
                <w:szCs w:val="24"/>
              </w:rPr>
              <w:t>3.50</w:t>
            </w:r>
          </w:p>
        </w:tc>
      </w:tr>
      <w:tr w:rsidR="003307E3">
        <w:trPr>
          <w:jc w:val="center"/>
        </w:trPr>
        <w:tc>
          <w:tcPr>
            <w:tcW w:w="855" w:type="dxa"/>
            <w:vAlign w:val="center"/>
          </w:tcPr>
          <w:p w:rsidR="003307E3" w:rsidRDefault="008E50D1">
            <w:pPr>
              <w:jc w:val="center"/>
            </w:pPr>
            <w:r>
              <w:rPr>
                <w:color w:val="000000"/>
                <w:sz w:val="24"/>
                <w:szCs w:val="24"/>
              </w:rPr>
              <w:t>10</w:t>
            </w:r>
          </w:p>
        </w:tc>
        <w:tc>
          <w:tcPr>
            <w:tcW w:w="1334" w:type="dxa"/>
            <w:vAlign w:val="center"/>
          </w:tcPr>
          <w:p w:rsidR="003307E3" w:rsidRDefault="008E50D1">
            <w:pPr>
              <w:jc w:val="center"/>
            </w:pPr>
            <w:r>
              <w:rPr>
                <w:color w:val="000000"/>
                <w:sz w:val="24"/>
                <w:szCs w:val="24"/>
              </w:rPr>
              <w:t>603039</w:t>
            </w:r>
          </w:p>
        </w:tc>
        <w:tc>
          <w:tcPr>
            <w:tcW w:w="1777" w:type="dxa"/>
            <w:vAlign w:val="center"/>
          </w:tcPr>
          <w:p w:rsidR="003307E3" w:rsidRDefault="008E50D1">
            <w:pPr>
              <w:jc w:val="center"/>
            </w:pPr>
            <w:r>
              <w:rPr>
                <w:color w:val="000000"/>
                <w:sz w:val="24"/>
                <w:szCs w:val="24"/>
              </w:rPr>
              <w:t>泛微网络</w:t>
            </w:r>
          </w:p>
        </w:tc>
        <w:tc>
          <w:tcPr>
            <w:tcW w:w="1334" w:type="dxa"/>
            <w:vAlign w:val="center"/>
          </w:tcPr>
          <w:p w:rsidR="003307E3" w:rsidRDefault="008E50D1">
            <w:pPr>
              <w:jc w:val="right"/>
            </w:pPr>
            <w:r>
              <w:rPr>
                <w:color w:val="000000"/>
                <w:sz w:val="24"/>
                <w:szCs w:val="24"/>
              </w:rPr>
              <w:t>721,298</w:t>
            </w:r>
          </w:p>
        </w:tc>
        <w:tc>
          <w:tcPr>
            <w:tcW w:w="1924" w:type="dxa"/>
            <w:vAlign w:val="center"/>
          </w:tcPr>
          <w:p w:rsidR="003307E3" w:rsidRDefault="008E50D1">
            <w:pPr>
              <w:jc w:val="right"/>
            </w:pPr>
            <w:r>
              <w:rPr>
                <w:color w:val="000000"/>
                <w:sz w:val="24"/>
                <w:szCs w:val="24"/>
              </w:rPr>
              <w:t>74,942,862.20</w:t>
            </w:r>
          </w:p>
        </w:tc>
        <w:tc>
          <w:tcPr>
            <w:tcW w:w="1644" w:type="dxa"/>
            <w:vAlign w:val="center"/>
          </w:tcPr>
          <w:p w:rsidR="003307E3" w:rsidRDefault="008E50D1">
            <w:pPr>
              <w:jc w:val="right"/>
            </w:pPr>
            <w:r>
              <w:rPr>
                <w:color w:val="000000"/>
                <w:sz w:val="24"/>
                <w:szCs w:val="24"/>
              </w:rPr>
              <w:t>3.42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80,586,900.00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1,081,200.00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0.05</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81,668,100.00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307E3">
        <w:trPr>
          <w:jc w:val="center"/>
        </w:trPr>
        <w:tc>
          <w:tcPr>
            <w:tcW w:w="850" w:type="dxa"/>
            <w:vAlign w:val="center"/>
          </w:tcPr>
          <w:p w:rsidR="003307E3" w:rsidRDefault="008E50D1">
            <w:pPr>
              <w:jc w:val="center"/>
            </w:pPr>
            <w:r>
              <w:rPr>
                <w:color w:val="000000"/>
                <w:sz w:val="24"/>
                <w:szCs w:val="24"/>
              </w:rPr>
              <w:t>1</w:t>
            </w:r>
          </w:p>
        </w:tc>
        <w:tc>
          <w:tcPr>
            <w:tcW w:w="1475" w:type="dxa"/>
            <w:vAlign w:val="center"/>
          </w:tcPr>
          <w:p w:rsidR="003307E3" w:rsidRDefault="008E50D1">
            <w:pPr>
              <w:jc w:val="center"/>
            </w:pPr>
            <w:r>
              <w:rPr>
                <w:color w:val="000000"/>
                <w:sz w:val="24"/>
                <w:szCs w:val="24"/>
              </w:rPr>
              <w:t>199908</w:t>
            </w:r>
          </w:p>
        </w:tc>
        <w:tc>
          <w:tcPr>
            <w:tcW w:w="1769" w:type="dxa"/>
            <w:vAlign w:val="center"/>
          </w:tcPr>
          <w:p w:rsidR="003307E3" w:rsidRDefault="008E50D1">
            <w:pPr>
              <w:jc w:val="center"/>
            </w:pPr>
            <w:r>
              <w:rPr>
                <w:color w:val="000000"/>
                <w:sz w:val="24"/>
                <w:szCs w:val="24"/>
              </w:rPr>
              <w:t>19</w:t>
            </w:r>
            <w:r>
              <w:rPr>
                <w:color w:val="000000"/>
                <w:sz w:val="24"/>
                <w:szCs w:val="24"/>
              </w:rPr>
              <w:t>贴现国债</w:t>
            </w:r>
            <w:r>
              <w:rPr>
                <w:color w:val="000000"/>
                <w:sz w:val="24"/>
                <w:szCs w:val="24"/>
              </w:rPr>
              <w:t>08</w:t>
            </w:r>
          </w:p>
        </w:tc>
        <w:tc>
          <w:tcPr>
            <w:tcW w:w="1387" w:type="dxa"/>
            <w:vAlign w:val="center"/>
          </w:tcPr>
          <w:p w:rsidR="003307E3" w:rsidRDefault="008E50D1">
            <w:pPr>
              <w:jc w:val="right"/>
            </w:pPr>
            <w:r>
              <w:rPr>
                <w:color w:val="000000"/>
                <w:sz w:val="24"/>
                <w:szCs w:val="24"/>
              </w:rPr>
              <w:t>810,000</w:t>
            </w:r>
          </w:p>
        </w:tc>
        <w:tc>
          <w:tcPr>
            <w:tcW w:w="2150" w:type="dxa"/>
            <w:vAlign w:val="center"/>
          </w:tcPr>
          <w:p w:rsidR="003307E3" w:rsidRDefault="008E50D1">
            <w:pPr>
              <w:jc w:val="right"/>
            </w:pPr>
            <w:r>
              <w:rPr>
                <w:color w:val="000000"/>
                <w:sz w:val="24"/>
                <w:szCs w:val="24"/>
              </w:rPr>
              <w:t>80,586,900.00</w:t>
            </w:r>
          </w:p>
        </w:tc>
        <w:tc>
          <w:tcPr>
            <w:tcW w:w="1237" w:type="dxa"/>
            <w:vAlign w:val="center"/>
          </w:tcPr>
          <w:p w:rsidR="003307E3" w:rsidRDefault="008E50D1">
            <w:pPr>
              <w:jc w:val="right"/>
            </w:pPr>
            <w:r>
              <w:rPr>
                <w:color w:val="000000"/>
                <w:sz w:val="24"/>
                <w:szCs w:val="24"/>
              </w:rPr>
              <w:t>3.68</w:t>
            </w:r>
          </w:p>
        </w:tc>
      </w:tr>
      <w:tr w:rsidR="003307E3">
        <w:trPr>
          <w:jc w:val="center"/>
        </w:trPr>
        <w:tc>
          <w:tcPr>
            <w:tcW w:w="850" w:type="dxa"/>
            <w:vAlign w:val="center"/>
          </w:tcPr>
          <w:p w:rsidR="003307E3" w:rsidRDefault="008E50D1">
            <w:pPr>
              <w:jc w:val="center"/>
            </w:pPr>
            <w:r>
              <w:rPr>
                <w:color w:val="000000"/>
                <w:sz w:val="24"/>
                <w:szCs w:val="24"/>
              </w:rPr>
              <w:t>2</w:t>
            </w:r>
          </w:p>
        </w:tc>
        <w:tc>
          <w:tcPr>
            <w:tcW w:w="1475" w:type="dxa"/>
            <w:vAlign w:val="center"/>
          </w:tcPr>
          <w:p w:rsidR="003307E3" w:rsidRDefault="008E50D1">
            <w:pPr>
              <w:jc w:val="center"/>
            </w:pPr>
            <w:r>
              <w:rPr>
                <w:color w:val="000000"/>
                <w:sz w:val="24"/>
                <w:szCs w:val="24"/>
              </w:rPr>
              <w:t>128061</w:t>
            </w:r>
          </w:p>
        </w:tc>
        <w:tc>
          <w:tcPr>
            <w:tcW w:w="1769" w:type="dxa"/>
            <w:vAlign w:val="center"/>
          </w:tcPr>
          <w:p w:rsidR="003307E3" w:rsidRDefault="008E50D1">
            <w:pPr>
              <w:jc w:val="center"/>
            </w:pPr>
            <w:r>
              <w:rPr>
                <w:color w:val="000000"/>
                <w:sz w:val="24"/>
                <w:szCs w:val="24"/>
              </w:rPr>
              <w:t>启明转债</w:t>
            </w:r>
          </w:p>
        </w:tc>
        <w:tc>
          <w:tcPr>
            <w:tcW w:w="1387" w:type="dxa"/>
            <w:vAlign w:val="center"/>
          </w:tcPr>
          <w:p w:rsidR="003307E3" w:rsidRDefault="008E50D1">
            <w:pPr>
              <w:jc w:val="right"/>
            </w:pPr>
            <w:r>
              <w:rPr>
                <w:color w:val="000000"/>
                <w:sz w:val="24"/>
                <w:szCs w:val="24"/>
              </w:rPr>
              <w:t>10,812</w:t>
            </w:r>
          </w:p>
        </w:tc>
        <w:tc>
          <w:tcPr>
            <w:tcW w:w="2150" w:type="dxa"/>
            <w:vAlign w:val="center"/>
          </w:tcPr>
          <w:p w:rsidR="003307E3" w:rsidRDefault="008E50D1">
            <w:pPr>
              <w:jc w:val="right"/>
            </w:pPr>
            <w:r>
              <w:rPr>
                <w:color w:val="000000"/>
                <w:sz w:val="24"/>
                <w:szCs w:val="24"/>
              </w:rPr>
              <w:t>1,081,200.00</w:t>
            </w:r>
          </w:p>
        </w:tc>
        <w:tc>
          <w:tcPr>
            <w:tcW w:w="1237" w:type="dxa"/>
            <w:vAlign w:val="center"/>
          </w:tcPr>
          <w:p w:rsidR="003307E3" w:rsidRDefault="008E50D1">
            <w:pPr>
              <w:jc w:val="right"/>
            </w:pPr>
            <w:r>
              <w:rPr>
                <w:color w:val="000000"/>
                <w:sz w:val="24"/>
                <w:szCs w:val="24"/>
              </w:rPr>
              <w:t>0.05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790,685.18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20,198,651.47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200,242.57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1,433,195.97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22,622,775.19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307E3">
        <w:trPr>
          <w:jc w:val="center"/>
        </w:trPr>
        <w:tc>
          <w:tcPr>
            <w:tcW w:w="1129" w:type="dxa"/>
            <w:vAlign w:val="center"/>
          </w:tcPr>
          <w:p w:rsidR="003307E3" w:rsidRDefault="008E50D1">
            <w:pPr>
              <w:jc w:val="center"/>
            </w:pPr>
            <w:r>
              <w:rPr>
                <w:color w:val="000000"/>
                <w:sz w:val="24"/>
                <w:szCs w:val="24"/>
              </w:rPr>
              <w:t>1</w:t>
            </w:r>
          </w:p>
        </w:tc>
        <w:tc>
          <w:tcPr>
            <w:tcW w:w="1356" w:type="dxa"/>
            <w:vAlign w:val="center"/>
          </w:tcPr>
          <w:p w:rsidR="003307E3" w:rsidRDefault="008E50D1">
            <w:pPr>
              <w:jc w:val="center"/>
            </w:pPr>
            <w:r>
              <w:rPr>
                <w:color w:val="000000"/>
                <w:sz w:val="24"/>
                <w:szCs w:val="24"/>
              </w:rPr>
              <w:t>300188</w:t>
            </w:r>
          </w:p>
        </w:tc>
        <w:tc>
          <w:tcPr>
            <w:tcW w:w="1355" w:type="dxa"/>
            <w:vAlign w:val="center"/>
          </w:tcPr>
          <w:p w:rsidR="003307E3" w:rsidRDefault="008E50D1">
            <w:pPr>
              <w:jc w:val="center"/>
            </w:pPr>
            <w:r>
              <w:rPr>
                <w:color w:val="000000"/>
                <w:sz w:val="24"/>
                <w:szCs w:val="24"/>
              </w:rPr>
              <w:t>美亚柏科</w:t>
            </w:r>
          </w:p>
        </w:tc>
        <w:tc>
          <w:tcPr>
            <w:tcW w:w="1880" w:type="dxa"/>
            <w:vAlign w:val="center"/>
          </w:tcPr>
          <w:p w:rsidR="003307E3" w:rsidRDefault="008E50D1">
            <w:pPr>
              <w:jc w:val="right"/>
            </w:pPr>
            <w:r>
              <w:rPr>
                <w:color w:val="000000"/>
                <w:sz w:val="24"/>
                <w:szCs w:val="24"/>
              </w:rPr>
              <w:t>179,875,151.01</w:t>
            </w:r>
          </w:p>
        </w:tc>
        <w:tc>
          <w:tcPr>
            <w:tcW w:w="1724" w:type="dxa"/>
            <w:vAlign w:val="center"/>
          </w:tcPr>
          <w:p w:rsidR="003307E3" w:rsidRDefault="008E50D1">
            <w:pPr>
              <w:jc w:val="right"/>
            </w:pPr>
            <w:r>
              <w:rPr>
                <w:color w:val="000000"/>
                <w:sz w:val="24"/>
                <w:szCs w:val="24"/>
              </w:rPr>
              <w:t>8.21</w:t>
            </w:r>
          </w:p>
        </w:tc>
        <w:tc>
          <w:tcPr>
            <w:tcW w:w="1424" w:type="dxa"/>
            <w:vAlign w:val="center"/>
          </w:tcPr>
          <w:p w:rsidR="003307E3" w:rsidRDefault="008E50D1">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1,778,522,713.83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630,384,969.35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689,205,527.38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1,719,702,155.80</w:t>
            </w:r>
          </w:p>
        </w:tc>
      </w:tr>
    </w:tbl>
    <w:p w:rsidR="003307E3" w:rsidRDefault="008E50D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3307E3">
        <w:tc>
          <w:tcPr>
            <w:tcW w:w="993" w:type="dxa"/>
            <w:vMerge w:val="restart"/>
          </w:tcPr>
          <w:p w:rsidR="003307E3" w:rsidRDefault="003307E3"/>
          <w:p w:rsidR="003307E3" w:rsidRDefault="008E50D1">
            <w:r>
              <w:rPr>
                <w:rFonts w:ascii="宋体" w:hAnsi="宋体" w:hint="eastAsia"/>
                <w:bCs/>
                <w:color w:val="000000"/>
                <w:kern w:val="0"/>
              </w:rPr>
              <w:t>机构</w:t>
            </w:r>
          </w:p>
        </w:tc>
        <w:tc>
          <w:tcPr>
            <w:tcW w:w="992" w:type="dxa"/>
            <w:vAlign w:val="center"/>
          </w:tcPr>
          <w:p w:rsidR="003307E3" w:rsidRDefault="008E50D1">
            <w:pPr>
              <w:jc w:val="center"/>
            </w:pPr>
            <w:r>
              <w:rPr>
                <w:rFonts w:ascii="宋体" w:hAnsi="宋体"/>
                <w:color w:val="000000"/>
                <w:kern w:val="0"/>
              </w:rPr>
              <w:t>1</w:t>
            </w:r>
          </w:p>
        </w:tc>
        <w:tc>
          <w:tcPr>
            <w:tcW w:w="1843" w:type="dxa"/>
            <w:vAlign w:val="center"/>
          </w:tcPr>
          <w:p w:rsidR="003307E3" w:rsidRDefault="008E50D1">
            <w:pPr>
              <w:jc w:val="center"/>
            </w:pPr>
            <w:r>
              <w:rPr>
                <w:rFonts w:ascii="宋体" w:hAnsi="宋体"/>
                <w:color w:val="000000"/>
                <w:kern w:val="0"/>
              </w:rPr>
              <w:t>2019/1/1-2019/3/31</w:t>
            </w:r>
          </w:p>
        </w:tc>
        <w:tc>
          <w:tcPr>
            <w:tcW w:w="851" w:type="dxa"/>
            <w:vAlign w:val="center"/>
          </w:tcPr>
          <w:p w:rsidR="003307E3" w:rsidRDefault="008E50D1">
            <w:pPr>
              <w:jc w:val="center"/>
            </w:pPr>
            <w:r>
              <w:rPr>
                <w:rFonts w:ascii="宋体" w:hAnsi="宋体"/>
                <w:color w:val="000000"/>
                <w:kern w:val="0"/>
              </w:rPr>
              <w:t>356,850,462.03</w:t>
            </w:r>
          </w:p>
        </w:tc>
        <w:tc>
          <w:tcPr>
            <w:tcW w:w="850" w:type="dxa"/>
            <w:vAlign w:val="center"/>
          </w:tcPr>
          <w:p w:rsidR="003307E3" w:rsidRDefault="008E50D1">
            <w:pPr>
              <w:jc w:val="center"/>
            </w:pPr>
            <w:r>
              <w:rPr>
                <w:rFonts w:ascii="宋体" w:hAnsi="宋体"/>
                <w:color w:val="000000"/>
                <w:kern w:val="0"/>
              </w:rPr>
              <w:t>-</w:t>
            </w:r>
          </w:p>
        </w:tc>
        <w:tc>
          <w:tcPr>
            <w:tcW w:w="1134" w:type="dxa"/>
            <w:vAlign w:val="center"/>
          </w:tcPr>
          <w:p w:rsidR="003307E3" w:rsidRDefault="008E50D1">
            <w:pPr>
              <w:jc w:val="center"/>
            </w:pPr>
            <w:r>
              <w:rPr>
                <w:rFonts w:ascii="宋体" w:hAnsi="宋体"/>
                <w:color w:val="000000"/>
                <w:kern w:val="0"/>
              </w:rPr>
              <w:t>215,457,928.09</w:t>
            </w:r>
          </w:p>
        </w:tc>
        <w:tc>
          <w:tcPr>
            <w:tcW w:w="1419" w:type="dxa"/>
            <w:vAlign w:val="center"/>
          </w:tcPr>
          <w:p w:rsidR="003307E3" w:rsidRDefault="008E50D1">
            <w:pPr>
              <w:jc w:val="center"/>
            </w:pPr>
            <w:r>
              <w:rPr>
                <w:rFonts w:ascii="宋体" w:hAnsi="宋体"/>
                <w:color w:val="000000"/>
                <w:kern w:val="0"/>
              </w:rPr>
              <w:t>141,392,533.94</w:t>
            </w:r>
          </w:p>
        </w:tc>
        <w:tc>
          <w:tcPr>
            <w:tcW w:w="1130" w:type="dxa"/>
            <w:vAlign w:val="center"/>
          </w:tcPr>
          <w:p w:rsidR="003307E3" w:rsidRDefault="008E50D1">
            <w:pPr>
              <w:jc w:val="center"/>
            </w:pPr>
            <w:r>
              <w:rPr>
                <w:rFonts w:ascii="宋体" w:hAnsi="宋体"/>
                <w:color w:val="000000"/>
                <w:kern w:val="0"/>
              </w:rPr>
              <w:t>8.22%</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307E3" w:rsidRDefault="008E50D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、中国证监会准予交银施罗德持续成长主题混合型证券投资基金募集注册的文件；</w:t>
      </w:r>
      <w:r>
        <w:rPr>
          <w:color w:val="000000"/>
          <w:sz w:val="24"/>
          <w:szCs w:val="24"/>
        </w:rPr>
        <w:t xml:space="preserve"> </w:t>
      </w:r>
    </w:p>
    <w:p w:rsidR="003307E3" w:rsidRDefault="008E50D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、《交银施罗德持续成长主题混合型证券投资基金基金合同》；</w:t>
      </w:r>
      <w:r>
        <w:rPr>
          <w:color w:val="000000"/>
          <w:sz w:val="24"/>
          <w:szCs w:val="24"/>
        </w:rPr>
        <w:t xml:space="preserve"> </w:t>
      </w:r>
    </w:p>
    <w:p w:rsidR="003307E3" w:rsidRDefault="008E50D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、《交银施罗德持续成长主题混合型证券投资基金招募说明书》；</w:t>
      </w:r>
      <w:r>
        <w:rPr>
          <w:color w:val="000000"/>
          <w:sz w:val="24"/>
          <w:szCs w:val="24"/>
        </w:rPr>
        <w:t xml:space="preserve"> </w:t>
      </w:r>
    </w:p>
    <w:p w:rsidR="003307E3" w:rsidRDefault="008E50D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、《交银施罗德持续成长主题混合型证券投资基金托管协议》；</w:t>
      </w:r>
      <w:r>
        <w:rPr>
          <w:color w:val="000000"/>
          <w:sz w:val="24"/>
          <w:szCs w:val="24"/>
        </w:rPr>
        <w:t xml:space="preserve"> </w:t>
      </w:r>
    </w:p>
    <w:p w:rsidR="003307E3" w:rsidRDefault="008E50D1">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、关于申请募集注册交银施罗德持续成长主题混合型证券投资基金的法律意见书；</w:t>
      </w:r>
      <w:r>
        <w:rPr>
          <w:color w:val="000000"/>
          <w:sz w:val="24"/>
          <w:szCs w:val="24"/>
        </w:rPr>
        <w:t xml:space="preserve"> </w:t>
      </w:r>
    </w:p>
    <w:p w:rsidR="003307E3" w:rsidRDefault="008E50D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307E3" w:rsidRDefault="008E50D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、报告期内交银施罗德持续成长主题混合型证券投资基金在指定报刊上各项公告的原稿。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307E3" w:rsidRDefault="008E50D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w:t>
      </w:r>
      <w:r>
        <w:rPr>
          <w:color w:val="000000"/>
          <w:sz w:val="24"/>
          <w:szCs w:val="24"/>
        </w:rPr>
        <w:t>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8E50D1">
      <w:rPr>
        <w:noProof/>
        <w:kern w:val="0"/>
        <w:szCs w:val="21"/>
      </w:rPr>
      <w:t>12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8E50D1">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交银施罗德持续成长主题混合型证券投资基金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E3"/>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E50D1"/>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AD724E7-FDB3-4F56-AFEB-845329FA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ECAC0-C5B2-4097-876F-44CB4F871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12</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579</cp:revision>
  <dcterms:created xsi:type="dcterms:W3CDTF">2012-10-16T06:07:00Z</dcterms:created>
  <dcterms:modified xsi:type="dcterms:W3CDTF">2019-04-17T08:19:00Z</dcterms:modified>
</cp:coreProperties>
</file>