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交银施罗德丰润收益债券型证券投资基金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交银丰润收益债券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519743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w:t>
            </w:r>
            <w:r w:rsidRPr="00E25C2A">
              <w:rPr>
                <w:sz w:val="24"/>
              </w:rPr>
              <w:t>,</w:t>
            </w:r>
            <w:r w:rsidRPr="00E25C2A">
              <w:rPr>
                <w:sz w:val="24"/>
              </w:rPr>
              <w:t>本基金在基金合同生效之日起两年（含两年）的期间内封闭式运作（按照基金合同的约定提前转换基金运作方式的除外</w:t>
            </w:r>
            <w:r w:rsidRPr="00E25C2A">
              <w:rPr>
                <w:sz w:val="24"/>
              </w:rPr>
              <w:t>)</w:t>
            </w:r>
            <w:r w:rsidRPr="00E25C2A">
              <w:rPr>
                <w:sz w:val="24"/>
              </w:rPr>
              <w:t>，封闭期结束后转为开放式运作</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12</w:t>
            </w:r>
            <w:r w:rsidRPr="00E25C2A">
              <w:rPr>
                <w:sz w:val="24"/>
              </w:rPr>
              <w:t>月</w:t>
            </w:r>
            <w:r w:rsidRPr="00E25C2A">
              <w:rPr>
                <w:sz w:val="24"/>
              </w:rPr>
              <w:t>15</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1,079,293,816.82</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交银丰润收益债券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交银丰润收益债券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011DF4">
            <w:pPr>
              <w:spacing w:before="29" w:line="288" w:lineRule="auto"/>
              <w:jc w:val="center"/>
              <w:rPr>
                <w:sz w:val="24"/>
              </w:rPr>
            </w:pPr>
            <w:r w:rsidRPr="009C503F">
              <w:rPr>
                <w:color w:val="000000" w:themeColor="text1"/>
                <w:sz w:val="24"/>
              </w:rPr>
              <w:t>519743</w:t>
            </w:r>
          </w:p>
        </w:tc>
        <w:tc>
          <w:tcPr>
            <w:tcW w:w="2902" w:type="dxa"/>
            <w:vAlign w:val="center"/>
          </w:tcPr>
          <w:p w:rsidR="009511B7" w:rsidRPr="00E25C2A" w:rsidRDefault="009511B7" w:rsidP="0084545B">
            <w:pPr>
              <w:spacing w:before="29" w:line="288" w:lineRule="auto"/>
              <w:jc w:val="center"/>
              <w:rPr>
                <w:sz w:val="24"/>
              </w:rPr>
            </w:pPr>
            <w:r w:rsidRPr="00E25C2A">
              <w:rPr>
                <w:sz w:val="24"/>
              </w:rPr>
              <w:t>519745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1,078,374,867.81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918,949.01</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在严格控制风险的基础上</w:t>
            </w:r>
            <w:r w:rsidRPr="00CF0C3D">
              <w:rPr>
                <w:sz w:val="24"/>
              </w:rPr>
              <w:t>,</w:t>
            </w:r>
            <w:r w:rsidRPr="00CF0C3D">
              <w:rPr>
                <w:sz w:val="24"/>
              </w:rPr>
              <w:t>力求获得高于业绩基准的投资收益。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E6757E" w:rsidRDefault="00011DF4">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1A59F9" w:rsidRPr="00CF0C3D" w:rsidRDefault="001A59F9" w:rsidP="00CF0C3D">
            <w:pPr>
              <w:spacing w:before="29" w:line="288" w:lineRule="auto"/>
              <w:rPr>
                <w:sz w:val="24"/>
              </w:rPr>
            </w:pPr>
            <w:r w:rsidRPr="00CF0C3D">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w:t>
            </w:r>
            <w:r w:rsidRPr="00CF0C3D">
              <w:rPr>
                <w:sz w:val="24"/>
              </w:rPr>
              <w:lastRenderedPageBreak/>
              <w:t>各类债券的流动性、供求关系和收益率水平等，自下而上精选个券。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E6757E" w:rsidRDefault="00011DF4">
            <w:pPr>
              <w:spacing w:before="29" w:line="288" w:lineRule="auto"/>
              <w:rPr>
                <w:sz w:val="24"/>
              </w:rPr>
            </w:pPr>
            <w:r>
              <w:rPr>
                <w:sz w:val="24"/>
              </w:rPr>
              <w:t>封闭期内业绩比较基准：两年期银行定期存款税后收益率</w:t>
            </w:r>
            <w:r>
              <w:rPr>
                <w:sz w:val="24"/>
              </w:rPr>
              <w:t>+1.25%</w:t>
            </w:r>
          </w:p>
          <w:p w:rsidR="001A59F9" w:rsidRPr="00CF0C3D" w:rsidRDefault="001A59F9" w:rsidP="00CF0C3D">
            <w:pPr>
              <w:spacing w:before="29" w:line="288" w:lineRule="auto"/>
              <w:rPr>
                <w:sz w:val="24"/>
              </w:rPr>
            </w:pPr>
            <w:r w:rsidRPr="00CF0C3D">
              <w:rPr>
                <w:sz w:val="24"/>
              </w:rPr>
              <w:t>开放期内业绩比较基准：中债综合全价指数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交银丰润收益债券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199,574,618.30</w:t>
            </w:r>
          </w:p>
        </w:tc>
        <w:tc>
          <w:tcPr>
            <w:tcW w:w="688" w:type="pct"/>
            <w:vAlign w:val="center"/>
          </w:tcPr>
          <w:p w:rsidR="00B44DBC" w:rsidRPr="00A942AC" w:rsidRDefault="00B44DBC" w:rsidP="00674CBD">
            <w:pPr>
              <w:spacing w:before="29" w:line="288" w:lineRule="auto"/>
              <w:jc w:val="right"/>
              <w:rPr>
                <w:szCs w:val="21"/>
              </w:rPr>
            </w:pPr>
            <w:r w:rsidRPr="00A942AC">
              <w:rPr>
                <w:szCs w:val="21"/>
              </w:rPr>
              <w:t>137,220.01</w:t>
            </w:r>
          </w:p>
        </w:tc>
        <w:tc>
          <w:tcPr>
            <w:tcW w:w="687" w:type="pct"/>
            <w:vAlign w:val="center"/>
          </w:tcPr>
          <w:p w:rsidR="00B44DBC" w:rsidRPr="00A942AC" w:rsidRDefault="00B44DBC" w:rsidP="00674CBD">
            <w:pPr>
              <w:spacing w:before="29" w:line="288" w:lineRule="auto"/>
              <w:jc w:val="right"/>
              <w:rPr>
                <w:szCs w:val="21"/>
              </w:rPr>
            </w:pPr>
            <w:r w:rsidRPr="00A942AC">
              <w:rPr>
                <w:szCs w:val="21"/>
              </w:rPr>
              <w:t>24,567,629.36</w:t>
            </w:r>
          </w:p>
        </w:tc>
        <w:tc>
          <w:tcPr>
            <w:tcW w:w="688" w:type="pct"/>
            <w:vAlign w:val="center"/>
          </w:tcPr>
          <w:p w:rsidR="00B44DBC" w:rsidRPr="00A942AC" w:rsidRDefault="00B44DBC" w:rsidP="00674CBD">
            <w:pPr>
              <w:spacing w:before="29" w:line="288" w:lineRule="auto"/>
              <w:jc w:val="right"/>
              <w:rPr>
                <w:szCs w:val="21"/>
              </w:rPr>
            </w:pPr>
            <w:r w:rsidRPr="00A942AC">
              <w:rPr>
                <w:szCs w:val="21"/>
              </w:rPr>
              <w:t>3,554,309.10</w:t>
            </w:r>
          </w:p>
        </w:tc>
        <w:tc>
          <w:tcPr>
            <w:tcW w:w="762" w:type="pct"/>
            <w:vAlign w:val="center"/>
          </w:tcPr>
          <w:p w:rsidR="00B44DBC" w:rsidRPr="00A942AC" w:rsidRDefault="00B44DBC" w:rsidP="00674CBD">
            <w:pPr>
              <w:spacing w:before="29" w:line="288" w:lineRule="auto"/>
              <w:jc w:val="right"/>
              <w:rPr>
                <w:szCs w:val="21"/>
              </w:rPr>
            </w:pPr>
            <w:r w:rsidRPr="00A942AC">
              <w:rPr>
                <w:szCs w:val="21"/>
              </w:rPr>
              <w:t>31,582,810.67</w:t>
            </w:r>
          </w:p>
        </w:tc>
        <w:tc>
          <w:tcPr>
            <w:tcW w:w="666" w:type="pct"/>
            <w:vAlign w:val="center"/>
          </w:tcPr>
          <w:p w:rsidR="00B44DBC" w:rsidRPr="00A942AC" w:rsidRDefault="00B44DBC" w:rsidP="00674CBD">
            <w:pPr>
              <w:spacing w:before="29" w:line="288" w:lineRule="auto"/>
              <w:jc w:val="right"/>
              <w:rPr>
                <w:szCs w:val="21"/>
              </w:rPr>
            </w:pPr>
            <w:r w:rsidRPr="00A942AC">
              <w:rPr>
                <w:szCs w:val="21"/>
              </w:rPr>
              <w:t>1,684,030.24</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213,361,933.93</w:t>
            </w:r>
          </w:p>
        </w:tc>
        <w:tc>
          <w:tcPr>
            <w:tcW w:w="688" w:type="pct"/>
            <w:vAlign w:val="center"/>
          </w:tcPr>
          <w:p w:rsidR="00B44DBC" w:rsidRPr="00A942AC" w:rsidRDefault="00B44DBC" w:rsidP="00674CBD">
            <w:pPr>
              <w:spacing w:before="29" w:line="288" w:lineRule="auto"/>
              <w:jc w:val="right"/>
              <w:rPr>
                <w:szCs w:val="21"/>
              </w:rPr>
            </w:pPr>
            <w:r w:rsidRPr="00A942AC">
              <w:rPr>
                <w:szCs w:val="21"/>
              </w:rPr>
              <w:t>53,180.40</w:t>
            </w:r>
          </w:p>
        </w:tc>
        <w:tc>
          <w:tcPr>
            <w:tcW w:w="687" w:type="pct"/>
            <w:vAlign w:val="center"/>
          </w:tcPr>
          <w:p w:rsidR="00B44DBC" w:rsidRPr="00A942AC" w:rsidRDefault="00B44DBC" w:rsidP="00674CBD">
            <w:pPr>
              <w:spacing w:before="29" w:line="288" w:lineRule="auto"/>
              <w:jc w:val="right"/>
              <w:rPr>
                <w:szCs w:val="21"/>
              </w:rPr>
            </w:pPr>
            <w:r w:rsidRPr="00A942AC">
              <w:rPr>
                <w:szCs w:val="21"/>
              </w:rPr>
              <w:t>18,186,102.00</w:t>
            </w:r>
          </w:p>
        </w:tc>
        <w:tc>
          <w:tcPr>
            <w:tcW w:w="688" w:type="pct"/>
            <w:vAlign w:val="center"/>
          </w:tcPr>
          <w:p w:rsidR="00B44DBC" w:rsidRPr="00A942AC" w:rsidRDefault="00B44DBC" w:rsidP="00674CBD">
            <w:pPr>
              <w:spacing w:before="29" w:line="288" w:lineRule="auto"/>
              <w:jc w:val="right"/>
              <w:rPr>
                <w:szCs w:val="21"/>
              </w:rPr>
            </w:pPr>
            <w:r w:rsidRPr="00A942AC">
              <w:rPr>
                <w:szCs w:val="21"/>
              </w:rPr>
              <w:t>3,462,210.26</w:t>
            </w:r>
          </w:p>
        </w:tc>
        <w:tc>
          <w:tcPr>
            <w:tcW w:w="762" w:type="pct"/>
            <w:vAlign w:val="center"/>
          </w:tcPr>
          <w:p w:rsidR="00B44DBC" w:rsidRPr="00A942AC" w:rsidRDefault="00B44DBC" w:rsidP="00674CBD">
            <w:pPr>
              <w:spacing w:before="29" w:line="288" w:lineRule="auto"/>
              <w:jc w:val="right"/>
              <w:rPr>
                <w:szCs w:val="21"/>
              </w:rPr>
            </w:pPr>
            <w:r w:rsidRPr="00A942AC">
              <w:rPr>
                <w:szCs w:val="21"/>
              </w:rPr>
              <w:t>15,218,704.61</w:t>
            </w:r>
          </w:p>
        </w:tc>
        <w:tc>
          <w:tcPr>
            <w:tcW w:w="666" w:type="pct"/>
            <w:vAlign w:val="center"/>
          </w:tcPr>
          <w:p w:rsidR="00B44DBC" w:rsidRPr="00A942AC" w:rsidRDefault="00B44DBC" w:rsidP="00674CBD">
            <w:pPr>
              <w:spacing w:before="29" w:line="288" w:lineRule="auto"/>
              <w:jc w:val="right"/>
              <w:rPr>
                <w:szCs w:val="21"/>
              </w:rPr>
            </w:pPr>
            <w:r w:rsidRPr="00A942AC">
              <w:rPr>
                <w:szCs w:val="21"/>
              </w:rPr>
              <w:t>742,036.93</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0.0729</w:t>
            </w:r>
          </w:p>
        </w:tc>
        <w:tc>
          <w:tcPr>
            <w:tcW w:w="688" w:type="pct"/>
            <w:vAlign w:val="center"/>
          </w:tcPr>
          <w:p w:rsidR="008C42FD" w:rsidRPr="00E52F9F" w:rsidRDefault="008C42FD" w:rsidP="00AF7CB5">
            <w:pPr>
              <w:spacing w:before="29" w:line="288" w:lineRule="auto"/>
              <w:jc w:val="right"/>
              <w:rPr>
                <w:szCs w:val="21"/>
              </w:rPr>
            </w:pPr>
            <w:r w:rsidRPr="00E52F9F">
              <w:rPr>
                <w:szCs w:val="21"/>
              </w:rPr>
              <w:t>0.0506</w:t>
            </w:r>
          </w:p>
        </w:tc>
        <w:tc>
          <w:tcPr>
            <w:tcW w:w="687" w:type="pct"/>
            <w:vAlign w:val="center"/>
          </w:tcPr>
          <w:p w:rsidR="008C42FD" w:rsidRPr="00E52F9F" w:rsidRDefault="008C42FD" w:rsidP="00AF7CB5">
            <w:pPr>
              <w:spacing w:before="29" w:line="288" w:lineRule="auto"/>
              <w:jc w:val="right"/>
              <w:rPr>
                <w:szCs w:val="21"/>
              </w:rPr>
            </w:pPr>
            <w:r w:rsidRPr="00E52F9F">
              <w:rPr>
                <w:szCs w:val="21"/>
              </w:rPr>
              <w:t>0.0263</w:t>
            </w:r>
          </w:p>
        </w:tc>
        <w:tc>
          <w:tcPr>
            <w:tcW w:w="688" w:type="pct"/>
            <w:vAlign w:val="center"/>
          </w:tcPr>
          <w:p w:rsidR="008C42FD" w:rsidRPr="00E52F9F" w:rsidRDefault="008C42FD" w:rsidP="00AF7CB5">
            <w:pPr>
              <w:spacing w:before="29" w:line="288" w:lineRule="auto"/>
              <w:jc w:val="right"/>
              <w:rPr>
                <w:szCs w:val="21"/>
              </w:rPr>
            </w:pPr>
            <w:r w:rsidRPr="00E52F9F">
              <w:rPr>
                <w:szCs w:val="21"/>
              </w:rPr>
              <w:t>0.0233</w:t>
            </w:r>
          </w:p>
        </w:tc>
        <w:tc>
          <w:tcPr>
            <w:tcW w:w="762" w:type="pct"/>
            <w:vAlign w:val="center"/>
          </w:tcPr>
          <w:p w:rsidR="008C42FD" w:rsidRPr="00E52F9F" w:rsidRDefault="008C42FD" w:rsidP="00AF7CB5">
            <w:pPr>
              <w:spacing w:before="29" w:line="288" w:lineRule="auto"/>
              <w:jc w:val="right"/>
              <w:rPr>
                <w:szCs w:val="21"/>
              </w:rPr>
            </w:pPr>
            <w:r w:rsidRPr="00E52F9F">
              <w:rPr>
                <w:szCs w:val="21"/>
              </w:rPr>
              <w:t>0.0390</w:t>
            </w:r>
          </w:p>
        </w:tc>
        <w:tc>
          <w:tcPr>
            <w:tcW w:w="666" w:type="pct"/>
            <w:vAlign w:val="center"/>
          </w:tcPr>
          <w:p w:rsidR="008C42FD" w:rsidRPr="00E52F9F" w:rsidRDefault="008C42FD" w:rsidP="00AF7CB5">
            <w:pPr>
              <w:spacing w:before="29" w:line="288" w:lineRule="auto"/>
              <w:jc w:val="right"/>
              <w:rPr>
                <w:szCs w:val="21"/>
              </w:rPr>
            </w:pPr>
            <w:r w:rsidRPr="00E52F9F">
              <w:rPr>
                <w:szCs w:val="21"/>
              </w:rPr>
              <w:t>0.0325</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6.06%</w:t>
            </w:r>
          </w:p>
        </w:tc>
        <w:tc>
          <w:tcPr>
            <w:tcW w:w="688" w:type="pct"/>
            <w:vAlign w:val="center"/>
          </w:tcPr>
          <w:p w:rsidR="00A62AD8" w:rsidRPr="00A942AC" w:rsidRDefault="00A62AD8" w:rsidP="00674CBD">
            <w:pPr>
              <w:spacing w:before="29" w:line="288" w:lineRule="auto"/>
              <w:jc w:val="right"/>
              <w:rPr>
                <w:szCs w:val="21"/>
              </w:rPr>
            </w:pPr>
            <w:r w:rsidRPr="00A942AC">
              <w:rPr>
                <w:szCs w:val="21"/>
              </w:rPr>
              <w:t>5.30%</w:t>
            </w:r>
          </w:p>
        </w:tc>
        <w:tc>
          <w:tcPr>
            <w:tcW w:w="687" w:type="pct"/>
            <w:vAlign w:val="center"/>
          </w:tcPr>
          <w:p w:rsidR="00A62AD8" w:rsidRPr="00A942AC" w:rsidRDefault="00A62AD8" w:rsidP="00674CBD">
            <w:pPr>
              <w:spacing w:before="29" w:line="288" w:lineRule="auto"/>
              <w:jc w:val="right"/>
              <w:rPr>
                <w:szCs w:val="21"/>
              </w:rPr>
            </w:pPr>
            <w:r w:rsidRPr="00A942AC">
              <w:rPr>
                <w:szCs w:val="21"/>
              </w:rPr>
              <w:t>1.48%</w:t>
            </w:r>
          </w:p>
        </w:tc>
        <w:tc>
          <w:tcPr>
            <w:tcW w:w="688" w:type="pct"/>
            <w:vAlign w:val="center"/>
          </w:tcPr>
          <w:p w:rsidR="00A62AD8" w:rsidRPr="00A942AC" w:rsidRDefault="00A62AD8" w:rsidP="00674CBD">
            <w:pPr>
              <w:spacing w:before="29" w:line="288" w:lineRule="auto"/>
              <w:jc w:val="right"/>
              <w:rPr>
                <w:szCs w:val="21"/>
              </w:rPr>
            </w:pPr>
            <w:r w:rsidRPr="00A942AC">
              <w:rPr>
                <w:szCs w:val="21"/>
              </w:rPr>
              <w:t>-1.78%</w:t>
            </w:r>
          </w:p>
        </w:tc>
        <w:tc>
          <w:tcPr>
            <w:tcW w:w="762" w:type="pct"/>
            <w:vAlign w:val="center"/>
          </w:tcPr>
          <w:p w:rsidR="00A62AD8" w:rsidRPr="00A942AC" w:rsidRDefault="00A62AD8" w:rsidP="00674CBD">
            <w:pPr>
              <w:spacing w:before="29" w:line="288" w:lineRule="auto"/>
              <w:jc w:val="right"/>
              <w:rPr>
                <w:szCs w:val="21"/>
              </w:rPr>
            </w:pPr>
            <w:r w:rsidRPr="00A942AC">
              <w:rPr>
                <w:szCs w:val="21"/>
              </w:rPr>
              <w:t>3.81%</w:t>
            </w:r>
          </w:p>
        </w:tc>
        <w:tc>
          <w:tcPr>
            <w:tcW w:w="666" w:type="pct"/>
            <w:vAlign w:val="center"/>
          </w:tcPr>
          <w:p w:rsidR="00A62AD8" w:rsidRPr="00A942AC" w:rsidRDefault="00A62AD8" w:rsidP="00674CBD">
            <w:pPr>
              <w:spacing w:before="29" w:line="288" w:lineRule="auto"/>
              <w:jc w:val="right"/>
              <w:rPr>
                <w:szCs w:val="21"/>
              </w:rPr>
            </w:pPr>
            <w:r w:rsidRPr="00A942AC">
              <w:rPr>
                <w:szCs w:val="21"/>
              </w:rPr>
              <w:t>3.05%</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交银丰润收益债券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0.050</w:t>
            </w:r>
          </w:p>
        </w:tc>
        <w:tc>
          <w:tcPr>
            <w:tcW w:w="687" w:type="pct"/>
            <w:vAlign w:val="center"/>
          </w:tcPr>
          <w:p w:rsidR="00B44DBC" w:rsidRPr="00A942AC" w:rsidRDefault="00B44DBC" w:rsidP="00674CBD">
            <w:pPr>
              <w:spacing w:before="29" w:line="288" w:lineRule="auto"/>
              <w:jc w:val="right"/>
              <w:rPr>
                <w:szCs w:val="21"/>
              </w:rPr>
            </w:pPr>
            <w:r w:rsidRPr="00A942AC">
              <w:rPr>
                <w:szCs w:val="21"/>
              </w:rPr>
              <w:t>0.044</w:t>
            </w:r>
          </w:p>
        </w:tc>
        <w:tc>
          <w:tcPr>
            <w:tcW w:w="687" w:type="pct"/>
            <w:vAlign w:val="center"/>
          </w:tcPr>
          <w:p w:rsidR="00B44DBC" w:rsidRPr="00A942AC" w:rsidRDefault="00B44DBC" w:rsidP="00674CBD">
            <w:pPr>
              <w:spacing w:before="29" w:line="288" w:lineRule="auto"/>
              <w:jc w:val="right"/>
              <w:rPr>
                <w:szCs w:val="21"/>
              </w:rPr>
            </w:pPr>
            <w:r w:rsidRPr="00A942AC">
              <w:rPr>
                <w:szCs w:val="21"/>
              </w:rPr>
              <w:t>0.026</w:t>
            </w:r>
          </w:p>
        </w:tc>
        <w:tc>
          <w:tcPr>
            <w:tcW w:w="687" w:type="pct"/>
            <w:vAlign w:val="center"/>
          </w:tcPr>
          <w:p w:rsidR="00B44DBC" w:rsidRPr="00A942AC" w:rsidRDefault="00B44DBC" w:rsidP="00674CBD">
            <w:pPr>
              <w:spacing w:before="29" w:line="288" w:lineRule="auto"/>
              <w:jc w:val="right"/>
              <w:rPr>
                <w:szCs w:val="21"/>
              </w:rPr>
            </w:pPr>
            <w:r w:rsidRPr="00A942AC">
              <w:rPr>
                <w:szCs w:val="21"/>
              </w:rPr>
              <w:t>-0.009</w:t>
            </w:r>
          </w:p>
        </w:tc>
        <w:tc>
          <w:tcPr>
            <w:tcW w:w="764" w:type="pct"/>
            <w:vAlign w:val="center"/>
          </w:tcPr>
          <w:p w:rsidR="00B44DBC" w:rsidRPr="00A942AC" w:rsidRDefault="00B44DBC" w:rsidP="00674CBD">
            <w:pPr>
              <w:spacing w:before="29" w:line="288" w:lineRule="auto"/>
              <w:jc w:val="right"/>
              <w:rPr>
                <w:szCs w:val="21"/>
              </w:rPr>
            </w:pPr>
            <w:r w:rsidRPr="00A942AC">
              <w:rPr>
                <w:szCs w:val="21"/>
              </w:rPr>
              <w:t>0.010</w:t>
            </w:r>
          </w:p>
        </w:tc>
        <w:tc>
          <w:tcPr>
            <w:tcW w:w="667" w:type="pct"/>
            <w:vAlign w:val="center"/>
          </w:tcPr>
          <w:p w:rsidR="00B44DBC" w:rsidRPr="00A942AC" w:rsidRDefault="00B44DBC" w:rsidP="00674CBD">
            <w:pPr>
              <w:spacing w:before="29" w:line="288" w:lineRule="auto"/>
              <w:jc w:val="right"/>
              <w:rPr>
                <w:szCs w:val="21"/>
              </w:rPr>
            </w:pPr>
            <w:r w:rsidRPr="00A942AC">
              <w:rPr>
                <w:szCs w:val="21"/>
              </w:rPr>
              <w:t>0.008</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1,132,106,669.78</w:t>
            </w:r>
          </w:p>
        </w:tc>
        <w:tc>
          <w:tcPr>
            <w:tcW w:w="687" w:type="pct"/>
            <w:vAlign w:val="center"/>
          </w:tcPr>
          <w:p w:rsidR="00B44DBC" w:rsidRPr="00A942AC" w:rsidRDefault="00B44DBC" w:rsidP="00674CBD">
            <w:pPr>
              <w:spacing w:before="29" w:line="288" w:lineRule="auto"/>
              <w:jc w:val="right"/>
              <w:rPr>
                <w:szCs w:val="21"/>
              </w:rPr>
            </w:pPr>
            <w:r w:rsidRPr="00A942AC">
              <w:rPr>
                <w:szCs w:val="21"/>
              </w:rPr>
              <w:t>958,929.55</w:t>
            </w:r>
          </w:p>
        </w:tc>
        <w:tc>
          <w:tcPr>
            <w:tcW w:w="687" w:type="pct"/>
            <w:vAlign w:val="center"/>
          </w:tcPr>
          <w:p w:rsidR="00B44DBC" w:rsidRPr="00A942AC" w:rsidRDefault="00B44DBC" w:rsidP="00674CBD">
            <w:pPr>
              <w:spacing w:before="29" w:line="288" w:lineRule="auto"/>
              <w:jc w:val="right"/>
              <w:rPr>
                <w:szCs w:val="21"/>
              </w:rPr>
            </w:pPr>
            <w:r w:rsidRPr="00A942AC">
              <w:rPr>
                <w:szCs w:val="21"/>
              </w:rPr>
              <w:t>5,037,135,708.74</w:t>
            </w:r>
          </w:p>
        </w:tc>
        <w:tc>
          <w:tcPr>
            <w:tcW w:w="687" w:type="pct"/>
            <w:vAlign w:val="center"/>
          </w:tcPr>
          <w:p w:rsidR="00B44DBC" w:rsidRPr="00A942AC" w:rsidRDefault="00B44DBC" w:rsidP="00674CBD">
            <w:pPr>
              <w:spacing w:before="29" w:line="288" w:lineRule="auto"/>
              <w:jc w:val="right"/>
              <w:rPr>
                <w:szCs w:val="21"/>
              </w:rPr>
            </w:pPr>
            <w:r w:rsidRPr="00A942AC">
              <w:rPr>
                <w:szCs w:val="21"/>
              </w:rPr>
              <w:t>1,967,327.98</w:t>
            </w:r>
          </w:p>
        </w:tc>
        <w:tc>
          <w:tcPr>
            <w:tcW w:w="764" w:type="pct"/>
            <w:vAlign w:val="center"/>
          </w:tcPr>
          <w:p w:rsidR="00B44DBC" w:rsidRPr="00A942AC" w:rsidRDefault="00B44DBC" w:rsidP="00674CBD">
            <w:pPr>
              <w:spacing w:before="29" w:line="288" w:lineRule="auto"/>
              <w:jc w:val="right"/>
              <w:rPr>
                <w:szCs w:val="21"/>
              </w:rPr>
            </w:pPr>
            <w:r w:rsidRPr="00A942AC">
              <w:rPr>
                <w:szCs w:val="21"/>
              </w:rPr>
              <w:t>71,390,346.15</w:t>
            </w:r>
          </w:p>
        </w:tc>
        <w:tc>
          <w:tcPr>
            <w:tcW w:w="667" w:type="pct"/>
            <w:vAlign w:val="center"/>
          </w:tcPr>
          <w:p w:rsidR="00B44DBC" w:rsidRPr="00A942AC" w:rsidRDefault="00B44DBC" w:rsidP="00674CBD">
            <w:pPr>
              <w:spacing w:before="29" w:line="288" w:lineRule="auto"/>
              <w:jc w:val="right"/>
              <w:rPr>
                <w:szCs w:val="21"/>
              </w:rPr>
            </w:pPr>
            <w:r w:rsidRPr="00A942AC">
              <w:rPr>
                <w:szCs w:val="21"/>
              </w:rPr>
              <w:t>8,481,404.78</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1.0498</w:t>
            </w:r>
          </w:p>
        </w:tc>
        <w:tc>
          <w:tcPr>
            <w:tcW w:w="687" w:type="pct"/>
            <w:vAlign w:val="center"/>
          </w:tcPr>
          <w:p w:rsidR="00B44DBC" w:rsidRPr="00A942AC" w:rsidRDefault="00B44DBC" w:rsidP="00674CBD">
            <w:pPr>
              <w:spacing w:before="29" w:line="288" w:lineRule="auto"/>
              <w:jc w:val="right"/>
              <w:rPr>
                <w:szCs w:val="21"/>
              </w:rPr>
            </w:pPr>
            <w:r w:rsidRPr="00A942AC">
              <w:rPr>
                <w:szCs w:val="21"/>
              </w:rPr>
              <w:t>1.0435</w:t>
            </w:r>
          </w:p>
        </w:tc>
        <w:tc>
          <w:tcPr>
            <w:tcW w:w="687" w:type="pct"/>
            <w:vAlign w:val="center"/>
          </w:tcPr>
          <w:p w:rsidR="00B44DBC" w:rsidRPr="00A942AC" w:rsidRDefault="00B44DBC" w:rsidP="00674CBD">
            <w:pPr>
              <w:spacing w:before="29" w:line="288" w:lineRule="auto"/>
              <w:jc w:val="right"/>
              <w:rPr>
                <w:szCs w:val="21"/>
              </w:rPr>
            </w:pPr>
            <w:r w:rsidRPr="00A942AC">
              <w:rPr>
                <w:szCs w:val="21"/>
              </w:rPr>
              <w:t>1.0260</w:t>
            </w:r>
          </w:p>
        </w:tc>
        <w:tc>
          <w:tcPr>
            <w:tcW w:w="687" w:type="pct"/>
            <w:vAlign w:val="center"/>
          </w:tcPr>
          <w:p w:rsidR="00B44DBC" w:rsidRPr="00A942AC" w:rsidRDefault="00B44DBC" w:rsidP="00674CBD">
            <w:pPr>
              <w:spacing w:before="29" w:line="288" w:lineRule="auto"/>
              <w:jc w:val="right"/>
              <w:rPr>
                <w:szCs w:val="21"/>
              </w:rPr>
            </w:pPr>
            <w:r w:rsidRPr="00A942AC">
              <w:rPr>
                <w:szCs w:val="21"/>
              </w:rPr>
              <w:t>0.9910</w:t>
            </w:r>
          </w:p>
        </w:tc>
        <w:tc>
          <w:tcPr>
            <w:tcW w:w="764" w:type="pct"/>
            <w:vAlign w:val="center"/>
          </w:tcPr>
          <w:p w:rsidR="00B44DBC" w:rsidRPr="00A942AC" w:rsidRDefault="00B44DBC" w:rsidP="00674CBD">
            <w:pPr>
              <w:spacing w:before="29" w:line="288" w:lineRule="auto"/>
              <w:jc w:val="right"/>
              <w:rPr>
                <w:szCs w:val="21"/>
              </w:rPr>
            </w:pPr>
            <w:r w:rsidRPr="00A942AC">
              <w:rPr>
                <w:szCs w:val="21"/>
              </w:rPr>
              <w:t>1.0110</w:t>
            </w:r>
          </w:p>
        </w:tc>
        <w:tc>
          <w:tcPr>
            <w:tcW w:w="667" w:type="pct"/>
            <w:vAlign w:val="center"/>
          </w:tcPr>
          <w:p w:rsidR="00B44DBC" w:rsidRPr="00A942AC" w:rsidRDefault="00B44DBC" w:rsidP="00674CBD">
            <w:pPr>
              <w:spacing w:before="29" w:line="288" w:lineRule="auto"/>
              <w:jc w:val="right"/>
              <w:rPr>
                <w:szCs w:val="21"/>
              </w:rPr>
            </w:pPr>
            <w:r w:rsidRPr="00A942AC">
              <w:rPr>
                <w:szCs w:val="21"/>
              </w:rPr>
              <w:t>1.0090</w:t>
            </w:r>
          </w:p>
        </w:tc>
      </w:tr>
    </w:tbl>
    <w:p w:rsidR="00E6757E" w:rsidRDefault="00011DF4">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交银丰润收益债券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E6757E">
        <w:tc>
          <w:tcPr>
            <w:tcW w:w="1286" w:type="dxa"/>
            <w:vAlign w:val="center"/>
          </w:tcPr>
          <w:p w:rsidR="00E6757E" w:rsidRDefault="00011DF4">
            <w:pPr>
              <w:jc w:val="left"/>
            </w:pPr>
            <w:r>
              <w:rPr>
                <w:color w:val="000000"/>
                <w:sz w:val="24"/>
              </w:rPr>
              <w:t>过去三个月</w:t>
            </w:r>
          </w:p>
        </w:tc>
        <w:tc>
          <w:tcPr>
            <w:tcW w:w="1286" w:type="dxa"/>
            <w:vAlign w:val="center"/>
          </w:tcPr>
          <w:p w:rsidR="00E6757E" w:rsidRDefault="00011DF4">
            <w:pPr>
              <w:jc w:val="center"/>
            </w:pPr>
            <w:r>
              <w:rPr>
                <w:color w:val="000000"/>
                <w:sz w:val="24"/>
              </w:rPr>
              <w:t>1.68%</w:t>
            </w:r>
          </w:p>
        </w:tc>
        <w:tc>
          <w:tcPr>
            <w:tcW w:w="1286" w:type="dxa"/>
            <w:vAlign w:val="center"/>
          </w:tcPr>
          <w:p w:rsidR="00E6757E" w:rsidRDefault="00011DF4">
            <w:pPr>
              <w:jc w:val="center"/>
            </w:pPr>
            <w:r>
              <w:rPr>
                <w:color w:val="000000"/>
                <w:sz w:val="24"/>
              </w:rPr>
              <w:t>0.06%</w:t>
            </w:r>
          </w:p>
        </w:tc>
        <w:tc>
          <w:tcPr>
            <w:tcW w:w="1285" w:type="dxa"/>
            <w:vAlign w:val="center"/>
          </w:tcPr>
          <w:p w:rsidR="00E6757E" w:rsidRDefault="00011DF4">
            <w:pPr>
              <w:jc w:val="center"/>
            </w:pPr>
            <w:r>
              <w:rPr>
                <w:color w:val="000000"/>
                <w:sz w:val="24"/>
              </w:rPr>
              <w:t>1.99%</w:t>
            </w:r>
          </w:p>
        </w:tc>
        <w:tc>
          <w:tcPr>
            <w:tcW w:w="1285" w:type="dxa"/>
            <w:vAlign w:val="center"/>
          </w:tcPr>
          <w:p w:rsidR="00E6757E" w:rsidRDefault="00011DF4">
            <w:pPr>
              <w:jc w:val="center"/>
            </w:pPr>
            <w:r>
              <w:rPr>
                <w:color w:val="000000"/>
                <w:sz w:val="24"/>
              </w:rPr>
              <w:t>0.05%</w:t>
            </w:r>
          </w:p>
        </w:tc>
        <w:tc>
          <w:tcPr>
            <w:tcW w:w="1285" w:type="dxa"/>
            <w:vAlign w:val="center"/>
          </w:tcPr>
          <w:p w:rsidR="00E6757E" w:rsidRDefault="00011DF4">
            <w:pPr>
              <w:jc w:val="center"/>
            </w:pPr>
            <w:r>
              <w:rPr>
                <w:color w:val="000000"/>
                <w:sz w:val="24"/>
              </w:rPr>
              <w:t>-0.31%</w:t>
            </w:r>
          </w:p>
        </w:tc>
        <w:tc>
          <w:tcPr>
            <w:tcW w:w="1285" w:type="dxa"/>
            <w:vAlign w:val="center"/>
          </w:tcPr>
          <w:p w:rsidR="00E6757E" w:rsidRDefault="00011DF4">
            <w:pPr>
              <w:jc w:val="center"/>
            </w:pPr>
            <w:r>
              <w:rPr>
                <w:color w:val="000000"/>
                <w:sz w:val="24"/>
              </w:rPr>
              <w:t>0.01%</w:t>
            </w:r>
          </w:p>
        </w:tc>
      </w:tr>
      <w:tr w:rsidR="00E6757E">
        <w:tc>
          <w:tcPr>
            <w:tcW w:w="1286" w:type="dxa"/>
            <w:vAlign w:val="center"/>
          </w:tcPr>
          <w:p w:rsidR="00E6757E" w:rsidRDefault="00011DF4">
            <w:pPr>
              <w:jc w:val="left"/>
            </w:pPr>
            <w:r>
              <w:rPr>
                <w:color w:val="000000"/>
                <w:sz w:val="24"/>
              </w:rPr>
              <w:t>过去六个月</w:t>
            </w:r>
          </w:p>
        </w:tc>
        <w:tc>
          <w:tcPr>
            <w:tcW w:w="1286" w:type="dxa"/>
            <w:vAlign w:val="center"/>
          </w:tcPr>
          <w:p w:rsidR="00E6757E" w:rsidRDefault="00011DF4">
            <w:pPr>
              <w:jc w:val="center"/>
            </w:pPr>
            <w:r>
              <w:rPr>
                <w:color w:val="000000"/>
                <w:sz w:val="24"/>
              </w:rPr>
              <w:t>2.72%</w:t>
            </w:r>
          </w:p>
        </w:tc>
        <w:tc>
          <w:tcPr>
            <w:tcW w:w="1286" w:type="dxa"/>
            <w:vAlign w:val="center"/>
          </w:tcPr>
          <w:p w:rsidR="00E6757E" w:rsidRDefault="00011DF4">
            <w:pPr>
              <w:jc w:val="center"/>
            </w:pPr>
            <w:r>
              <w:rPr>
                <w:color w:val="000000"/>
                <w:sz w:val="24"/>
              </w:rPr>
              <w:t>0.05%</w:t>
            </w:r>
          </w:p>
        </w:tc>
        <w:tc>
          <w:tcPr>
            <w:tcW w:w="1285" w:type="dxa"/>
            <w:vAlign w:val="center"/>
          </w:tcPr>
          <w:p w:rsidR="00E6757E" w:rsidRDefault="00011DF4">
            <w:pPr>
              <w:jc w:val="center"/>
            </w:pPr>
            <w:r>
              <w:rPr>
                <w:color w:val="000000"/>
                <w:sz w:val="24"/>
              </w:rPr>
              <w:t>2.57%</w:t>
            </w:r>
          </w:p>
        </w:tc>
        <w:tc>
          <w:tcPr>
            <w:tcW w:w="1285" w:type="dxa"/>
            <w:vAlign w:val="center"/>
          </w:tcPr>
          <w:p w:rsidR="00E6757E" w:rsidRDefault="00011DF4">
            <w:pPr>
              <w:jc w:val="center"/>
            </w:pPr>
            <w:r>
              <w:rPr>
                <w:color w:val="000000"/>
                <w:sz w:val="24"/>
              </w:rPr>
              <w:t>0.06%</w:t>
            </w:r>
          </w:p>
        </w:tc>
        <w:tc>
          <w:tcPr>
            <w:tcW w:w="1285" w:type="dxa"/>
            <w:vAlign w:val="center"/>
          </w:tcPr>
          <w:p w:rsidR="00E6757E" w:rsidRDefault="00011DF4">
            <w:pPr>
              <w:jc w:val="center"/>
            </w:pPr>
            <w:r>
              <w:rPr>
                <w:color w:val="000000"/>
                <w:sz w:val="24"/>
              </w:rPr>
              <w:t>0.15%</w:t>
            </w:r>
          </w:p>
        </w:tc>
        <w:tc>
          <w:tcPr>
            <w:tcW w:w="1285" w:type="dxa"/>
            <w:vAlign w:val="center"/>
          </w:tcPr>
          <w:p w:rsidR="00E6757E" w:rsidRDefault="00011DF4">
            <w:pPr>
              <w:jc w:val="center"/>
            </w:pPr>
            <w:r>
              <w:rPr>
                <w:color w:val="000000"/>
                <w:sz w:val="24"/>
              </w:rPr>
              <w:t>-0.01%</w:t>
            </w:r>
          </w:p>
        </w:tc>
      </w:tr>
      <w:tr w:rsidR="00E6757E">
        <w:tc>
          <w:tcPr>
            <w:tcW w:w="1286" w:type="dxa"/>
            <w:vAlign w:val="center"/>
          </w:tcPr>
          <w:p w:rsidR="00E6757E" w:rsidRDefault="00011DF4">
            <w:pPr>
              <w:jc w:val="left"/>
            </w:pPr>
            <w:r>
              <w:rPr>
                <w:color w:val="000000"/>
                <w:sz w:val="24"/>
              </w:rPr>
              <w:t>过去一年</w:t>
            </w:r>
          </w:p>
        </w:tc>
        <w:tc>
          <w:tcPr>
            <w:tcW w:w="1286" w:type="dxa"/>
            <w:vAlign w:val="center"/>
          </w:tcPr>
          <w:p w:rsidR="00E6757E" w:rsidRDefault="00011DF4">
            <w:pPr>
              <w:jc w:val="center"/>
            </w:pPr>
            <w:r>
              <w:rPr>
                <w:color w:val="000000"/>
                <w:sz w:val="24"/>
              </w:rPr>
              <w:t>6.06%</w:t>
            </w:r>
          </w:p>
        </w:tc>
        <w:tc>
          <w:tcPr>
            <w:tcW w:w="1286" w:type="dxa"/>
            <w:vAlign w:val="center"/>
          </w:tcPr>
          <w:p w:rsidR="00E6757E" w:rsidRDefault="00011DF4">
            <w:pPr>
              <w:jc w:val="center"/>
            </w:pPr>
            <w:r>
              <w:rPr>
                <w:color w:val="000000"/>
                <w:sz w:val="24"/>
              </w:rPr>
              <w:t>0.06%</w:t>
            </w:r>
          </w:p>
        </w:tc>
        <w:tc>
          <w:tcPr>
            <w:tcW w:w="1285" w:type="dxa"/>
            <w:vAlign w:val="center"/>
          </w:tcPr>
          <w:p w:rsidR="00E6757E" w:rsidRDefault="00011DF4">
            <w:pPr>
              <w:jc w:val="center"/>
            </w:pPr>
            <w:r>
              <w:rPr>
                <w:color w:val="000000"/>
                <w:sz w:val="24"/>
              </w:rPr>
              <w:t>4.79%</w:t>
            </w:r>
          </w:p>
        </w:tc>
        <w:tc>
          <w:tcPr>
            <w:tcW w:w="1285" w:type="dxa"/>
            <w:vAlign w:val="center"/>
          </w:tcPr>
          <w:p w:rsidR="00E6757E" w:rsidRDefault="00011DF4">
            <w:pPr>
              <w:jc w:val="center"/>
            </w:pPr>
            <w:r>
              <w:rPr>
                <w:color w:val="000000"/>
                <w:sz w:val="24"/>
              </w:rPr>
              <w:t>0.07%</w:t>
            </w:r>
          </w:p>
        </w:tc>
        <w:tc>
          <w:tcPr>
            <w:tcW w:w="1285" w:type="dxa"/>
            <w:vAlign w:val="center"/>
          </w:tcPr>
          <w:p w:rsidR="00E6757E" w:rsidRDefault="00011DF4">
            <w:pPr>
              <w:jc w:val="center"/>
            </w:pPr>
            <w:r>
              <w:rPr>
                <w:color w:val="000000"/>
                <w:sz w:val="24"/>
              </w:rPr>
              <w:t>1.27%</w:t>
            </w:r>
          </w:p>
        </w:tc>
        <w:tc>
          <w:tcPr>
            <w:tcW w:w="1285" w:type="dxa"/>
            <w:vAlign w:val="center"/>
          </w:tcPr>
          <w:p w:rsidR="00E6757E" w:rsidRDefault="00011DF4">
            <w:pPr>
              <w:jc w:val="center"/>
            </w:pPr>
            <w:r>
              <w:rPr>
                <w:color w:val="000000"/>
                <w:sz w:val="24"/>
              </w:rPr>
              <w:t>-0.01%</w:t>
            </w:r>
          </w:p>
        </w:tc>
      </w:tr>
      <w:tr w:rsidR="00E6757E">
        <w:tc>
          <w:tcPr>
            <w:tcW w:w="1286" w:type="dxa"/>
            <w:vAlign w:val="center"/>
          </w:tcPr>
          <w:p w:rsidR="00E6757E" w:rsidRDefault="00011DF4">
            <w:pPr>
              <w:jc w:val="left"/>
            </w:pPr>
            <w:r>
              <w:rPr>
                <w:color w:val="000000"/>
                <w:sz w:val="24"/>
              </w:rPr>
              <w:t>自基金合同生效起至今</w:t>
            </w:r>
          </w:p>
        </w:tc>
        <w:tc>
          <w:tcPr>
            <w:tcW w:w="1286" w:type="dxa"/>
            <w:vAlign w:val="center"/>
          </w:tcPr>
          <w:p w:rsidR="00E6757E" w:rsidRDefault="00011DF4">
            <w:pPr>
              <w:jc w:val="center"/>
            </w:pPr>
            <w:r>
              <w:rPr>
                <w:color w:val="000000"/>
                <w:sz w:val="24"/>
              </w:rPr>
              <w:t>23.36%</w:t>
            </w:r>
          </w:p>
        </w:tc>
        <w:tc>
          <w:tcPr>
            <w:tcW w:w="1286" w:type="dxa"/>
            <w:vAlign w:val="center"/>
          </w:tcPr>
          <w:p w:rsidR="00E6757E" w:rsidRDefault="00011DF4">
            <w:pPr>
              <w:jc w:val="center"/>
            </w:pPr>
            <w:r>
              <w:rPr>
                <w:color w:val="000000"/>
                <w:sz w:val="24"/>
              </w:rPr>
              <w:t>0.09%</w:t>
            </w:r>
          </w:p>
        </w:tc>
        <w:tc>
          <w:tcPr>
            <w:tcW w:w="1285" w:type="dxa"/>
            <w:vAlign w:val="center"/>
          </w:tcPr>
          <w:p w:rsidR="00E6757E" w:rsidRDefault="00011DF4">
            <w:pPr>
              <w:jc w:val="center"/>
            </w:pPr>
            <w:r>
              <w:rPr>
                <w:color w:val="000000"/>
                <w:sz w:val="24"/>
              </w:rPr>
              <w:t>9.65%</w:t>
            </w:r>
          </w:p>
        </w:tc>
        <w:tc>
          <w:tcPr>
            <w:tcW w:w="1285" w:type="dxa"/>
            <w:vAlign w:val="center"/>
          </w:tcPr>
          <w:p w:rsidR="00E6757E" w:rsidRDefault="00011DF4">
            <w:pPr>
              <w:jc w:val="center"/>
            </w:pPr>
            <w:r>
              <w:rPr>
                <w:color w:val="000000"/>
                <w:sz w:val="24"/>
              </w:rPr>
              <w:t>0.05%</w:t>
            </w:r>
          </w:p>
        </w:tc>
        <w:tc>
          <w:tcPr>
            <w:tcW w:w="1285" w:type="dxa"/>
            <w:vAlign w:val="center"/>
          </w:tcPr>
          <w:p w:rsidR="00E6757E" w:rsidRDefault="00011DF4">
            <w:pPr>
              <w:jc w:val="center"/>
            </w:pPr>
            <w:r>
              <w:rPr>
                <w:color w:val="000000"/>
                <w:sz w:val="24"/>
              </w:rPr>
              <w:t>13.71%</w:t>
            </w:r>
          </w:p>
        </w:tc>
        <w:tc>
          <w:tcPr>
            <w:tcW w:w="1285" w:type="dxa"/>
            <w:vAlign w:val="center"/>
          </w:tcPr>
          <w:p w:rsidR="00E6757E" w:rsidRDefault="00011DF4">
            <w:pPr>
              <w:jc w:val="center"/>
            </w:pPr>
            <w:r>
              <w:rPr>
                <w:color w:val="000000"/>
                <w:sz w:val="24"/>
              </w:rPr>
              <w:t>0.04%</w:t>
            </w:r>
          </w:p>
        </w:tc>
      </w:tr>
    </w:tbl>
    <w:p w:rsidR="001A59F9" w:rsidRDefault="001A59F9" w:rsidP="00E25C2A">
      <w:pPr>
        <w:tabs>
          <w:tab w:val="left" w:pos="426"/>
        </w:tabs>
        <w:spacing w:before="29" w:line="288" w:lineRule="auto"/>
        <w:jc w:val="left"/>
        <w:rPr>
          <w:kern w:val="0"/>
          <w:sz w:val="24"/>
        </w:rPr>
      </w:pPr>
      <w:r w:rsidRPr="00E25C2A">
        <w:rPr>
          <w:kern w:val="0"/>
          <w:sz w:val="24"/>
        </w:rPr>
        <w:t>注：本基金封闭期内的业绩比较基准为两年期银行定期存款税后收益率</w:t>
      </w:r>
      <w:r w:rsidRPr="00E25C2A">
        <w:rPr>
          <w:kern w:val="0"/>
          <w:sz w:val="24"/>
        </w:rPr>
        <w:t>+1.25%</w:t>
      </w:r>
      <w:r w:rsidRPr="00E25C2A">
        <w:rPr>
          <w:kern w:val="0"/>
          <w:sz w:val="24"/>
        </w:rPr>
        <w:t>，开放期内业绩比较基准：中债综合全价指数。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2"/>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交银丰润收益债券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E6757E">
        <w:tc>
          <w:tcPr>
            <w:tcW w:w="1286" w:type="dxa"/>
            <w:vAlign w:val="center"/>
          </w:tcPr>
          <w:p w:rsidR="00E6757E" w:rsidRDefault="00011DF4">
            <w:pPr>
              <w:jc w:val="left"/>
            </w:pPr>
            <w:r>
              <w:rPr>
                <w:color w:val="000000"/>
                <w:sz w:val="24"/>
              </w:rPr>
              <w:t>过去三个月</w:t>
            </w:r>
          </w:p>
        </w:tc>
        <w:tc>
          <w:tcPr>
            <w:tcW w:w="1286" w:type="dxa"/>
            <w:vAlign w:val="center"/>
          </w:tcPr>
          <w:p w:rsidR="00E6757E" w:rsidRDefault="00011DF4">
            <w:pPr>
              <w:jc w:val="center"/>
            </w:pPr>
            <w:r>
              <w:rPr>
                <w:color w:val="000000"/>
                <w:sz w:val="24"/>
              </w:rPr>
              <w:t>1.59%</w:t>
            </w:r>
          </w:p>
        </w:tc>
        <w:tc>
          <w:tcPr>
            <w:tcW w:w="1286" w:type="dxa"/>
            <w:vAlign w:val="center"/>
          </w:tcPr>
          <w:p w:rsidR="00E6757E" w:rsidRDefault="00011DF4">
            <w:pPr>
              <w:jc w:val="center"/>
            </w:pPr>
            <w:r>
              <w:rPr>
                <w:color w:val="000000"/>
                <w:sz w:val="24"/>
              </w:rPr>
              <w:t>0.06%</w:t>
            </w:r>
          </w:p>
        </w:tc>
        <w:tc>
          <w:tcPr>
            <w:tcW w:w="1285" w:type="dxa"/>
            <w:vAlign w:val="center"/>
          </w:tcPr>
          <w:p w:rsidR="00E6757E" w:rsidRDefault="00011DF4">
            <w:pPr>
              <w:jc w:val="center"/>
            </w:pPr>
            <w:r>
              <w:rPr>
                <w:color w:val="000000"/>
                <w:sz w:val="24"/>
              </w:rPr>
              <w:t>1.99%</w:t>
            </w:r>
          </w:p>
        </w:tc>
        <w:tc>
          <w:tcPr>
            <w:tcW w:w="1285" w:type="dxa"/>
            <w:vAlign w:val="center"/>
          </w:tcPr>
          <w:p w:rsidR="00E6757E" w:rsidRDefault="00011DF4">
            <w:pPr>
              <w:jc w:val="center"/>
            </w:pPr>
            <w:r>
              <w:rPr>
                <w:color w:val="000000"/>
                <w:sz w:val="24"/>
              </w:rPr>
              <w:t>0.05%</w:t>
            </w:r>
          </w:p>
        </w:tc>
        <w:tc>
          <w:tcPr>
            <w:tcW w:w="1285" w:type="dxa"/>
            <w:vAlign w:val="center"/>
          </w:tcPr>
          <w:p w:rsidR="00E6757E" w:rsidRDefault="00011DF4">
            <w:pPr>
              <w:jc w:val="center"/>
            </w:pPr>
            <w:r>
              <w:rPr>
                <w:color w:val="000000"/>
                <w:sz w:val="24"/>
              </w:rPr>
              <w:t>-0.40%</w:t>
            </w:r>
          </w:p>
        </w:tc>
        <w:tc>
          <w:tcPr>
            <w:tcW w:w="1285" w:type="dxa"/>
            <w:vAlign w:val="center"/>
          </w:tcPr>
          <w:p w:rsidR="00E6757E" w:rsidRDefault="00011DF4">
            <w:pPr>
              <w:jc w:val="center"/>
            </w:pPr>
            <w:r>
              <w:rPr>
                <w:color w:val="000000"/>
                <w:sz w:val="24"/>
              </w:rPr>
              <w:t>0.01%</w:t>
            </w:r>
          </w:p>
        </w:tc>
      </w:tr>
      <w:tr w:rsidR="00E6757E">
        <w:tc>
          <w:tcPr>
            <w:tcW w:w="1286" w:type="dxa"/>
            <w:vAlign w:val="center"/>
          </w:tcPr>
          <w:p w:rsidR="00E6757E" w:rsidRDefault="00011DF4">
            <w:pPr>
              <w:jc w:val="left"/>
            </w:pPr>
            <w:r>
              <w:rPr>
                <w:color w:val="000000"/>
                <w:sz w:val="24"/>
              </w:rPr>
              <w:t>过去六个月</w:t>
            </w:r>
          </w:p>
        </w:tc>
        <w:tc>
          <w:tcPr>
            <w:tcW w:w="1286" w:type="dxa"/>
            <w:vAlign w:val="center"/>
          </w:tcPr>
          <w:p w:rsidR="00E6757E" w:rsidRDefault="00011DF4">
            <w:pPr>
              <w:jc w:val="center"/>
            </w:pPr>
            <w:r>
              <w:rPr>
                <w:color w:val="000000"/>
                <w:sz w:val="24"/>
              </w:rPr>
              <w:t>2.10%</w:t>
            </w:r>
          </w:p>
        </w:tc>
        <w:tc>
          <w:tcPr>
            <w:tcW w:w="1286" w:type="dxa"/>
            <w:vAlign w:val="center"/>
          </w:tcPr>
          <w:p w:rsidR="00E6757E" w:rsidRDefault="00011DF4">
            <w:pPr>
              <w:jc w:val="center"/>
            </w:pPr>
            <w:r>
              <w:rPr>
                <w:color w:val="000000"/>
                <w:sz w:val="24"/>
              </w:rPr>
              <w:t>0.06%</w:t>
            </w:r>
          </w:p>
        </w:tc>
        <w:tc>
          <w:tcPr>
            <w:tcW w:w="1285" w:type="dxa"/>
            <w:vAlign w:val="center"/>
          </w:tcPr>
          <w:p w:rsidR="00E6757E" w:rsidRDefault="00011DF4">
            <w:pPr>
              <w:jc w:val="center"/>
            </w:pPr>
            <w:r>
              <w:rPr>
                <w:color w:val="000000"/>
                <w:sz w:val="24"/>
              </w:rPr>
              <w:t>2.57%</w:t>
            </w:r>
          </w:p>
        </w:tc>
        <w:tc>
          <w:tcPr>
            <w:tcW w:w="1285" w:type="dxa"/>
            <w:vAlign w:val="center"/>
          </w:tcPr>
          <w:p w:rsidR="00E6757E" w:rsidRDefault="00011DF4">
            <w:pPr>
              <w:jc w:val="center"/>
            </w:pPr>
            <w:r>
              <w:rPr>
                <w:color w:val="000000"/>
                <w:sz w:val="24"/>
              </w:rPr>
              <w:t>0.06%</w:t>
            </w:r>
          </w:p>
        </w:tc>
        <w:tc>
          <w:tcPr>
            <w:tcW w:w="1285" w:type="dxa"/>
            <w:vAlign w:val="center"/>
          </w:tcPr>
          <w:p w:rsidR="00E6757E" w:rsidRDefault="00011DF4">
            <w:pPr>
              <w:jc w:val="center"/>
            </w:pPr>
            <w:r>
              <w:rPr>
                <w:color w:val="000000"/>
                <w:sz w:val="24"/>
              </w:rPr>
              <w:t>-0.47%</w:t>
            </w:r>
          </w:p>
        </w:tc>
        <w:tc>
          <w:tcPr>
            <w:tcW w:w="1285" w:type="dxa"/>
            <w:vAlign w:val="center"/>
          </w:tcPr>
          <w:p w:rsidR="00E6757E" w:rsidRDefault="00011DF4">
            <w:pPr>
              <w:jc w:val="center"/>
            </w:pPr>
            <w:r>
              <w:rPr>
                <w:color w:val="000000"/>
                <w:sz w:val="24"/>
              </w:rPr>
              <w:t>0.00%</w:t>
            </w:r>
          </w:p>
        </w:tc>
      </w:tr>
      <w:tr w:rsidR="00E6757E">
        <w:tc>
          <w:tcPr>
            <w:tcW w:w="1286" w:type="dxa"/>
            <w:vAlign w:val="center"/>
          </w:tcPr>
          <w:p w:rsidR="00E6757E" w:rsidRDefault="00011DF4">
            <w:pPr>
              <w:jc w:val="left"/>
            </w:pPr>
            <w:r>
              <w:rPr>
                <w:color w:val="000000"/>
                <w:sz w:val="24"/>
              </w:rPr>
              <w:t>过去一年</w:t>
            </w:r>
          </w:p>
        </w:tc>
        <w:tc>
          <w:tcPr>
            <w:tcW w:w="1286" w:type="dxa"/>
            <w:vAlign w:val="center"/>
          </w:tcPr>
          <w:p w:rsidR="00E6757E" w:rsidRDefault="00011DF4">
            <w:pPr>
              <w:jc w:val="center"/>
            </w:pPr>
            <w:r>
              <w:rPr>
                <w:color w:val="000000"/>
                <w:sz w:val="24"/>
              </w:rPr>
              <w:t>5.30%</w:t>
            </w:r>
          </w:p>
        </w:tc>
        <w:tc>
          <w:tcPr>
            <w:tcW w:w="1286" w:type="dxa"/>
            <w:vAlign w:val="center"/>
          </w:tcPr>
          <w:p w:rsidR="00E6757E" w:rsidRDefault="00011DF4">
            <w:pPr>
              <w:jc w:val="center"/>
            </w:pPr>
            <w:r>
              <w:rPr>
                <w:color w:val="000000"/>
                <w:sz w:val="24"/>
              </w:rPr>
              <w:t>0.06%</w:t>
            </w:r>
          </w:p>
        </w:tc>
        <w:tc>
          <w:tcPr>
            <w:tcW w:w="1285" w:type="dxa"/>
            <w:vAlign w:val="center"/>
          </w:tcPr>
          <w:p w:rsidR="00E6757E" w:rsidRDefault="00011DF4">
            <w:pPr>
              <w:jc w:val="center"/>
            </w:pPr>
            <w:r>
              <w:rPr>
                <w:color w:val="000000"/>
                <w:sz w:val="24"/>
              </w:rPr>
              <w:t>4.79%</w:t>
            </w:r>
          </w:p>
        </w:tc>
        <w:tc>
          <w:tcPr>
            <w:tcW w:w="1285" w:type="dxa"/>
            <w:vAlign w:val="center"/>
          </w:tcPr>
          <w:p w:rsidR="00E6757E" w:rsidRDefault="00011DF4">
            <w:pPr>
              <w:jc w:val="center"/>
            </w:pPr>
            <w:r>
              <w:rPr>
                <w:color w:val="000000"/>
                <w:sz w:val="24"/>
              </w:rPr>
              <w:t>0.07%</w:t>
            </w:r>
          </w:p>
        </w:tc>
        <w:tc>
          <w:tcPr>
            <w:tcW w:w="1285" w:type="dxa"/>
            <w:vAlign w:val="center"/>
          </w:tcPr>
          <w:p w:rsidR="00E6757E" w:rsidRDefault="00011DF4">
            <w:pPr>
              <w:jc w:val="center"/>
            </w:pPr>
            <w:r>
              <w:rPr>
                <w:color w:val="000000"/>
                <w:sz w:val="24"/>
              </w:rPr>
              <w:t>0.51%</w:t>
            </w:r>
          </w:p>
        </w:tc>
        <w:tc>
          <w:tcPr>
            <w:tcW w:w="1285" w:type="dxa"/>
            <w:vAlign w:val="center"/>
          </w:tcPr>
          <w:p w:rsidR="00E6757E" w:rsidRDefault="00011DF4">
            <w:pPr>
              <w:jc w:val="center"/>
            </w:pPr>
            <w:r>
              <w:rPr>
                <w:color w:val="000000"/>
                <w:sz w:val="24"/>
              </w:rPr>
              <w:t>-0.01%</w:t>
            </w:r>
          </w:p>
        </w:tc>
      </w:tr>
      <w:tr w:rsidR="00E6757E">
        <w:tc>
          <w:tcPr>
            <w:tcW w:w="1286" w:type="dxa"/>
            <w:vAlign w:val="center"/>
          </w:tcPr>
          <w:p w:rsidR="00E6757E" w:rsidRDefault="00011DF4">
            <w:pPr>
              <w:jc w:val="left"/>
            </w:pPr>
            <w:r>
              <w:rPr>
                <w:color w:val="000000"/>
                <w:sz w:val="24"/>
              </w:rPr>
              <w:t>自基金合同生效起至今</w:t>
            </w:r>
          </w:p>
        </w:tc>
        <w:tc>
          <w:tcPr>
            <w:tcW w:w="1286" w:type="dxa"/>
            <w:vAlign w:val="center"/>
          </w:tcPr>
          <w:p w:rsidR="00E6757E" w:rsidRDefault="00011DF4">
            <w:pPr>
              <w:jc w:val="center"/>
            </w:pPr>
            <w:r>
              <w:rPr>
                <w:color w:val="000000"/>
                <w:sz w:val="24"/>
              </w:rPr>
              <w:t>17.01%</w:t>
            </w:r>
          </w:p>
        </w:tc>
        <w:tc>
          <w:tcPr>
            <w:tcW w:w="1286" w:type="dxa"/>
            <w:vAlign w:val="center"/>
          </w:tcPr>
          <w:p w:rsidR="00E6757E" w:rsidRDefault="00011DF4">
            <w:pPr>
              <w:jc w:val="center"/>
            </w:pPr>
            <w:r>
              <w:rPr>
                <w:color w:val="000000"/>
                <w:sz w:val="24"/>
              </w:rPr>
              <w:t>0.12%</w:t>
            </w:r>
          </w:p>
        </w:tc>
        <w:tc>
          <w:tcPr>
            <w:tcW w:w="1285" w:type="dxa"/>
            <w:vAlign w:val="center"/>
          </w:tcPr>
          <w:p w:rsidR="00E6757E" w:rsidRDefault="00011DF4">
            <w:pPr>
              <w:jc w:val="center"/>
            </w:pPr>
            <w:r>
              <w:rPr>
                <w:color w:val="000000"/>
                <w:sz w:val="24"/>
              </w:rPr>
              <w:t>9.65%</w:t>
            </w:r>
          </w:p>
        </w:tc>
        <w:tc>
          <w:tcPr>
            <w:tcW w:w="1285" w:type="dxa"/>
            <w:vAlign w:val="center"/>
          </w:tcPr>
          <w:p w:rsidR="00E6757E" w:rsidRDefault="00011DF4">
            <w:pPr>
              <w:jc w:val="center"/>
            </w:pPr>
            <w:r>
              <w:rPr>
                <w:color w:val="000000"/>
                <w:sz w:val="24"/>
              </w:rPr>
              <w:t>0.05%</w:t>
            </w:r>
          </w:p>
        </w:tc>
        <w:tc>
          <w:tcPr>
            <w:tcW w:w="1285" w:type="dxa"/>
            <w:vAlign w:val="center"/>
          </w:tcPr>
          <w:p w:rsidR="00E6757E" w:rsidRDefault="00011DF4">
            <w:pPr>
              <w:jc w:val="center"/>
            </w:pPr>
            <w:r>
              <w:rPr>
                <w:color w:val="000000"/>
                <w:sz w:val="24"/>
              </w:rPr>
              <w:t>7.36%</w:t>
            </w:r>
          </w:p>
        </w:tc>
        <w:tc>
          <w:tcPr>
            <w:tcW w:w="1285" w:type="dxa"/>
            <w:vAlign w:val="center"/>
          </w:tcPr>
          <w:p w:rsidR="00E6757E" w:rsidRDefault="00011DF4">
            <w:pPr>
              <w:jc w:val="center"/>
            </w:pPr>
            <w:r>
              <w:rPr>
                <w:color w:val="000000"/>
                <w:sz w:val="24"/>
              </w:rPr>
              <w:t>0.07%</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注：本基金封闭期内的业绩比较基准为两年期银行定期存款税后收益率</w:t>
      </w:r>
      <w:r w:rsidRPr="00E25C2A">
        <w:rPr>
          <w:kern w:val="0"/>
          <w:sz w:val="24"/>
        </w:rPr>
        <w:t>+1.25%</w:t>
      </w:r>
      <w:r w:rsidRPr="00E25C2A">
        <w:rPr>
          <w:kern w:val="0"/>
          <w:sz w:val="24"/>
        </w:rPr>
        <w:t>，开放期内业绩比较基准：中债综合全价指数。</w:t>
      </w:r>
    </w:p>
    <w:p w:rsidR="001A59F9" w:rsidRPr="008B2C7A" w:rsidRDefault="001A59F9" w:rsidP="00026C9C">
      <w:pPr>
        <w:pStyle w:val="22"/>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交银丰润收益债券</w:t>
      </w:r>
      <w:r w:rsidRPr="001B48EA">
        <w:rPr>
          <w:rFonts w:ascii="Times New Roman" w:hAnsi="Times New Roman"/>
          <w:color w:val="auto"/>
        </w:rPr>
        <w:t>A</w:t>
      </w:r>
    </w:p>
    <w:p w:rsidR="001A59F9" w:rsidRPr="008B2C7A"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2"/>
        <w:spacing w:before="29" w:line="288" w:lineRule="auto"/>
        <w:ind w:firstLineChars="0" w:firstLine="0"/>
        <w:rPr>
          <w:rFonts w:ascii="Times New Roman" w:hAnsi="Times New Roman"/>
          <w:color w:val="auto"/>
        </w:rPr>
      </w:pPr>
      <w:r w:rsidRPr="001B48EA">
        <w:rPr>
          <w:rFonts w:ascii="Times New Roman" w:hAnsi="Times New Roman"/>
          <w:color w:val="auto"/>
        </w:rPr>
        <w:lastRenderedPageBreak/>
        <w:t>2</w:t>
      </w:r>
      <w:r w:rsidRPr="001B48EA">
        <w:rPr>
          <w:rFonts w:ascii="Times New Roman" w:hAnsi="Times New Roman" w:hint="eastAsia"/>
          <w:color w:val="auto"/>
        </w:rPr>
        <w:t>、</w:t>
      </w:r>
      <w:r w:rsidRPr="001B48EA">
        <w:rPr>
          <w:rFonts w:ascii="Times New Roman" w:hAnsi="Times New Roman"/>
          <w:color w:val="auto"/>
        </w:rPr>
        <w:t>交银丰润收益债券</w:t>
      </w:r>
      <w:r w:rsidRPr="001B48EA">
        <w:rPr>
          <w:rFonts w:ascii="Times New Roman" w:hAnsi="Times New Roman"/>
          <w:color w:val="auto"/>
        </w:rPr>
        <w:t>C</w:t>
      </w:r>
    </w:p>
    <w:p w:rsidR="001A59F9" w:rsidRPr="00BB35D1" w:rsidRDefault="00B27795"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2"/>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交银丰润收益债券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15</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2"/>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交银丰润收益债券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15</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交银丰润收益债券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E6757E">
        <w:tc>
          <w:tcPr>
            <w:tcW w:w="1276" w:type="dxa"/>
            <w:vAlign w:val="center"/>
          </w:tcPr>
          <w:p w:rsidR="00E6757E" w:rsidRDefault="00011DF4">
            <w:pPr>
              <w:jc w:val="center"/>
            </w:pPr>
            <w:r>
              <w:rPr>
                <w:color w:val="000000"/>
                <w:sz w:val="24"/>
              </w:rPr>
              <w:t>2018</w:t>
            </w:r>
            <w:r>
              <w:rPr>
                <w:color w:val="000000"/>
                <w:sz w:val="24"/>
              </w:rPr>
              <w:t>年</w:t>
            </w:r>
          </w:p>
        </w:tc>
        <w:tc>
          <w:tcPr>
            <w:tcW w:w="1701" w:type="dxa"/>
            <w:vAlign w:val="center"/>
          </w:tcPr>
          <w:p w:rsidR="00E6757E" w:rsidRDefault="00011DF4">
            <w:pPr>
              <w:jc w:val="right"/>
            </w:pPr>
            <w:r>
              <w:rPr>
                <w:color w:val="000000"/>
                <w:sz w:val="24"/>
              </w:rPr>
              <w:t>0.370</w:t>
            </w:r>
          </w:p>
        </w:tc>
        <w:tc>
          <w:tcPr>
            <w:tcW w:w="1701" w:type="dxa"/>
            <w:vAlign w:val="center"/>
          </w:tcPr>
          <w:p w:rsidR="00E6757E" w:rsidRDefault="00011DF4">
            <w:pPr>
              <w:jc w:val="right"/>
            </w:pPr>
            <w:r>
              <w:rPr>
                <w:color w:val="000000"/>
                <w:sz w:val="24"/>
              </w:rPr>
              <w:t>181,562,428.86</w:t>
            </w:r>
          </w:p>
        </w:tc>
        <w:tc>
          <w:tcPr>
            <w:tcW w:w="1701" w:type="dxa"/>
            <w:vAlign w:val="center"/>
          </w:tcPr>
          <w:p w:rsidR="00E6757E" w:rsidRDefault="00011DF4">
            <w:pPr>
              <w:jc w:val="right"/>
            </w:pPr>
            <w:r>
              <w:rPr>
                <w:color w:val="000000"/>
                <w:sz w:val="24"/>
              </w:rPr>
              <w:t>55,260.25</w:t>
            </w:r>
          </w:p>
        </w:tc>
        <w:tc>
          <w:tcPr>
            <w:tcW w:w="1559" w:type="dxa"/>
            <w:vAlign w:val="center"/>
          </w:tcPr>
          <w:p w:rsidR="00E6757E" w:rsidRDefault="00011DF4">
            <w:pPr>
              <w:jc w:val="right"/>
            </w:pPr>
            <w:r>
              <w:rPr>
                <w:color w:val="000000"/>
                <w:sz w:val="24"/>
              </w:rPr>
              <w:t>181,617,689.11</w:t>
            </w:r>
          </w:p>
        </w:tc>
        <w:tc>
          <w:tcPr>
            <w:tcW w:w="1060" w:type="dxa"/>
            <w:vAlign w:val="center"/>
          </w:tcPr>
          <w:p w:rsidR="00E6757E" w:rsidRDefault="00011DF4">
            <w:pPr>
              <w:jc w:val="left"/>
            </w:pPr>
            <w:r>
              <w:rPr>
                <w:color w:val="000000"/>
                <w:sz w:val="24"/>
              </w:rPr>
              <w:t>-</w:t>
            </w:r>
          </w:p>
        </w:tc>
      </w:tr>
      <w:tr w:rsidR="00E6757E">
        <w:tc>
          <w:tcPr>
            <w:tcW w:w="1276" w:type="dxa"/>
            <w:vAlign w:val="center"/>
          </w:tcPr>
          <w:p w:rsidR="00E6757E" w:rsidRDefault="00011DF4">
            <w:pPr>
              <w:jc w:val="center"/>
            </w:pPr>
            <w:r>
              <w:rPr>
                <w:color w:val="000000"/>
                <w:sz w:val="24"/>
              </w:rPr>
              <w:t>2017</w:t>
            </w:r>
            <w:r>
              <w:rPr>
                <w:color w:val="000000"/>
                <w:sz w:val="24"/>
              </w:rPr>
              <w:t>年</w:t>
            </w:r>
          </w:p>
        </w:tc>
        <w:tc>
          <w:tcPr>
            <w:tcW w:w="1701" w:type="dxa"/>
            <w:vAlign w:val="center"/>
          </w:tcPr>
          <w:p w:rsidR="00E6757E" w:rsidRDefault="00011DF4">
            <w:pPr>
              <w:jc w:val="right"/>
            </w:pPr>
            <w:r>
              <w:rPr>
                <w:color w:val="000000"/>
                <w:sz w:val="24"/>
              </w:rPr>
              <w:t>-</w:t>
            </w:r>
          </w:p>
        </w:tc>
        <w:tc>
          <w:tcPr>
            <w:tcW w:w="1701" w:type="dxa"/>
            <w:vAlign w:val="center"/>
          </w:tcPr>
          <w:p w:rsidR="00E6757E" w:rsidRDefault="00011DF4">
            <w:pPr>
              <w:jc w:val="right"/>
            </w:pPr>
            <w:r>
              <w:rPr>
                <w:color w:val="000000"/>
                <w:sz w:val="24"/>
              </w:rPr>
              <w:t>-</w:t>
            </w:r>
          </w:p>
        </w:tc>
        <w:tc>
          <w:tcPr>
            <w:tcW w:w="1701" w:type="dxa"/>
            <w:vAlign w:val="center"/>
          </w:tcPr>
          <w:p w:rsidR="00E6757E" w:rsidRDefault="00011DF4">
            <w:pPr>
              <w:jc w:val="right"/>
            </w:pPr>
            <w:r>
              <w:rPr>
                <w:color w:val="000000"/>
                <w:sz w:val="24"/>
              </w:rPr>
              <w:t>-</w:t>
            </w:r>
          </w:p>
        </w:tc>
        <w:tc>
          <w:tcPr>
            <w:tcW w:w="1559" w:type="dxa"/>
            <w:vAlign w:val="center"/>
          </w:tcPr>
          <w:p w:rsidR="00E6757E" w:rsidRDefault="00011DF4">
            <w:pPr>
              <w:jc w:val="right"/>
            </w:pPr>
            <w:r>
              <w:rPr>
                <w:color w:val="000000"/>
                <w:sz w:val="24"/>
              </w:rPr>
              <w:t>-</w:t>
            </w:r>
          </w:p>
        </w:tc>
        <w:tc>
          <w:tcPr>
            <w:tcW w:w="1060" w:type="dxa"/>
            <w:vAlign w:val="center"/>
          </w:tcPr>
          <w:p w:rsidR="00E6757E" w:rsidRDefault="00011DF4">
            <w:pPr>
              <w:jc w:val="left"/>
            </w:pPr>
            <w:r>
              <w:rPr>
                <w:color w:val="000000"/>
                <w:sz w:val="24"/>
              </w:rPr>
              <w:t>-</w:t>
            </w:r>
          </w:p>
        </w:tc>
      </w:tr>
      <w:tr w:rsidR="00E6757E">
        <w:tc>
          <w:tcPr>
            <w:tcW w:w="1276" w:type="dxa"/>
            <w:vAlign w:val="center"/>
          </w:tcPr>
          <w:p w:rsidR="00E6757E" w:rsidRDefault="00011DF4">
            <w:pPr>
              <w:jc w:val="center"/>
            </w:pPr>
            <w:r>
              <w:rPr>
                <w:color w:val="000000"/>
                <w:sz w:val="24"/>
              </w:rPr>
              <w:t>2016</w:t>
            </w:r>
            <w:r>
              <w:rPr>
                <w:color w:val="000000"/>
                <w:sz w:val="24"/>
              </w:rPr>
              <w:t>年</w:t>
            </w:r>
          </w:p>
        </w:tc>
        <w:tc>
          <w:tcPr>
            <w:tcW w:w="1701" w:type="dxa"/>
            <w:vAlign w:val="center"/>
          </w:tcPr>
          <w:p w:rsidR="00E6757E" w:rsidRDefault="00011DF4">
            <w:pPr>
              <w:jc w:val="right"/>
            </w:pPr>
            <w:r>
              <w:rPr>
                <w:color w:val="000000"/>
                <w:sz w:val="24"/>
              </w:rPr>
              <w:t>1.330</w:t>
            </w:r>
          </w:p>
        </w:tc>
        <w:tc>
          <w:tcPr>
            <w:tcW w:w="1701" w:type="dxa"/>
            <w:vAlign w:val="center"/>
          </w:tcPr>
          <w:p w:rsidR="00E6757E" w:rsidRDefault="00011DF4">
            <w:pPr>
              <w:jc w:val="right"/>
            </w:pPr>
            <w:r>
              <w:rPr>
                <w:color w:val="000000"/>
                <w:sz w:val="24"/>
              </w:rPr>
              <w:t>53,486,487.56</w:t>
            </w:r>
          </w:p>
        </w:tc>
        <w:tc>
          <w:tcPr>
            <w:tcW w:w="1701" w:type="dxa"/>
            <w:vAlign w:val="center"/>
          </w:tcPr>
          <w:p w:rsidR="00E6757E" w:rsidRDefault="00011DF4">
            <w:pPr>
              <w:jc w:val="right"/>
            </w:pPr>
            <w:r>
              <w:rPr>
                <w:color w:val="000000"/>
                <w:sz w:val="24"/>
              </w:rPr>
              <w:t>-</w:t>
            </w:r>
          </w:p>
        </w:tc>
        <w:tc>
          <w:tcPr>
            <w:tcW w:w="1559" w:type="dxa"/>
            <w:vAlign w:val="center"/>
          </w:tcPr>
          <w:p w:rsidR="00E6757E" w:rsidRDefault="00011DF4">
            <w:pPr>
              <w:jc w:val="right"/>
            </w:pPr>
            <w:r>
              <w:rPr>
                <w:color w:val="000000"/>
                <w:sz w:val="24"/>
              </w:rPr>
              <w:t>53,486,487.56</w:t>
            </w:r>
          </w:p>
        </w:tc>
        <w:tc>
          <w:tcPr>
            <w:tcW w:w="1060" w:type="dxa"/>
            <w:vAlign w:val="center"/>
          </w:tcPr>
          <w:p w:rsidR="00E6757E" w:rsidRDefault="00011DF4">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1.700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235,048,916.42</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55,260.25</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235,104,176.67</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2"/>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交银丰润收益债券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w:t>
            </w:r>
            <w:r w:rsidRPr="00595119">
              <w:rPr>
                <w:rFonts w:hint="eastAsia"/>
                <w:color w:val="000000"/>
                <w:sz w:val="24"/>
              </w:rPr>
              <w:lastRenderedPageBreak/>
              <w:t>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现金形式发放</w:t>
            </w:r>
            <w:r w:rsidRPr="00595119">
              <w:rPr>
                <w:rFonts w:hint="eastAsia"/>
                <w:color w:val="000000"/>
                <w:sz w:val="24"/>
              </w:rPr>
              <w:lastRenderedPageBreak/>
              <w:t>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再投资形式发</w:t>
            </w:r>
            <w:r w:rsidRPr="00595119">
              <w:rPr>
                <w:rFonts w:hint="eastAsia"/>
                <w:color w:val="000000"/>
                <w:sz w:val="24"/>
              </w:rPr>
              <w:lastRenderedPageBreak/>
              <w:t>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年度利润分</w:t>
            </w:r>
            <w:r w:rsidRPr="00595119">
              <w:rPr>
                <w:rFonts w:hint="eastAsia"/>
                <w:color w:val="000000"/>
                <w:sz w:val="24"/>
              </w:rPr>
              <w:lastRenderedPageBreak/>
              <w:t>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备注</w:t>
            </w:r>
          </w:p>
        </w:tc>
      </w:tr>
      <w:tr w:rsidR="00E6757E">
        <w:tc>
          <w:tcPr>
            <w:tcW w:w="1276" w:type="dxa"/>
            <w:vAlign w:val="center"/>
          </w:tcPr>
          <w:p w:rsidR="00E6757E" w:rsidRDefault="00011DF4">
            <w:pPr>
              <w:jc w:val="center"/>
            </w:pPr>
            <w:r>
              <w:rPr>
                <w:color w:val="000000"/>
                <w:sz w:val="24"/>
              </w:rPr>
              <w:t>2018</w:t>
            </w:r>
            <w:r>
              <w:rPr>
                <w:color w:val="000000"/>
                <w:sz w:val="24"/>
              </w:rPr>
              <w:t>年</w:t>
            </w:r>
          </w:p>
        </w:tc>
        <w:tc>
          <w:tcPr>
            <w:tcW w:w="1701" w:type="dxa"/>
            <w:vAlign w:val="center"/>
          </w:tcPr>
          <w:p w:rsidR="00E6757E" w:rsidRDefault="00011DF4">
            <w:pPr>
              <w:jc w:val="right"/>
            </w:pPr>
            <w:r>
              <w:rPr>
                <w:color w:val="000000"/>
                <w:sz w:val="24"/>
              </w:rPr>
              <w:t>-</w:t>
            </w:r>
          </w:p>
        </w:tc>
        <w:tc>
          <w:tcPr>
            <w:tcW w:w="1701" w:type="dxa"/>
            <w:vAlign w:val="center"/>
          </w:tcPr>
          <w:p w:rsidR="00E6757E" w:rsidRDefault="00011DF4">
            <w:pPr>
              <w:jc w:val="right"/>
            </w:pPr>
            <w:r>
              <w:rPr>
                <w:color w:val="000000"/>
                <w:sz w:val="24"/>
              </w:rPr>
              <w:t>-</w:t>
            </w:r>
          </w:p>
        </w:tc>
        <w:tc>
          <w:tcPr>
            <w:tcW w:w="1701" w:type="dxa"/>
            <w:vAlign w:val="center"/>
          </w:tcPr>
          <w:p w:rsidR="00E6757E" w:rsidRDefault="00011DF4">
            <w:pPr>
              <w:jc w:val="right"/>
            </w:pPr>
            <w:r>
              <w:rPr>
                <w:color w:val="000000"/>
                <w:sz w:val="24"/>
              </w:rPr>
              <w:t>-</w:t>
            </w:r>
          </w:p>
        </w:tc>
        <w:tc>
          <w:tcPr>
            <w:tcW w:w="1559" w:type="dxa"/>
            <w:vAlign w:val="center"/>
          </w:tcPr>
          <w:p w:rsidR="00E6757E" w:rsidRDefault="00011DF4">
            <w:pPr>
              <w:jc w:val="right"/>
            </w:pPr>
            <w:r>
              <w:rPr>
                <w:color w:val="000000"/>
                <w:sz w:val="24"/>
              </w:rPr>
              <w:t>-</w:t>
            </w:r>
          </w:p>
        </w:tc>
        <w:tc>
          <w:tcPr>
            <w:tcW w:w="1060" w:type="dxa"/>
            <w:vAlign w:val="center"/>
          </w:tcPr>
          <w:p w:rsidR="00E6757E" w:rsidRDefault="00011DF4">
            <w:pPr>
              <w:jc w:val="left"/>
            </w:pPr>
            <w:r>
              <w:rPr>
                <w:color w:val="000000"/>
                <w:sz w:val="24"/>
              </w:rPr>
              <w:t>-</w:t>
            </w:r>
          </w:p>
        </w:tc>
      </w:tr>
      <w:tr w:rsidR="00E6757E">
        <w:tc>
          <w:tcPr>
            <w:tcW w:w="1276" w:type="dxa"/>
            <w:vAlign w:val="center"/>
          </w:tcPr>
          <w:p w:rsidR="00E6757E" w:rsidRDefault="00011DF4">
            <w:pPr>
              <w:jc w:val="center"/>
            </w:pPr>
            <w:r>
              <w:rPr>
                <w:color w:val="000000"/>
                <w:sz w:val="24"/>
              </w:rPr>
              <w:t>2017</w:t>
            </w:r>
            <w:r>
              <w:rPr>
                <w:color w:val="000000"/>
                <w:sz w:val="24"/>
              </w:rPr>
              <w:t>年</w:t>
            </w:r>
          </w:p>
        </w:tc>
        <w:tc>
          <w:tcPr>
            <w:tcW w:w="1701" w:type="dxa"/>
            <w:vAlign w:val="center"/>
          </w:tcPr>
          <w:p w:rsidR="00E6757E" w:rsidRDefault="00011DF4">
            <w:pPr>
              <w:jc w:val="right"/>
            </w:pPr>
            <w:r>
              <w:rPr>
                <w:color w:val="000000"/>
                <w:sz w:val="24"/>
              </w:rPr>
              <w:t>-</w:t>
            </w:r>
          </w:p>
        </w:tc>
        <w:tc>
          <w:tcPr>
            <w:tcW w:w="1701" w:type="dxa"/>
            <w:vAlign w:val="center"/>
          </w:tcPr>
          <w:p w:rsidR="00E6757E" w:rsidRDefault="00011DF4">
            <w:pPr>
              <w:jc w:val="right"/>
            </w:pPr>
            <w:r>
              <w:rPr>
                <w:color w:val="000000"/>
                <w:sz w:val="24"/>
              </w:rPr>
              <w:t>-</w:t>
            </w:r>
          </w:p>
        </w:tc>
        <w:tc>
          <w:tcPr>
            <w:tcW w:w="1701" w:type="dxa"/>
            <w:vAlign w:val="center"/>
          </w:tcPr>
          <w:p w:rsidR="00E6757E" w:rsidRDefault="00011DF4">
            <w:pPr>
              <w:jc w:val="right"/>
            </w:pPr>
            <w:r>
              <w:rPr>
                <w:color w:val="000000"/>
                <w:sz w:val="24"/>
              </w:rPr>
              <w:t>-</w:t>
            </w:r>
          </w:p>
        </w:tc>
        <w:tc>
          <w:tcPr>
            <w:tcW w:w="1559" w:type="dxa"/>
            <w:vAlign w:val="center"/>
          </w:tcPr>
          <w:p w:rsidR="00E6757E" w:rsidRDefault="00011DF4">
            <w:pPr>
              <w:jc w:val="right"/>
            </w:pPr>
            <w:r>
              <w:rPr>
                <w:color w:val="000000"/>
                <w:sz w:val="24"/>
              </w:rPr>
              <w:t>-</w:t>
            </w:r>
          </w:p>
        </w:tc>
        <w:tc>
          <w:tcPr>
            <w:tcW w:w="1060" w:type="dxa"/>
            <w:vAlign w:val="center"/>
          </w:tcPr>
          <w:p w:rsidR="00E6757E" w:rsidRDefault="00011DF4">
            <w:pPr>
              <w:jc w:val="left"/>
            </w:pPr>
            <w:r>
              <w:rPr>
                <w:color w:val="000000"/>
                <w:sz w:val="24"/>
              </w:rPr>
              <w:t>-</w:t>
            </w:r>
          </w:p>
        </w:tc>
      </w:tr>
      <w:tr w:rsidR="00E6757E">
        <w:tc>
          <w:tcPr>
            <w:tcW w:w="1276" w:type="dxa"/>
            <w:vAlign w:val="center"/>
          </w:tcPr>
          <w:p w:rsidR="00E6757E" w:rsidRDefault="00011DF4">
            <w:pPr>
              <w:jc w:val="center"/>
            </w:pPr>
            <w:r>
              <w:rPr>
                <w:color w:val="000000"/>
                <w:sz w:val="24"/>
              </w:rPr>
              <w:t>2016</w:t>
            </w:r>
            <w:r>
              <w:rPr>
                <w:color w:val="000000"/>
                <w:sz w:val="24"/>
              </w:rPr>
              <w:t>年</w:t>
            </w:r>
          </w:p>
        </w:tc>
        <w:tc>
          <w:tcPr>
            <w:tcW w:w="1701" w:type="dxa"/>
            <w:vAlign w:val="center"/>
          </w:tcPr>
          <w:p w:rsidR="00E6757E" w:rsidRDefault="00011DF4">
            <w:pPr>
              <w:jc w:val="right"/>
            </w:pPr>
            <w:r>
              <w:rPr>
                <w:color w:val="000000"/>
                <w:sz w:val="24"/>
              </w:rPr>
              <w:t>1.210</w:t>
            </w:r>
          </w:p>
        </w:tc>
        <w:tc>
          <w:tcPr>
            <w:tcW w:w="1701" w:type="dxa"/>
            <w:vAlign w:val="center"/>
          </w:tcPr>
          <w:p w:rsidR="00E6757E" w:rsidRDefault="00011DF4">
            <w:pPr>
              <w:jc w:val="right"/>
            </w:pPr>
            <w:r>
              <w:rPr>
                <w:color w:val="000000"/>
                <w:sz w:val="24"/>
              </w:rPr>
              <w:t>2,823,442.94</w:t>
            </w:r>
          </w:p>
        </w:tc>
        <w:tc>
          <w:tcPr>
            <w:tcW w:w="1701" w:type="dxa"/>
            <w:vAlign w:val="center"/>
          </w:tcPr>
          <w:p w:rsidR="00E6757E" w:rsidRDefault="00011DF4">
            <w:pPr>
              <w:jc w:val="right"/>
            </w:pPr>
            <w:r>
              <w:rPr>
                <w:color w:val="000000"/>
                <w:sz w:val="24"/>
              </w:rPr>
              <w:t>-</w:t>
            </w:r>
          </w:p>
        </w:tc>
        <w:tc>
          <w:tcPr>
            <w:tcW w:w="1559" w:type="dxa"/>
            <w:vAlign w:val="center"/>
          </w:tcPr>
          <w:p w:rsidR="00E6757E" w:rsidRDefault="00011DF4">
            <w:pPr>
              <w:jc w:val="right"/>
            </w:pPr>
            <w:r>
              <w:rPr>
                <w:color w:val="000000"/>
                <w:sz w:val="24"/>
              </w:rPr>
              <w:t>2,823,442.94</w:t>
            </w:r>
          </w:p>
        </w:tc>
        <w:tc>
          <w:tcPr>
            <w:tcW w:w="1060" w:type="dxa"/>
            <w:vAlign w:val="center"/>
          </w:tcPr>
          <w:p w:rsidR="00E6757E" w:rsidRDefault="00011DF4">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1.210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2,823,442.94</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2,823,442.94</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E6757E" w:rsidRDefault="00011DF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E6757E">
        <w:tc>
          <w:tcPr>
            <w:tcW w:w="1499" w:type="dxa"/>
            <w:vAlign w:val="center"/>
          </w:tcPr>
          <w:p w:rsidR="00E6757E" w:rsidRDefault="00011DF4">
            <w:pPr>
              <w:jc w:val="center"/>
            </w:pPr>
            <w:r>
              <w:rPr>
                <w:color w:val="000000"/>
                <w:sz w:val="24"/>
              </w:rPr>
              <w:t>连端清</w:t>
            </w:r>
          </w:p>
        </w:tc>
        <w:tc>
          <w:tcPr>
            <w:tcW w:w="1499" w:type="dxa"/>
            <w:vAlign w:val="center"/>
          </w:tcPr>
          <w:p w:rsidR="00E6757E" w:rsidRDefault="00011DF4">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w:t>
            </w:r>
            <w:r>
              <w:rPr>
                <w:color w:val="000000"/>
                <w:sz w:val="24"/>
              </w:rPr>
              <w:lastRenderedPageBreak/>
              <w:t>利纯债债券、交银裕隆纯债债券、交银天鑫宝货币、交银天益宝货币、交银境尚收益债券、交银天运宝货币的基金经理</w:t>
            </w:r>
          </w:p>
        </w:tc>
        <w:tc>
          <w:tcPr>
            <w:tcW w:w="1255" w:type="dxa"/>
            <w:vAlign w:val="center"/>
          </w:tcPr>
          <w:p w:rsidR="00E6757E" w:rsidRDefault="00011DF4">
            <w:pPr>
              <w:jc w:val="center"/>
            </w:pPr>
            <w:r>
              <w:rPr>
                <w:color w:val="000000"/>
                <w:sz w:val="24"/>
              </w:rPr>
              <w:lastRenderedPageBreak/>
              <w:t>2015-08-04</w:t>
            </w:r>
          </w:p>
        </w:tc>
        <w:tc>
          <w:tcPr>
            <w:tcW w:w="1276" w:type="dxa"/>
            <w:vAlign w:val="center"/>
          </w:tcPr>
          <w:p w:rsidR="00E6757E" w:rsidRDefault="00011DF4">
            <w:pPr>
              <w:jc w:val="center"/>
            </w:pPr>
            <w:r>
              <w:rPr>
                <w:color w:val="000000"/>
                <w:sz w:val="24"/>
              </w:rPr>
              <w:t>-</w:t>
            </w:r>
          </w:p>
        </w:tc>
        <w:tc>
          <w:tcPr>
            <w:tcW w:w="992" w:type="dxa"/>
            <w:vAlign w:val="center"/>
          </w:tcPr>
          <w:p w:rsidR="00E6757E" w:rsidRDefault="00011DF4">
            <w:pPr>
              <w:jc w:val="center"/>
            </w:pPr>
            <w:r>
              <w:rPr>
                <w:color w:val="000000"/>
                <w:sz w:val="24"/>
              </w:rPr>
              <w:t>5</w:t>
            </w:r>
            <w:r>
              <w:rPr>
                <w:color w:val="000000"/>
                <w:sz w:val="24"/>
              </w:rPr>
              <w:t>年</w:t>
            </w:r>
          </w:p>
        </w:tc>
        <w:tc>
          <w:tcPr>
            <w:tcW w:w="2477" w:type="dxa"/>
            <w:vAlign w:val="center"/>
          </w:tcPr>
          <w:p w:rsidR="00E6757E" w:rsidRDefault="00011DF4">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r w:rsidR="00E6757E">
        <w:tc>
          <w:tcPr>
            <w:tcW w:w="1499" w:type="dxa"/>
            <w:vAlign w:val="center"/>
          </w:tcPr>
          <w:p w:rsidR="00E6757E" w:rsidRDefault="00011DF4">
            <w:pPr>
              <w:jc w:val="center"/>
            </w:pPr>
            <w:r>
              <w:rPr>
                <w:color w:val="000000"/>
                <w:sz w:val="24"/>
              </w:rPr>
              <w:t>魏玉敏</w:t>
            </w:r>
          </w:p>
        </w:tc>
        <w:tc>
          <w:tcPr>
            <w:tcW w:w="1499" w:type="dxa"/>
            <w:vAlign w:val="center"/>
          </w:tcPr>
          <w:p w:rsidR="00E6757E" w:rsidRDefault="00011DF4">
            <w:pPr>
              <w:jc w:val="center"/>
            </w:pPr>
            <w:r>
              <w:rPr>
                <w:color w:val="000000"/>
                <w:sz w:val="24"/>
              </w:rPr>
              <w:t>交银增利债券、交银纯债债券发起、交银丰润收益债券、交银增利增强债券、交银丰晟收益债券、交银裕如纯债债券的基金经理</w:t>
            </w:r>
          </w:p>
        </w:tc>
        <w:tc>
          <w:tcPr>
            <w:tcW w:w="1255" w:type="dxa"/>
            <w:vAlign w:val="center"/>
          </w:tcPr>
          <w:p w:rsidR="00E6757E" w:rsidRDefault="00011DF4">
            <w:pPr>
              <w:jc w:val="center"/>
            </w:pPr>
            <w:r>
              <w:rPr>
                <w:color w:val="000000"/>
                <w:sz w:val="24"/>
              </w:rPr>
              <w:t>2018-11-02</w:t>
            </w:r>
          </w:p>
        </w:tc>
        <w:tc>
          <w:tcPr>
            <w:tcW w:w="1276" w:type="dxa"/>
            <w:vAlign w:val="center"/>
          </w:tcPr>
          <w:p w:rsidR="00E6757E" w:rsidRDefault="00011DF4">
            <w:pPr>
              <w:jc w:val="center"/>
            </w:pPr>
            <w:r>
              <w:rPr>
                <w:color w:val="000000"/>
                <w:sz w:val="24"/>
              </w:rPr>
              <w:t>-</w:t>
            </w:r>
          </w:p>
        </w:tc>
        <w:tc>
          <w:tcPr>
            <w:tcW w:w="992" w:type="dxa"/>
            <w:vAlign w:val="center"/>
          </w:tcPr>
          <w:p w:rsidR="00E6757E" w:rsidRDefault="00011DF4">
            <w:pPr>
              <w:jc w:val="center"/>
            </w:pPr>
            <w:r>
              <w:rPr>
                <w:color w:val="000000"/>
                <w:sz w:val="24"/>
              </w:rPr>
              <w:t>6</w:t>
            </w:r>
            <w:r>
              <w:rPr>
                <w:color w:val="000000"/>
                <w:sz w:val="24"/>
              </w:rPr>
              <w:t>年</w:t>
            </w:r>
          </w:p>
        </w:tc>
        <w:tc>
          <w:tcPr>
            <w:tcW w:w="2477" w:type="dxa"/>
            <w:vAlign w:val="center"/>
          </w:tcPr>
          <w:p w:rsidR="00E6757E" w:rsidRDefault="00011DF4">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E6757E" w:rsidRDefault="00011DF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6757E" w:rsidRDefault="00011DF4">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E6757E" w:rsidRDefault="00011DF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6757E" w:rsidRDefault="00011DF4">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6757E" w:rsidRDefault="00011DF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757E" w:rsidRDefault="00011DF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6757E" w:rsidRDefault="00011DF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E6757E" w:rsidRDefault="00011DF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6757E" w:rsidRDefault="00011DF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w:t>
      </w:r>
      <w:r>
        <w:rPr>
          <w:color w:val="000000"/>
          <w:sz w:val="24"/>
        </w:rPr>
        <w:t>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757E" w:rsidRDefault="00011DF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w:t>
      </w:r>
      <w:r>
        <w:rPr>
          <w:color w:val="000000"/>
          <w:sz w:val="24"/>
        </w:rPr>
        <w:t>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E6757E" w:rsidRDefault="00011DF4">
      <w:pPr>
        <w:spacing w:before="29" w:line="288" w:lineRule="auto"/>
        <w:ind w:firstLineChars="200" w:firstLine="480"/>
        <w:rPr>
          <w:color w:val="000000"/>
          <w:sz w:val="24"/>
        </w:rPr>
      </w:pPr>
      <w:r>
        <w:rPr>
          <w:color w:val="000000"/>
          <w:sz w:val="24"/>
        </w:rPr>
        <w:t>整体来看，</w:t>
      </w:r>
      <w:r>
        <w:rPr>
          <w:color w:val="000000"/>
          <w:sz w:val="24"/>
        </w:rPr>
        <w:t>2018</w:t>
      </w:r>
      <w:r>
        <w:rPr>
          <w:color w:val="000000"/>
          <w:sz w:val="24"/>
        </w:rPr>
        <w:t>年债券市场在宽货币紧信用格局下走出牛市行情，债券收益率大幅下行，收益率曲线呈现牛市陡峭的特征，高等级信用利差随利率而压缩，低等级信用利差在违约频发的利空下不断走扩。债券市场总体演绎了宽货币紧信用的格局，央行四次降准导致短端利率大幅下行，长端利率也在贸易战反复发酵、去杠杆导致社融下滑以及经济预期明显回落等诸多因素的影响下不断走低。虽然</w:t>
      </w:r>
      <w:r>
        <w:rPr>
          <w:color w:val="000000"/>
          <w:sz w:val="24"/>
        </w:rPr>
        <w:t>2018</w:t>
      </w:r>
      <w:r>
        <w:rPr>
          <w:color w:val="000000"/>
          <w:sz w:val="24"/>
        </w:rPr>
        <w:t>年全年债券市场呈现收益率下行的趋势，但收益率下行过程中，市场也经历了两次较为明显的调整。</w:t>
      </w:r>
      <w:r>
        <w:rPr>
          <w:color w:val="000000"/>
          <w:sz w:val="24"/>
        </w:rPr>
        <w:t>2018</w:t>
      </w:r>
      <w:r>
        <w:rPr>
          <w:color w:val="000000"/>
          <w:sz w:val="24"/>
        </w:rPr>
        <w:t>年五月的调整主</w:t>
      </w:r>
      <w:r>
        <w:rPr>
          <w:color w:val="000000"/>
          <w:sz w:val="24"/>
        </w:rPr>
        <w:t>要来自资金面紧张、信用违约频发以及对稳增长的担忧。</w:t>
      </w:r>
      <w:r>
        <w:rPr>
          <w:color w:val="000000"/>
          <w:sz w:val="24"/>
        </w:rPr>
        <w:t>2018</w:t>
      </w:r>
      <w:r>
        <w:rPr>
          <w:color w:val="000000"/>
          <w:sz w:val="24"/>
        </w:rPr>
        <w:t>年八、九月的调整主要来自对信用扩张、通胀预期、地方债供给增加以及央行收紧资金面的担忧。</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报告期内，基于对经济基本面和政策的把握，并考虑组合收益稳定，组合配置了中性久期的利率债，享受收益率下行带来的资本利得收益。同时，组合配置了一定比例的中长久期利率债，波段操作增厚组合收益。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宏观基本面和货币政策趋势仍将有利于债券市场，一方面出口和地产对经济的拖累将逐步体现，另一方面货币政策为了对冲下滑也将会保持宽松。宽信用政策面临地方政府隐性债务监管、银行风险偏好和资本金不高以及严监管下非标难以明显扩张等诸多因素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w:t>
      </w:r>
      <w:r w:rsidRPr="001358D2">
        <w:rPr>
          <w:color w:val="000000"/>
          <w:sz w:val="24"/>
        </w:rPr>
        <w:t>2018</w:t>
      </w:r>
      <w:r w:rsidRPr="001358D2">
        <w:rPr>
          <w:color w:val="000000"/>
          <w:sz w:val="24"/>
        </w:rPr>
        <w:t>年那么顺畅，关注逆周期调节政策可能会导致社融同比阶段性企稳，猪价油价超预期上涨可能会对通胀预期产生扰动。操作策略方面，组合将继续以利率债投资为主要策略，关注利率品种的骑乘收益，做好中等久期品种的精选配置，同时积极进行灵活的利率债波段操作，以期增厚组合收益。</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lastRenderedPageBreak/>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E6757E" w:rsidRDefault="00011DF4">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6757E" w:rsidRDefault="00011DF4">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w:t>
      </w:r>
      <w:r>
        <w:rPr>
          <w:color w:val="000000"/>
          <w:sz w:val="24"/>
        </w:rPr>
        <w:t>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011DF4">
        <w:rPr>
          <w:rFonts w:hint="eastAsia"/>
          <w:color w:val="000000"/>
          <w:sz w:val="24"/>
        </w:rPr>
        <w:t>年度</w:t>
      </w:r>
      <w:r w:rsidR="00011DF4">
        <w:rPr>
          <w:color w:val="000000"/>
          <w:sz w:val="24"/>
        </w:rPr>
        <w:t>报告正文</w:t>
      </w:r>
      <w:bookmarkStart w:id="40" w:name="_GoBack"/>
      <w:bookmarkEnd w:id="40"/>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万元的情形，截至本报告期末，本基金基金资产净值已高于</w:t>
      </w:r>
      <w:r w:rsidRPr="00BB731C">
        <w:rPr>
          <w:kern w:val="0"/>
          <w:sz w:val="24"/>
        </w:rPr>
        <w:t>5000</w:t>
      </w:r>
      <w:r w:rsidRPr="00BB731C">
        <w:rPr>
          <w:kern w:val="0"/>
          <w:sz w:val="24"/>
        </w:rPr>
        <w:t>万元。</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作为本基金的托管人，中信银行严格遵守了《证券投资基金法》及其他有关法律法规、基金合同和托管协议的规定，对交银施罗德丰润收益债券型证券投资基金</w:t>
      </w:r>
      <w:r w:rsidRPr="005A1E76">
        <w:rPr>
          <w:color w:val="000000"/>
          <w:sz w:val="24"/>
        </w:rPr>
        <w:t>2018</w:t>
      </w:r>
      <w:r w:rsidRPr="005A1E76">
        <w:rPr>
          <w:color w:val="000000"/>
          <w:sz w:val="24"/>
        </w:rPr>
        <w:t>年度的投资运作，进行了认真、独立的会计核算和必要的投资监督，履行了托管人的义务，不存在任何损害基金份额持有人利益的行为。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本托管人认为，交银施罗德基金管理有限公司在交银施罗德丰润收益债券型证券投</w:t>
      </w:r>
      <w:r w:rsidRPr="005A1E76">
        <w:rPr>
          <w:color w:val="000000"/>
          <w:sz w:val="24"/>
        </w:rPr>
        <w:lastRenderedPageBreak/>
        <w:t>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丰润收益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交银施罗德丰润收益债券型证券投资基金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21519</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交银施罗德丰润收益债券型证券投资基金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f1"/>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f1"/>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1,690,124.77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935,723.47</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4,550,454.55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1,959.60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616.55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1,287,409,000.00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4,970,797,000.00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lastRenderedPageBreak/>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1,287,409,000.00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4,970,797,000.00</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f1"/>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14,000,000.00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27,010.41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31,096,518.41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50,717,971.76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3,143.40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198.73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1,320,200,746.18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5,041,028,975.47</w:t>
            </w:r>
          </w:p>
        </w:tc>
      </w:tr>
      <w:tr w:rsidR="00CA6575" w:rsidRPr="008B2C7A" w:rsidTr="001E4298">
        <w:tc>
          <w:tcPr>
            <w:tcW w:w="3544" w:type="dxa"/>
            <w:vAlign w:val="center"/>
          </w:tcPr>
          <w:p w:rsidR="00CA6575" w:rsidRPr="00A14B0E" w:rsidRDefault="00CA6575" w:rsidP="00A14B0E">
            <w:pPr>
              <w:pStyle w:val="aff1"/>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f1"/>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186,353,400.47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3,224.09</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79,648.54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287,384.18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1,283,011.82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95,794.75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427,670.59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330.35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690.74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22,995.91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34,917.06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232,715.95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139,301.15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187,135,146.85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1,925,938.75</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1,079,293,816.82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4,913,282,488.74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53,771,782.51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125,820,547.98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1,133,065,599.33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5,039,103,036.72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1,320,200,746.18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5,041,028,975.47</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1.0498</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1.0435</w:t>
      </w:r>
      <w:r w:rsidR="001A59F9" w:rsidRPr="00E25C2A">
        <w:rPr>
          <w:kern w:val="0"/>
          <w:sz w:val="24"/>
        </w:rPr>
        <w:t>元，基金份额总额</w:t>
      </w:r>
      <w:r w:rsidR="001A59F9" w:rsidRPr="00E25C2A">
        <w:rPr>
          <w:kern w:val="0"/>
          <w:sz w:val="24"/>
        </w:rPr>
        <w:t>1,079,293,816.82</w:t>
      </w:r>
      <w:r w:rsidR="001A59F9" w:rsidRPr="00E25C2A">
        <w:rPr>
          <w:kern w:val="0"/>
          <w:sz w:val="24"/>
        </w:rPr>
        <w:t>份，其中</w:t>
      </w:r>
      <w:r w:rsidR="001A59F9" w:rsidRPr="00E25C2A">
        <w:rPr>
          <w:kern w:val="0"/>
          <w:sz w:val="24"/>
        </w:rPr>
        <w:t>A</w:t>
      </w:r>
      <w:r w:rsidR="001A59F9" w:rsidRPr="00E25C2A">
        <w:rPr>
          <w:kern w:val="0"/>
          <w:sz w:val="24"/>
        </w:rPr>
        <w:t>类基金份额总额</w:t>
      </w:r>
      <w:r w:rsidR="001A59F9" w:rsidRPr="00E25C2A">
        <w:rPr>
          <w:kern w:val="0"/>
          <w:sz w:val="24"/>
        </w:rPr>
        <w:t>1,078,374,867.81</w:t>
      </w:r>
      <w:r w:rsidR="001A59F9" w:rsidRPr="00E25C2A">
        <w:rPr>
          <w:kern w:val="0"/>
          <w:sz w:val="24"/>
        </w:rPr>
        <w:t>份，</w:t>
      </w:r>
      <w:r w:rsidR="001A59F9" w:rsidRPr="00E25C2A">
        <w:rPr>
          <w:kern w:val="0"/>
          <w:sz w:val="24"/>
        </w:rPr>
        <w:t>C</w:t>
      </w:r>
      <w:r w:rsidR="001A59F9" w:rsidRPr="00E25C2A">
        <w:rPr>
          <w:kern w:val="0"/>
          <w:sz w:val="24"/>
        </w:rPr>
        <w:t>类基金份额总额</w:t>
      </w:r>
      <w:r w:rsidR="001A59F9" w:rsidRPr="00E25C2A">
        <w:rPr>
          <w:kern w:val="0"/>
          <w:sz w:val="24"/>
        </w:rPr>
        <w:t>918,949.01</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交银施罗德丰润收益债券型证券投资基金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f1"/>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f1"/>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f1"/>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256,886,384.70</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25,802,468.92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175,935,773.89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32,420,863.39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147,879.67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4,485,157.82</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173,090,254.53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23,016,339.78</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2,431,346.31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266,293.38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4,919,365.79</w:t>
            </w:r>
          </w:p>
        </w:tc>
      </w:tr>
      <w:tr w:rsidR="009D7094" w:rsidRPr="008B2C7A" w:rsidTr="00591BC9">
        <w:tc>
          <w:tcPr>
            <w:tcW w:w="3544" w:type="dxa"/>
            <w:vAlign w:val="center"/>
          </w:tcPr>
          <w:p w:rsidR="009D7094" w:rsidRPr="005128E2" w:rsidRDefault="009D7094" w:rsidP="005128E2">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65,984,076.89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-146,840.00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62,729,840.86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-146,840.00</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3,254,236.03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f1"/>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13,703,276.02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-6,473,626.20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1,263,257.90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2,071.73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43,471,270.37</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4,154,156.66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9,088,041.31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2,538,677.41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3,029,347.18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811,407.14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4,249.49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525,548.66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61,907.66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21,418.56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30,757,086.67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62,070.39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30,757,086.67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62,070.39</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f1"/>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340,970.55</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189,667.51</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195,034.50</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213,415,114.33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21,648,312.26</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213,415,114.33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21,648,312.26</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交银施罗德丰润收益债券型证券投资基金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4,913,282,488.74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125,820,547.98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5,039,103,036.72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213,415,114.33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213,415,114.33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-3,833,988,671.92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-103,846,190.69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-3,937,834,862.61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1,066,620,565.66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39,358,552.80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1,105,979,118.46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-4,900,609,237.58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-143,204,743.49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-5,043,813,981.07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-181,617,689.11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-181,617,689.11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1,079,293,816.82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53,771,782.51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1,133,065,599.33</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f1"/>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79,051,628.96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820,121.97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79,871,750.93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21,648,312.26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21,648,312.26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4,834,230,859.78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103,352,113.75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4,937,582,973.53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9,857,903,884.63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182,051,403.73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10,039,955,288.36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-5,023,673,024.85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-78,699,289.98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-5,102,372,314.83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4,913,282,488.74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125,820,547.98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5,039,103,036.72</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E6757E" w:rsidRDefault="00011DF4">
      <w:pPr>
        <w:spacing w:before="29" w:line="288" w:lineRule="auto"/>
        <w:ind w:firstLineChars="200" w:firstLine="480"/>
        <w:rPr>
          <w:color w:val="000000"/>
          <w:sz w:val="24"/>
        </w:rPr>
      </w:pPr>
      <w:r>
        <w:rPr>
          <w:color w:val="000000"/>
          <w:sz w:val="24"/>
        </w:rPr>
        <w:t>交银施罗德丰润收益债券型证券投资基金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[2014]1116</w:t>
      </w:r>
      <w:r>
        <w:rPr>
          <w:color w:val="000000"/>
          <w:sz w:val="24"/>
        </w:rPr>
        <w:t>号《关于准予交银施罗德丰润收益</w:t>
      </w:r>
      <w:r>
        <w:rPr>
          <w:color w:val="000000"/>
          <w:sz w:val="24"/>
        </w:rPr>
        <w:lastRenderedPageBreak/>
        <w:t>债券型证券投资基金注册的批复》核准，由交银施罗德基金管理有限公司依照《中华人民共和国证券投资基金法》和《交银施罗德丰润收益债券型证券投资基金基金合同》负责公开募集。本基金为契约型基金，存续期限不定，本基金在基金合同生效之日起两年（含两年）的期间内封闭式运作（按照基金合同的约定提前转换基金运作方式的除外</w:t>
      </w:r>
      <w:r>
        <w:rPr>
          <w:color w:val="000000"/>
          <w:sz w:val="24"/>
        </w:rPr>
        <w:t>)</w:t>
      </w:r>
      <w:r>
        <w:rPr>
          <w:color w:val="000000"/>
          <w:sz w:val="24"/>
        </w:rPr>
        <w:t>，封闭期结束后转为开放式运作，本基金首次设</w:t>
      </w:r>
      <w:r>
        <w:rPr>
          <w:color w:val="000000"/>
          <w:sz w:val="24"/>
        </w:rPr>
        <w:t>立募集不包括认购资金利息共募集人民币</w:t>
      </w:r>
      <w:r>
        <w:rPr>
          <w:color w:val="000000"/>
          <w:sz w:val="24"/>
        </w:rPr>
        <w:t>425,272,011.28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789</w:t>
      </w:r>
      <w:r>
        <w:rPr>
          <w:color w:val="000000"/>
          <w:sz w:val="24"/>
        </w:rPr>
        <w:t>号验资报告予以验证。经向中国证监会备案，《交银施罗德丰润收益债券型证券投资基金基金合同》于</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日正式生效，基金合同生效日的基金份额总额为</w:t>
      </w:r>
      <w:r>
        <w:rPr>
          <w:color w:val="000000"/>
          <w:sz w:val="24"/>
        </w:rPr>
        <w:t>425,488,278.42</w:t>
      </w:r>
      <w:r>
        <w:rPr>
          <w:color w:val="000000"/>
          <w:sz w:val="24"/>
        </w:rPr>
        <w:t>份基金份额，其中认购资金利息折合</w:t>
      </w:r>
      <w:r>
        <w:rPr>
          <w:color w:val="000000"/>
          <w:sz w:val="24"/>
        </w:rPr>
        <w:t>216,267.14</w:t>
      </w:r>
      <w:r>
        <w:rPr>
          <w:color w:val="000000"/>
          <w:sz w:val="24"/>
        </w:rPr>
        <w:t>份基金份额。本基金的基金管理人为交银施罗德基金管理有限公司，基金托管人为中信银行股份有限公司。</w:t>
      </w:r>
      <w:r>
        <w:rPr>
          <w:color w:val="000000"/>
          <w:sz w:val="24"/>
        </w:rPr>
        <w:t xml:space="preserve"> </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根据《交银施罗德丰润收益债券型证</w:t>
      </w:r>
      <w:r>
        <w:rPr>
          <w:color w:val="000000"/>
          <w:sz w:val="24"/>
        </w:rPr>
        <w:t>券投资基金基金合同》和《交银施罗德丰润收益债券型证券投资基金招募说明书》，认购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类基金份额；本基金募集期内开放</w:t>
      </w:r>
      <w:r>
        <w:rPr>
          <w:color w:val="000000"/>
          <w:sz w:val="24"/>
        </w:rPr>
        <w:t>A</w:t>
      </w:r>
      <w:r>
        <w:rPr>
          <w:color w:val="000000"/>
          <w:sz w:val="24"/>
        </w:rPr>
        <w:t>类基金份额和</w:t>
      </w:r>
      <w:r>
        <w:rPr>
          <w:color w:val="000000"/>
          <w:sz w:val="24"/>
        </w:rPr>
        <w:t>C</w:t>
      </w:r>
      <w:r>
        <w:rPr>
          <w:color w:val="000000"/>
          <w:sz w:val="24"/>
        </w:rPr>
        <w:t>类基金份额的认购，基金转为开放式运作后</w:t>
      </w:r>
      <w:r>
        <w:rPr>
          <w:color w:val="000000"/>
          <w:sz w:val="24"/>
        </w:rPr>
        <w:t>可视业务情况择时增开</w:t>
      </w:r>
      <w:r>
        <w:rPr>
          <w:color w:val="000000"/>
          <w:sz w:val="24"/>
        </w:rPr>
        <w:t>B</w:t>
      </w:r>
      <w:r>
        <w:rPr>
          <w:color w:val="000000"/>
          <w:sz w:val="24"/>
        </w:rPr>
        <w:t>类基金份额的申购。根据《交银施罗德丰润收益债券型证券投资基金基金合同》、《交银施罗德丰润收益债券型证券投资基金招募说明书》及《关于交银施罗德丰润收益债券型证券投资基金封闭期结束转为开放式运作暨开放日常申购、赎回、定期定额投资业务并参与部分销售机构申购费率优惠活动的公告》的相关规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的期间内，采取封闭式运作，封闭期结束后转为开放式基金。本基金封闭期自</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2016</w:t>
      </w:r>
      <w:r>
        <w:rPr>
          <w:color w:val="000000"/>
          <w:sz w:val="24"/>
        </w:rPr>
        <w:t>年</w:t>
      </w:r>
      <w:r>
        <w:rPr>
          <w:color w:val="000000"/>
          <w:sz w:val="24"/>
        </w:rPr>
        <w:t>12</w:t>
      </w:r>
      <w:r>
        <w:rPr>
          <w:color w:val="000000"/>
          <w:sz w:val="24"/>
        </w:rPr>
        <w:t>月</w:t>
      </w:r>
      <w:r>
        <w:rPr>
          <w:color w:val="000000"/>
          <w:sz w:val="24"/>
        </w:rPr>
        <w:t>15</w:t>
      </w:r>
      <w:r>
        <w:rPr>
          <w:color w:val="000000"/>
          <w:sz w:val="24"/>
        </w:rPr>
        <w:t>日止，自</w:t>
      </w:r>
      <w:r>
        <w:rPr>
          <w:color w:val="000000"/>
          <w:sz w:val="24"/>
        </w:rPr>
        <w:t>2016</w:t>
      </w:r>
      <w:r>
        <w:rPr>
          <w:color w:val="000000"/>
          <w:sz w:val="24"/>
        </w:rPr>
        <w:t>年</w:t>
      </w:r>
      <w:r>
        <w:rPr>
          <w:color w:val="000000"/>
          <w:sz w:val="24"/>
        </w:rPr>
        <w:t>12</w:t>
      </w:r>
      <w:r>
        <w:rPr>
          <w:color w:val="000000"/>
          <w:sz w:val="24"/>
        </w:rPr>
        <w:t>月</w:t>
      </w:r>
      <w:r>
        <w:rPr>
          <w:color w:val="000000"/>
          <w:sz w:val="24"/>
        </w:rPr>
        <w:t>16</w:t>
      </w:r>
      <w:r>
        <w:rPr>
          <w:color w:val="000000"/>
          <w:sz w:val="24"/>
        </w:rPr>
        <w:t>日起转为开</w:t>
      </w:r>
      <w:r>
        <w:rPr>
          <w:color w:val="000000"/>
          <w:sz w:val="24"/>
        </w:rPr>
        <w:t>放式运作，并自该日起开始办理日常申购、赎回业务。</w:t>
      </w:r>
      <w:r>
        <w:rPr>
          <w:color w:val="000000"/>
          <w:sz w:val="24"/>
        </w:rPr>
        <w:t xml:space="preserve"> </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w:t>
      </w:r>
      <w:r>
        <w:rPr>
          <w:color w:val="000000"/>
          <w:sz w:val="24"/>
        </w:rPr>
        <w:t>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w:t>
      </w:r>
      <w:r>
        <w:rPr>
          <w:color w:val="000000"/>
          <w:sz w:val="24"/>
        </w:rPr>
        <w:lastRenderedPageBreak/>
        <w:t>的投资组合比例为投资于债券资产的比例不低于基金资产的</w:t>
      </w:r>
      <w:r>
        <w:rPr>
          <w:color w:val="000000"/>
          <w:sz w:val="24"/>
        </w:rPr>
        <w:t>80%</w:t>
      </w:r>
      <w:r>
        <w:rPr>
          <w:color w:val="000000"/>
          <w:sz w:val="24"/>
        </w:rPr>
        <w:t>，但在封闭期结束前三个月和转开放后三个月内，基金投资不受上述债券资产投资比例限制。本基金在开放期内，现金或到期日在一年以内的政府债券的比例合计不低于基金资产净值的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，其中现金不包括结算备付金、存出保证金和应收申购款等。本基金封</w:t>
      </w:r>
      <w:r>
        <w:rPr>
          <w:color w:val="000000"/>
          <w:sz w:val="24"/>
        </w:rPr>
        <w:t>闭期内投资的业绩比较基准为两年期银行定期存款税后收益率</w:t>
      </w:r>
      <w:r>
        <w:rPr>
          <w:color w:val="000000"/>
          <w:sz w:val="24"/>
        </w:rPr>
        <w:t>+1.25%</w:t>
      </w:r>
      <w:r>
        <w:rPr>
          <w:color w:val="000000"/>
          <w:sz w:val="24"/>
        </w:rPr>
        <w:t>，本基金开放期内投资的业绩比较基准为中债综合全价指数。</w:t>
      </w:r>
    </w:p>
    <w:p w:rsidR="00E6757E" w:rsidRDefault="00E6757E">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E6757E" w:rsidRDefault="00011DF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颁布的《证券投资基金会计核算业务指引》、《交银施罗德丰润收益债券型证券投资基金基金合同》和在财务报表附注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E6757E" w:rsidRDefault="00E6757E">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E6757E" w:rsidRDefault="00011DF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6757E" w:rsidRDefault="00E6757E">
      <w:pPr>
        <w:spacing w:before="29" w:line="288" w:lineRule="auto"/>
        <w:ind w:firstLineChars="200" w:firstLine="480"/>
        <w:rPr>
          <w:color w:val="000000"/>
          <w:sz w:val="24"/>
        </w:rPr>
      </w:pP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w:t>
      </w:r>
      <w:r>
        <w:rPr>
          <w:color w:val="000000"/>
          <w:sz w:val="24"/>
        </w:rPr>
        <w:t>过程中发生的增值税应税行为，未缴纳增值税的，不再缴纳；已缴纳增值税的，已纳税额从资管产品管理人以后月份的增值税应纳税额中抵减。</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w:t>
      </w:r>
      <w:r>
        <w:rPr>
          <w:color w:val="000000"/>
          <w:sz w:val="24"/>
        </w:rPr>
        <w:t>入价计算销售额。</w:t>
      </w:r>
    </w:p>
    <w:p w:rsidR="00E6757E" w:rsidRDefault="00E6757E">
      <w:pPr>
        <w:spacing w:before="29" w:line="288" w:lineRule="auto"/>
        <w:ind w:firstLineChars="200" w:firstLine="480"/>
        <w:rPr>
          <w:color w:val="000000"/>
          <w:sz w:val="24"/>
        </w:rPr>
      </w:pP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lastRenderedPageBreak/>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w:t>
      </w:r>
      <w:r>
        <w:rPr>
          <w:color w:val="000000"/>
          <w:sz w:val="24"/>
        </w:rPr>
        <w:t>个人所得税。</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E6757E" w:rsidRDefault="00E6757E">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(5)</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E6757E">
        <w:tc>
          <w:tcPr>
            <w:tcW w:w="5219" w:type="dxa"/>
            <w:vAlign w:val="center"/>
          </w:tcPr>
          <w:p w:rsidR="00E6757E" w:rsidRDefault="00011DF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6757E" w:rsidRDefault="00011DF4">
            <w:pPr>
              <w:jc w:val="center"/>
            </w:pPr>
            <w:r>
              <w:rPr>
                <w:color w:val="000000"/>
                <w:sz w:val="24"/>
              </w:rPr>
              <w:t>基金管理人、基金销售机构</w:t>
            </w:r>
          </w:p>
        </w:tc>
      </w:tr>
      <w:tr w:rsidR="00E6757E">
        <w:tc>
          <w:tcPr>
            <w:tcW w:w="5219" w:type="dxa"/>
            <w:vAlign w:val="center"/>
          </w:tcPr>
          <w:p w:rsidR="00E6757E" w:rsidRDefault="00011DF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E6757E" w:rsidRDefault="00011DF4">
            <w:pPr>
              <w:jc w:val="center"/>
            </w:pPr>
            <w:r>
              <w:rPr>
                <w:color w:val="000000"/>
                <w:sz w:val="24"/>
              </w:rPr>
              <w:t>基金托管人、基金销售机构</w:t>
            </w:r>
          </w:p>
        </w:tc>
      </w:tr>
      <w:tr w:rsidR="00E6757E">
        <w:tc>
          <w:tcPr>
            <w:tcW w:w="5219" w:type="dxa"/>
            <w:vAlign w:val="center"/>
          </w:tcPr>
          <w:p w:rsidR="00E6757E" w:rsidRDefault="00011DF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6757E" w:rsidRDefault="00011DF4">
            <w:pPr>
              <w:jc w:val="center"/>
            </w:pPr>
            <w:r>
              <w:rPr>
                <w:color w:val="000000"/>
                <w:sz w:val="24"/>
              </w:rPr>
              <w:t>基金管理人的股东、基金销售机构</w:t>
            </w:r>
          </w:p>
        </w:tc>
      </w:tr>
      <w:tr w:rsidR="00E6757E">
        <w:tc>
          <w:tcPr>
            <w:tcW w:w="5219" w:type="dxa"/>
            <w:vAlign w:val="center"/>
          </w:tcPr>
          <w:p w:rsidR="00E6757E" w:rsidRDefault="00011DF4">
            <w:pPr>
              <w:jc w:val="left"/>
            </w:pPr>
            <w:r>
              <w:rPr>
                <w:color w:val="000000"/>
                <w:sz w:val="24"/>
              </w:rPr>
              <w:t>施罗德投资管理有限公司</w:t>
            </w:r>
          </w:p>
        </w:tc>
        <w:tc>
          <w:tcPr>
            <w:tcW w:w="3779" w:type="dxa"/>
            <w:vAlign w:val="center"/>
          </w:tcPr>
          <w:p w:rsidR="00E6757E" w:rsidRDefault="00011DF4">
            <w:pPr>
              <w:jc w:val="center"/>
            </w:pPr>
            <w:r>
              <w:rPr>
                <w:color w:val="000000"/>
                <w:sz w:val="24"/>
              </w:rPr>
              <w:t>基金管理人的股东</w:t>
            </w:r>
          </w:p>
        </w:tc>
      </w:tr>
      <w:tr w:rsidR="00E6757E">
        <w:tc>
          <w:tcPr>
            <w:tcW w:w="5219" w:type="dxa"/>
            <w:vAlign w:val="center"/>
          </w:tcPr>
          <w:p w:rsidR="00E6757E" w:rsidRDefault="00011DF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E6757E" w:rsidRDefault="00011DF4">
            <w:pPr>
              <w:jc w:val="center"/>
            </w:pPr>
            <w:r>
              <w:rPr>
                <w:color w:val="000000"/>
                <w:sz w:val="24"/>
              </w:rPr>
              <w:t>基金管理人的股东</w:t>
            </w:r>
          </w:p>
        </w:tc>
      </w:tr>
      <w:tr w:rsidR="00E6757E">
        <w:tc>
          <w:tcPr>
            <w:tcW w:w="5219" w:type="dxa"/>
            <w:vAlign w:val="center"/>
          </w:tcPr>
          <w:p w:rsidR="00E6757E" w:rsidRDefault="00011DF4">
            <w:pPr>
              <w:jc w:val="left"/>
            </w:pPr>
            <w:r>
              <w:rPr>
                <w:color w:val="000000"/>
                <w:sz w:val="24"/>
              </w:rPr>
              <w:t>交银施罗德资产管理有限公司</w:t>
            </w:r>
          </w:p>
        </w:tc>
        <w:tc>
          <w:tcPr>
            <w:tcW w:w="3779" w:type="dxa"/>
            <w:vAlign w:val="center"/>
          </w:tcPr>
          <w:p w:rsidR="00E6757E" w:rsidRDefault="00011DF4">
            <w:pPr>
              <w:jc w:val="center"/>
            </w:pPr>
            <w:r>
              <w:rPr>
                <w:color w:val="000000"/>
                <w:sz w:val="24"/>
              </w:rPr>
              <w:t>基金管理人的子公司</w:t>
            </w:r>
          </w:p>
        </w:tc>
      </w:tr>
      <w:tr w:rsidR="00E6757E">
        <w:tc>
          <w:tcPr>
            <w:tcW w:w="5219" w:type="dxa"/>
            <w:vAlign w:val="center"/>
          </w:tcPr>
          <w:p w:rsidR="00E6757E" w:rsidRDefault="00011DF4">
            <w:pPr>
              <w:jc w:val="left"/>
            </w:pPr>
            <w:r>
              <w:rPr>
                <w:color w:val="000000"/>
                <w:sz w:val="24"/>
              </w:rPr>
              <w:t>上海直源投资管理有限公司</w:t>
            </w:r>
          </w:p>
        </w:tc>
        <w:tc>
          <w:tcPr>
            <w:tcW w:w="3779" w:type="dxa"/>
            <w:vAlign w:val="center"/>
          </w:tcPr>
          <w:p w:rsidR="00E6757E" w:rsidRDefault="00011DF4">
            <w:pPr>
              <w:jc w:val="center"/>
            </w:pPr>
            <w:r>
              <w:rPr>
                <w:color w:val="000000"/>
                <w:sz w:val="24"/>
              </w:rPr>
              <w:t>受基金管理人控制的公司</w:t>
            </w:r>
          </w:p>
        </w:tc>
      </w:tr>
      <w:tr w:rsidR="00E6757E">
        <w:tc>
          <w:tcPr>
            <w:tcW w:w="5219" w:type="dxa"/>
            <w:vAlign w:val="center"/>
          </w:tcPr>
          <w:p w:rsidR="00E6757E" w:rsidRDefault="00011DF4">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E6757E" w:rsidRDefault="00011DF4">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9,088,041.31</w:t>
            </w:r>
          </w:p>
        </w:tc>
        <w:tc>
          <w:tcPr>
            <w:tcW w:w="2657" w:type="dxa"/>
            <w:vAlign w:val="center"/>
          </w:tcPr>
          <w:p w:rsidR="001A59F9" w:rsidRPr="00817316" w:rsidRDefault="001A59F9" w:rsidP="00817316">
            <w:pPr>
              <w:spacing w:before="29" w:line="288" w:lineRule="auto"/>
              <w:jc w:val="right"/>
              <w:rPr>
                <w:sz w:val="24"/>
              </w:rPr>
            </w:pPr>
            <w:r w:rsidRPr="00817316">
              <w:rPr>
                <w:sz w:val="24"/>
              </w:rPr>
              <w:t>2,538,677.41</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4,325,505.44</w:t>
            </w:r>
          </w:p>
        </w:tc>
        <w:tc>
          <w:tcPr>
            <w:tcW w:w="2657" w:type="dxa"/>
            <w:vAlign w:val="center"/>
          </w:tcPr>
          <w:p w:rsidR="001A59F9" w:rsidRPr="00817316" w:rsidRDefault="001A59F9" w:rsidP="00817316">
            <w:pPr>
              <w:spacing w:before="29" w:line="288" w:lineRule="auto"/>
              <w:jc w:val="right"/>
              <w:rPr>
                <w:sz w:val="24"/>
              </w:rPr>
            </w:pPr>
            <w:r w:rsidRPr="00817316">
              <w:rPr>
                <w:sz w:val="24"/>
              </w:rPr>
              <w:t>1,060,472.84</w:t>
            </w:r>
          </w:p>
        </w:tc>
      </w:tr>
    </w:tbl>
    <w:p w:rsidR="00E6757E" w:rsidRDefault="00011DF4">
      <w:pPr>
        <w:tabs>
          <w:tab w:val="left" w:pos="426"/>
        </w:tabs>
        <w:spacing w:before="29" w:line="288" w:lineRule="auto"/>
        <w:jc w:val="left"/>
        <w:rPr>
          <w:kern w:val="0"/>
          <w:sz w:val="24"/>
        </w:rPr>
      </w:pPr>
      <w:r>
        <w:rPr>
          <w:kern w:val="0"/>
          <w:sz w:val="24"/>
        </w:rPr>
        <w:lastRenderedPageBreak/>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7</w:t>
      </w:r>
      <w:r>
        <w:rPr>
          <w:kern w:val="0"/>
          <w:sz w:val="24"/>
        </w:rPr>
        <w:t>月</w:t>
      </w:r>
      <w:r>
        <w:rPr>
          <w:kern w:val="0"/>
          <w:sz w:val="24"/>
        </w:rPr>
        <w:t>31</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E6757E" w:rsidRDefault="00011DF4">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0.80%÷ </w:t>
      </w:r>
      <w:r>
        <w:rPr>
          <w:kern w:val="0"/>
          <w:sz w:val="24"/>
        </w:rPr>
        <w:t>当年天数。</w:t>
      </w:r>
    </w:p>
    <w:p w:rsidR="00E6757E" w:rsidRDefault="00011DF4">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8</w:t>
      </w:r>
      <w:r>
        <w:rPr>
          <w:kern w:val="0"/>
          <w:sz w:val="24"/>
        </w:rPr>
        <w:t>月</w:t>
      </w:r>
      <w:r>
        <w:rPr>
          <w:kern w:val="0"/>
          <w:sz w:val="24"/>
        </w:rPr>
        <w:t>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3,029,347.18</w:t>
            </w:r>
          </w:p>
        </w:tc>
        <w:tc>
          <w:tcPr>
            <w:tcW w:w="2657" w:type="dxa"/>
            <w:vAlign w:val="center"/>
          </w:tcPr>
          <w:p w:rsidR="001A59F9" w:rsidRPr="00817316" w:rsidRDefault="001A59F9" w:rsidP="00817316">
            <w:pPr>
              <w:spacing w:before="29" w:line="288" w:lineRule="auto"/>
              <w:jc w:val="right"/>
              <w:rPr>
                <w:sz w:val="24"/>
              </w:rPr>
            </w:pPr>
            <w:r w:rsidRPr="00817316">
              <w:rPr>
                <w:sz w:val="24"/>
              </w:rPr>
              <w:t>811,407.14</w:t>
            </w:r>
          </w:p>
        </w:tc>
      </w:tr>
    </w:tbl>
    <w:p w:rsidR="00E6757E" w:rsidRDefault="00011DF4">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07</w:t>
      </w:r>
      <w:r>
        <w:rPr>
          <w:kern w:val="0"/>
          <w:sz w:val="24"/>
        </w:rPr>
        <w:t>月</w:t>
      </w:r>
      <w:r>
        <w:rPr>
          <w:kern w:val="0"/>
          <w:sz w:val="24"/>
        </w:rPr>
        <w:t>31</w:t>
      </w:r>
      <w:r>
        <w:rPr>
          <w:kern w:val="0"/>
          <w:sz w:val="24"/>
        </w:rPr>
        <w:t>日，支付基金托管人</w:t>
      </w:r>
      <w:r>
        <w:rPr>
          <w:kern w:val="0"/>
          <w:sz w:val="24"/>
        </w:rPr>
        <w:t xml:space="preserve"> </w:t>
      </w:r>
      <w:r>
        <w:rPr>
          <w:kern w:val="0"/>
          <w:sz w:val="24"/>
        </w:rPr>
        <w:t>的托管费按前一日基金资产净值</w:t>
      </w:r>
      <w:r>
        <w:rPr>
          <w:kern w:val="0"/>
          <w:sz w:val="24"/>
        </w:rPr>
        <w:t>0.15%</w:t>
      </w:r>
      <w:r>
        <w:rPr>
          <w:kern w:val="0"/>
          <w:sz w:val="24"/>
        </w:rPr>
        <w:t>的年费率计提，逐日累计至每月月底，按月支付。其计算公式为：</w:t>
      </w:r>
    </w:p>
    <w:p w:rsidR="00E6757E" w:rsidRDefault="00011DF4">
      <w:pPr>
        <w:tabs>
          <w:tab w:val="left" w:pos="426"/>
        </w:tabs>
        <w:spacing w:before="29" w:line="288" w:lineRule="auto"/>
        <w:jc w:val="left"/>
        <w:rPr>
          <w:kern w:val="0"/>
          <w:sz w:val="24"/>
        </w:rPr>
      </w:pPr>
      <w:r>
        <w:rPr>
          <w:kern w:val="0"/>
          <w:sz w:val="24"/>
        </w:rPr>
        <w:t>日托管费＝前一日基金资产净值</w:t>
      </w:r>
      <w:r>
        <w:rPr>
          <w:kern w:val="0"/>
          <w:sz w:val="24"/>
        </w:rPr>
        <w:t xml:space="preserve"> × 0.15%÷</w:t>
      </w:r>
      <w:r>
        <w:rPr>
          <w:kern w:val="0"/>
          <w:sz w:val="24"/>
        </w:rPr>
        <w:t>当年天数。</w:t>
      </w:r>
    </w:p>
    <w:p w:rsidR="00E6757E" w:rsidRDefault="00011DF4">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根据基金份额持有人大会表决通过的《交银施罗德基金管理有限公司关于交银施罗德丰润收益债券型证券投资基金基金份额持有人大会表决结果暨决议生效的公告》，自</w:t>
      </w:r>
      <w:r>
        <w:rPr>
          <w:kern w:val="0"/>
          <w:sz w:val="24"/>
        </w:rPr>
        <w:t>2017</w:t>
      </w:r>
      <w:r>
        <w:rPr>
          <w:kern w:val="0"/>
          <w:sz w:val="24"/>
        </w:rPr>
        <w:t>年</w:t>
      </w:r>
      <w:r>
        <w:rPr>
          <w:kern w:val="0"/>
          <w:sz w:val="24"/>
        </w:rPr>
        <w:t>08</w:t>
      </w:r>
      <w:r>
        <w:rPr>
          <w:kern w:val="0"/>
          <w:sz w:val="24"/>
        </w:rPr>
        <w:t>月</w:t>
      </w:r>
      <w:r>
        <w:rPr>
          <w:kern w:val="0"/>
          <w:sz w:val="24"/>
        </w:rPr>
        <w:t>01</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 xml:space="preserve"> × 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6757E">
        <w:tc>
          <w:tcPr>
            <w:tcW w:w="2045" w:type="dxa"/>
            <w:vAlign w:val="center"/>
          </w:tcPr>
          <w:p w:rsidR="00E6757E" w:rsidRDefault="00011DF4">
            <w:pPr>
              <w:jc w:val="left"/>
            </w:pPr>
            <w:r>
              <w:rPr>
                <w:sz w:val="24"/>
              </w:rPr>
              <w:t>中信银行</w:t>
            </w:r>
          </w:p>
        </w:tc>
        <w:tc>
          <w:tcPr>
            <w:tcW w:w="2455" w:type="dxa"/>
            <w:vAlign w:val="center"/>
          </w:tcPr>
          <w:p w:rsidR="00E6757E" w:rsidRDefault="00011DF4">
            <w:pPr>
              <w:jc w:val="right"/>
            </w:pPr>
            <w:r>
              <w:rPr>
                <w:sz w:val="24"/>
              </w:rPr>
              <w:t>-</w:t>
            </w:r>
          </w:p>
        </w:tc>
        <w:tc>
          <w:tcPr>
            <w:tcW w:w="2609" w:type="dxa"/>
            <w:vAlign w:val="center"/>
          </w:tcPr>
          <w:p w:rsidR="00E6757E" w:rsidRDefault="00011DF4">
            <w:pPr>
              <w:jc w:val="right"/>
            </w:pPr>
            <w:r>
              <w:rPr>
                <w:sz w:val="24"/>
              </w:rPr>
              <w:t>1,391.30</w:t>
            </w:r>
          </w:p>
        </w:tc>
        <w:tc>
          <w:tcPr>
            <w:tcW w:w="1889" w:type="dxa"/>
            <w:vAlign w:val="center"/>
          </w:tcPr>
          <w:p w:rsidR="00E6757E" w:rsidRDefault="00011DF4">
            <w:pPr>
              <w:jc w:val="right"/>
            </w:pPr>
            <w:r>
              <w:rPr>
                <w:sz w:val="24"/>
              </w:rPr>
              <w:t>1,391.30</w:t>
            </w:r>
          </w:p>
        </w:tc>
      </w:tr>
      <w:tr w:rsidR="00E6757E">
        <w:tc>
          <w:tcPr>
            <w:tcW w:w="2045" w:type="dxa"/>
            <w:vAlign w:val="center"/>
          </w:tcPr>
          <w:p w:rsidR="00E6757E" w:rsidRDefault="00011DF4">
            <w:pPr>
              <w:jc w:val="left"/>
            </w:pPr>
            <w:r>
              <w:rPr>
                <w:sz w:val="24"/>
              </w:rPr>
              <w:t>交通银行</w:t>
            </w:r>
          </w:p>
        </w:tc>
        <w:tc>
          <w:tcPr>
            <w:tcW w:w="2455" w:type="dxa"/>
            <w:vAlign w:val="center"/>
          </w:tcPr>
          <w:p w:rsidR="00E6757E" w:rsidRDefault="00011DF4">
            <w:pPr>
              <w:jc w:val="right"/>
            </w:pPr>
            <w:r>
              <w:rPr>
                <w:sz w:val="24"/>
              </w:rPr>
              <w:t>-</w:t>
            </w:r>
          </w:p>
        </w:tc>
        <w:tc>
          <w:tcPr>
            <w:tcW w:w="2609" w:type="dxa"/>
            <w:vAlign w:val="center"/>
          </w:tcPr>
          <w:p w:rsidR="00E6757E" w:rsidRDefault="00011DF4">
            <w:pPr>
              <w:jc w:val="right"/>
            </w:pPr>
            <w:r>
              <w:rPr>
                <w:sz w:val="24"/>
              </w:rPr>
              <w:t>1,897.12</w:t>
            </w:r>
          </w:p>
        </w:tc>
        <w:tc>
          <w:tcPr>
            <w:tcW w:w="1889" w:type="dxa"/>
            <w:vAlign w:val="center"/>
          </w:tcPr>
          <w:p w:rsidR="00E6757E" w:rsidRDefault="00011DF4">
            <w:pPr>
              <w:jc w:val="right"/>
            </w:pPr>
            <w:r>
              <w:rPr>
                <w:sz w:val="24"/>
              </w:rPr>
              <w:t>1,897.12</w:t>
            </w:r>
          </w:p>
        </w:tc>
      </w:tr>
      <w:tr w:rsidR="00E6757E">
        <w:tc>
          <w:tcPr>
            <w:tcW w:w="2045" w:type="dxa"/>
            <w:vAlign w:val="center"/>
          </w:tcPr>
          <w:p w:rsidR="00E6757E" w:rsidRDefault="00011DF4">
            <w:pPr>
              <w:jc w:val="left"/>
            </w:pPr>
            <w:r>
              <w:rPr>
                <w:sz w:val="24"/>
              </w:rPr>
              <w:t>交银施罗德基金公司</w:t>
            </w:r>
          </w:p>
        </w:tc>
        <w:tc>
          <w:tcPr>
            <w:tcW w:w="2455" w:type="dxa"/>
            <w:vAlign w:val="center"/>
          </w:tcPr>
          <w:p w:rsidR="00E6757E" w:rsidRDefault="00011DF4">
            <w:pPr>
              <w:jc w:val="right"/>
            </w:pPr>
            <w:r>
              <w:rPr>
                <w:sz w:val="24"/>
              </w:rPr>
              <w:t>-</w:t>
            </w:r>
          </w:p>
        </w:tc>
        <w:tc>
          <w:tcPr>
            <w:tcW w:w="2609" w:type="dxa"/>
            <w:vAlign w:val="center"/>
          </w:tcPr>
          <w:p w:rsidR="00E6757E" w:rsidRDefault="00011DF4">
            <w:pPr>
              <w:jc w:val="right"/>
            </w:pPr>
            <w:r>
              <w:rPr>
                <w:sz w:val="24"/>
              </w:rPr>
              <w:t>208.85</w:t>
            </w:r>
          </w:p>
        </w:tc>
        <w:tc>
          <w:tcPr>
            <w:tcW w:w="1889" w:type="dxa"/>
            <w:vAlign w:val="center"/>
          </w:tcPr>
          <w:p w:rsidR="00E6757E" w:rsidRDefault="00011DF4">
            <w:pPr>
              <w:jc w:val="right"/>
            </w:pPr>
            <w:r>
              <w:rPr>
                <w:sz w:val="24"/>
              </w:rPr>
              <w:t>208.85</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lastRenderedPageBreak/>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3,497.27</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3,497.27</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交银丰润收益债券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6757E">
        <w:tc>
          <w:tcPr>
            <w:tcW w:w="2045" w:type="dxa"/>
            <w:vAlign w:val="center"/>
          </w:tcPr>
          <w:p w:rsidR="00E6757E" w:rsidRDefault="00011DF4">
            <w:pPr>
              <w:jc w:val="left"/>
            </w:pPr>
            <w:r>
              <w:rPr>
                <w:sz w:val="24"/>
              </w:rPr>
              <w:t>中信银行</w:t>
            </w:r>
          </w:p>
        </w:tc>
        <w:tc>
          <w:tcPr>
            <w:tcW w:w="2455" w:type="dxa"/>
            <w:vAlign w:val="center"/>
          </w:tcPr>
          <w:p w:rsidR="00E6757E" w:rsidRDefault="00011DF4">
            <w:pPr>
              <w:jc w:val="right"/>
            </w:pPr>
            <w:r>
              <w:rPr>
                <w:sz w:val="24"/>
              </w:rPr>
              <w:t>-</w:t>
            </w:r>
          </w:p>
        </w:tc>
        <w:tc>
          <w:tcPr>
            <w:tcW w:w="2609" w:type="dxa"/>
            <w:vAlign w:val="center"/>
          </w:tcPr>
          <w:p w:rsidR="00E6757E" w:rsidRDefault="00011DF4">
            <w:pPr>
              <w:jc w:val="right"/>
            </w:pPr>
            <w:r>
              <w:rPr>
                <w:sz w:val="24"/>
              </w:rPr>
              <w:t>6,462.32</w:t>
            </w:r>
          </w:p>
        </w:tc>
        <w:tc>
          <w:tcPr>
            <w:tcW w:w="1889" w:type="dxa"/>
            <w:vAlign w:val="center"/>
          </w:tcPr>
          <w:p w:rsidR="00E6757E" w:rsidRDefault="00011DF4">
            <w:pPr>
              <w:jc w:val="right"/>
            </w:pPr>
            <w:r>
              <w:rPr>
                <w:sz w:val="24"/>
              </w:rPr>
              <w:t>6,462.32</w:t>
            </w:r>
          </w:p>
        </w:tc>
      </w:tr>
      <w:tr w:rsidR="00E6757E">
        <w:tc>
          <w:tcPr>
            <w:tcW w:w="2045" w:type="dxa"/>
            <w:vAlign w:val="center"/>
          </w:tcPr>
          <w:p w:rsidR="00E6757E" w:rsidRDefault="00011DF4">
            <w:pPr>
              <w:jc w:val="left"/>
            </w:pPr>
            <w:r>
              <w:rPr>
                <w:sz w:val="24"/>
              </w:rPr>
              <w:t>交通银行</w:t>
            </w:r>
          </w:p>
        </w:tc>
        <w:tc>
          <w:tcPr>
            <w:tcW w:w="2455" w:type="dxa"/>
            <w:vAlign w:val="center"/>
          </w:tcPr>
          <w:p w:rsidR="00E6757E" w:rsidRDefault="00011DF4">
            <w:pPr>
              <w:jc w:val="right"/>
            </w:pPr>
            <w:r>
              <w:rPr>
                <w:sz w:val="24"/>
              </w:rPr>
              <w:t>-</w:t>
            </w:r>
          </w:p>
        </w:tc>
        <w:tc>
          <w:tcPr>
            <w:tcW w:w="2609" w:type="dxa"/>
            <w:vAlign w:val="center"/>
          </w:tcPr>
          <w:p w:rsidR="00E6757E" w:rsidRDefault="00011DF4">
            <w:pPr>
              <w:jc w:val="right"/>
            </w:pPr>
            <w:r>
              <w:rPr>
                <w:sz w:val="24"/>
              </w:rPr>
              <w:t>8,225.62</w:t>
            </w:r>
          </w:p>
        </w:tc>
        <w:tc>
          <w:tcPr>
            <w:tcW w:w="1889" w:type="dxa"/>
            <w:vAlign w:val="center"/>
          </w:tcPr>
          <w:p w:rsidR="00E6757E" w:rsidRDefault="00011DF4">
            <w:pPr>
              <w:jc w:val="right"/>
            </w:pPr>
            <w:r>
              <w:rPr>
                <w:sz w:val="24"/>
              </w:rPr>
              <w:t>8,225.62</w:t>
            </w:r>
          </w:p>
        </w:tc>
      </w:tr>
      <w:tr w:rsidR="00E6757E">
        <w:tc>
          <w:tcPr>
            <w:tcW w:w="2045" w:type="dxa"/>
            <w:vAlign w:val="center"/>
          </w:tcPr>
          <w:p w:rsidR="00E6757E" w:rsidRDefault="00011DF4">
            <w:pPr>
              <w:jc w:val="left"/>
            </w:pPr>
            <w:r>
              <w:rPr>
                <w:sz w:val="24"/>
              </w:rPr>
              <w:t>交银施罗德基金公司</w:t>
            </w:r>
          </w:p>
        </w:tc>
        <w:tc>
          <w:tcPr>
            <w:tcW w:w="2455" w:type="dxa"/>
            <w:vAlign w:val="center"/>
          </w:tcPr>
          <w:p w:rsidR="00E6757E" w:rsidRDefault="00011DF4">
            <w:pPr>
              <w:jc w:val="right"/>
            </w:pPr>
            <w:r>
              <w:rPr>
                <w:sz w:val="24"/>
              </w:rPr>
              <w:t>-</w:t>
            </w:r>
          </w:p>
        </w:tc>
        <w:tc>
          <w:tcPr>
            <w:tcW w:w="2609" w:type="dxa"/>
            <w:vAlign w:val="center"/>
          </w:tcPr>
          <w:p w:rsidR="00E6757E" w:rsidRDefault="00011DF4">
            <w:pPr>
              <w:jc w:val="right"/>
            </w:pPr>
            <w:r>
              <w:rPr>
                <w:sz w:val="24"/>
              </w:rPr>
              <w:t>510,651.17</w:t>
            </w:r>
          </w:p>
        </w:tc>
        <w:tc>
          <w:tcPr>
            <w:tcW w:w="1889" w:type="dxa"/>
            <w:vAlign w:val="center"/>
          </w:tcPr>
          <w:p w:rsidR="00E6757E" w:rsidRDefault="00011DF4">
            <w:pPr>
              <w:jc w:val="right"/>
            </w:pPr>
            <w:r>
              <w:rPr>
                <w:sz w:val="24"/>
              </w:rPr>
              <w:t>510,651.17</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525,339.11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525,339.11</w:t>
            </w:r>
          </w:p>
        </w:tc>
      </w:tr>
    </w:tbl>
    <w:p w:rsidR="00E6757E" w:rsidRDefault="00011DF4">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2016</w:t>
      </w:r>
      <w:r>
        <w:rPr>
          <w:kern w:val="0"/>
          <w:sz w:val="24"/>
        </w:rPr>
        <w:t>年</w:t>
      </w:r>
      <w:r>
        <w:rPr>
          <w:kern w:val="0"/>
          <w:sz w:val="24"/>
        </w:rPr>
        <w:t>12</w:t>
      </w:r>
      <w:r>
        <w:rPr>
          <w:kern w:val="0"/>
          <w:sz w:val="24"/>
        </w:rPr>
        <w:t>月</w:t>
      </w:r>
      <w:r>
        <w:rPr>
          <w:kern w:val="0"/>
          <w:sz w:val="24"/>
        </w:rPr>
        <w:t>15</w:t>
      </w:r>
      <w:r>
        <w:rPr>
          <w:kern w:val="0"/>
          <w:sz w:val="24"/>
        </w:rPr>
        <w:t>日，支付基金销售机构的基金销售服务费按前一日</w:t>
      </w:r>
      <w:r>
        <w:rPr>
          <w:kern w:val="0"/>
          <w:sz w:val="24"/>
        </w:rPr>
        <w:t>C</w:t>
      </w:r>
      <w:r>
        <w:rPr>
          <w:kern w:val="0"/>
          <w:sz w:val="24"/>
        </w:rPr>
        <w:t>类基金份额对应的基金资产净值</w:t>
      </w:r>
      <w:r>
        <w:rPr>
          <w:kern w:val="0"/>
          <w:sz w:val="24"/>
        </w:rPr>
        <w:t>0.60%</w:t>
      </w:r>
      <w:r>
        <w:rPr>
          <w:kern w:val="0"/>
          <w:sz w:val="24"/>
        </w:rPr>
        <w:t>的年费率计提，逐日累计至每月月底，按月支付给基金管理人，再由基金管理人计算并支付给各基金销售机构。其计算公式为：</w:t>
      </w:r>
    </w:p>
    <w:p w:rsidR="00E6757E" w:rsidRDefault="00011DF4">
      <w:pPr>
        <w:tabs>
          <w:tab w:val="left" w:pos="426"/>
        </w:tabs>
        <w:spacing w:before="29" w:line="288"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 xml:space="preserve">×0.60%÷ </w:t>
      </w:r>
      <w:r>
        <w:rPr>
          <w:kern w:val="0"/>
          <w:sz w:val="24"/>
        </w:rPr>
        <w:t>当年天数。</w:t>
      </w:r>
    </w:p>
    <w:p w:rsidR="00E6757E" w:rsidRDefault="00011DF4">
      <w:pPr>
        <w:tabs>
          <w:tab w:val="left" w:pos="426"/>
        </w:tabs>
        <w:spacing w:before="29" w:line="288" w:lineRule="auto"/>
        <w:jc w:val="left"/>
        <w:rPr>
          <w:kern w:val="0"/>
          <w:sz w:val="24"/>
        </w:rPr>
      </w:pPr>
      <w:r>
        <w:rPr>
          <w:kern w:val="0"/>
          <w:sz w:val="24"/>
        </w:rPr>
        <w:t>自</w:t>
      </w:r>
      <w:r>
        <w:rPr>
          <w:kern w:val="0"/>
          <w:sz w:val="24"/>
        </w:rPr>
        <w:t>2016</w:t>
      </w:r>
      <w:r>
        <w:rPr>
          <w:kern w:val="0"/>
          <w:sz w:val="24"/>
        </w:rPr>
        <w:t>年</w:t>
      </w:r>
      <w:r>
        <w:rPr>
          <w:kern w:val="0"/>
          <w:sz w:val="24"/>
        </w:rPr>
        <w:t>12</w:t>
      </w:r>
      <w:r>
        <w:rPr>
          <w:kern w:val="0"/>
          <w:sz w:val="24"/>
        </w:rPr>
        <w:t>月</w:t>
      </w:r>
      <w:r>
        <w:rPr>
          <w:kern w:val="0"/>
          <w:sz w:val="24"/>
        </w:rPr>
        <w:t>16</w:t>
      </w:r>
      <w:r>
        <w:rPr>
          <w:kern w:val="0"/>
          <w:sz w:val="24"/>
        </w:rPr>
        <w:t>日转为开放式运作起，支付基金销售机构的基金销售服务费按前一日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本基金本报告期内及上年度可比期间未发生与关联方进行银行间同业市场的债券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本报告期末及上年度末除基金管理人以外的其他关联方未投资本基金。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E6757E">
        <w:tc>
          <w:tcPr>
            <w:tcW w:w="2266" w:type="dxa"/>
            <w:vAlign w:val="center"/>
          </w:tcPr>
          <w:p w:rsidR="00E6757E" w:rsidRDefault="00011DF4">
            <w:pPr>
              <w:jc w:val="left"/>
            </w:pPr>
            <w:r>
              <w:rPr>
                <w:szCs w:val="21"/>
              </w:rPr>
              <w:t>中信银行</w:t>
            </w:r>
          </w:p>
        </w:tc>
        <w:tc>
          <w:tcPr>
            <w:tcW w:w="1683" w:type="dxa"/>
            <w:vAlign w:val="center"/>
          </w:tcPr>
          <w:p w:rsidR="00E6757E" w:rsidRDefault="00011DF4">
            <w:pPr>
              <w:jc w:val="right"/>
            </w:pPr>
            <w:r>
              <w:rPr>
                <w:szCs w:val="21"/>
              </w:rPr>
              <w:t>1,690,124.77</w:t>
            </w:r>
          </w:p>
        </w:tc>
        <w:tc>
          <w:tcPr>
            <w:tcW w:w="1683" w:type="dxa"/>
            <w:vAlign w:val="center"/>
          </w:tcPr>
          <w:p w:rsidR="00E6757E" w:rsidRDefault="00011DF4">
            <w:pPr>
              <w:jc w:val="right"/>
            </w:pPr>
            <w:r>
              <w:rPr>
                <w:szCs w:val="21"/>
              </w:rPr>
              <w:t>146,204.05</w:t>
            </w:r>
          </w:p>
        </w:tc>
        <w:tc>
          <w:tcPr>
            <w:tcW w:w="1683" w:type="dxa"/>
            <w:vAlign w:val="center"/>
          </w:tcPr>
          <w:p w:rsidR="00E6757E" w:rsidRDefault="00011DF4">
            <w:pPr>
              <w:jc w:val="right"/>
            </w:pPr>
            <w:r>
              <w:rPr>
                <w:szCs w:val="21"/>
              </w:rPr>
              <w:t>935,723.47</w:t>
            </w:r>
          </w:p>
        </w:tc>
        <w:tc>
          <w:tcPr>
            <w:tcW w:w="1683" w:type="dxa"/>
            <w:vAlign w:val="center"/>
          </w:tcPr>
          <w:p w:rsidR="00E6757E" w:rsidRDefault="00011DF4">
            <w:pPr>
              <w:jc w:val="right"/>
            </w:pPr>
            <w:r>
              <w:rPr>
                <w:szCs w:val="21"/>
              </w:rPr>
              <w:t>111,148.18</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lastRenderedPageBreak/>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本基金本报告期及上年度可比期间无须作说明的其他关联交易事项。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本基金本期末无因认购新发</w:t>
      </w:r>
      <w:r w:rsidRPr="00E25C2A">
        <w:rPr>
          <w:kern w:val="0"/>
          <w:sz w:val="24"/>
        </w:rPr>
        <w:t>/</w:t>
      </w:r>
      <w:r w:rsidRPr="00E25C2A">
        <w:rPr>
          <w:kern w:val="0"/>
          <w:sz w:val="24"/>
        </w:rPr>
        <w:t>增发证券而于期末持有的流通受限证券。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2018</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186,353,400.47</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E6757E">
        <w:tc>
          <w:tcPr>
            <w:tcW w:w="1493" w:type="dxa"/>
            <w:vAlign w:val="center"/>
          </w:tcPr>
          <w:p w:rsidR="00E6757E" w:rsidRDefault="00011DF4">
            <w:pPr>
              <w:jc w:val="center"/>
            </w:pPr>
            <w:r>
              <w:rPr>
                <w:color w:val="000000"/>
                <w:kern w:val="0"/>
                <w:sz w:val="24"/>
              </w:rPr>
              <w:t>180208</w:t>
            </w:r>
          </w:p>
        </w:tc>
        <w:tc>
          <w:tcPr>
            <w:tcW w:w="1494" w:type="dxa"/>
            <w:vAlign w:val="center"/>
          </w:tcPr>
          <w:p w:rsidR="00E6757E" w:rsidRDefault="00011DF4">
            <w:pPr>
              <w:jc w:val="center"/>
            </w:pPr>
            <w:r>
              <w:rPr>
                <w:color w:val="000000"/>
                <w:kern w:val="0"/>
                <w:sz w:val="24"/>
              </w:rPr>
              <w:t>18</w:t>
            </w:r>
            <w:r>
              <w:rPr>
                <w:color w:val="000000"/>
                <w:kern w:val="0"/>
                <w:sz w:val="24"/>
              </w:rPr>
              <w:t>国开</w:t>
            </w:r>
            <w:r>
              <w:rPr>
                <w:color w:val="000000"/>
                <w:kern w:val="0"/>
                <w:sz w:val="24"/>
              </w:rPr>
              <w:t>08</w:t>
            </w:r>
          </w:p>
        </w:tc>
        <w:tc>
          <w:tcPr>
            <w:tcW w:w="1494" w:type="dxa"/>
            <w:vAlign w:val="center"/>
          </w:tcPr>
          <w:p w:rsidR="00E6757E" w:rsidRDefault="00011DF4">
            <w:pPr>
              <w:jc w:val="center"/>
            </w:pPr>
            <w:r>
              <w:rPr>
                <w:color w:val="000000"/>
                <w:kern w:val="0"/>
                <w:sz w:val="24"/>
              </w:rPr>
              <w:t>2019-01-03</w:t>
            </w:r>
          </w:p>
        </w:tc>
        <w:tc>
          <w:tcPr>
            <w:tcW w:w="1255" w:type="dxa"/>
            <w:vAlign w:val="center"/>
          </w:tcPr>
          <w:p w:rsidR="00E6757E" w:rsidRDefault="00011DF4">
            <w:pPr>
              <w:jc w:val="right"/>
            </w:pPr>
            <w:r>
              <w:rPr>
                <w:color w:val="000000"/>
                <w:kern w:val="0"/>
                <w:sz w:val="24"/>
              </w:rPr>
              <w:t>101.83</w:t>
            </w:r>
          </w:p>
        </w:tc>
        <w:tc>
          <w:tcPr>
            <w:tcW w:w="1434" w:type="dxa"/>
            <w:vAlign w:val="center"/>
          </w:tcPr>
          <w:p w:rsidR="00E6757E" w:rsidRDefault="00011DF4">
            <w:pPr>
              <w:jc w:val="right"/>
            </w:pPr>
            <w:r>
              <w:rPr>
                <w:color w:val="000000"/>
                <w:kern w:val="0"/>
                <w:sz w:val="24"/>
              </w:rPr>
              <w:t>1,050,000</w:t>
            </w:r>
          </w:p>
        </w:tc>
        <w:tc>
          <w:tcPr>
            <w:tcW w:w="1828" w:type="dxa"/>
            <w:vAlign w:val="center"/>
          </w:tcPr>
          <w:p w:rsidR="00E6757E" w:rsidRDefault="00011DF4">
            <w:pPr>
              <w:jc w:val="right"/>
            </w:pPr>
            <w:r>
              <w:rPr>
                <w:color w:val="000000"/>
                <w:kern w:val="0"/>
                <w:sz w:val="24"/>
              </w:rPr>
              <w:t>106,921,500.00</w:t>
            </w:r>
          </w:p>
        </w:tc>
      </w:tr>
      <w:tr w:rsidR="00E6757E">
        <w:tc>
          <w:tcPr>
            <w:tcW w:w="1493" w:type="dxa"/>
            <w:vAlign w:val="center"/>
          </w:tcPr>
          <w:p w:rsidR="00E6757E" w:rsidRDefault="00011DF4">
            <w:pPr>
              <w:jc w:val="center"/>
            </w:pPr>
            <w:r>
              <w:rPr>
                <w:color w:val="000000"/>
                <w:kern w:val="0"/>
                <w:sz w:val="24"/>
              </w:rPr>
              <w:t>140203</w:t>
            </w:r>
          </w:p>
        </w:tc>
        <w:tc>
          <w:tcPr>
            <w:tcW w:w="1494" w:type="dxa"/>
            <w:vAlign w:val="center"/>
          </w:tcPr>
          <w:p w:rsidR="00E6757E" w:rsidRDefault="00011DF4">
            <w:pPr>
              <w:jc w:val="center"/>
            </w:pPr>
            <w:r>
              <w:rPr>
                <w:color w:val="000000"/>
                <w:kern w:val="0"/>
                <w:sz w:val="24"/>
              </w:rPr>
              <w:t>14</w:t>
            </w:r>
            <w:r>
              <w:rPr>
                <w:color w:val="000000"/>
                <w:kern w:val="0"/>
                <w:sz w:val="24"/>
              </w:rPr>
              <w:t>国开</w:t>
            </w:r>
            <w:r>
              <w:rPr>
                <w:color w:val="000000"/>
                <w:kern w:val="0"/>
                <w:sz w:val="24"/>
              </w:rPr>
              <w:t>03</w:t>
            </w:r>
          </w:p>
        </w:tc>
        <w:tc>
          <w:tcPr>
            <w:tcW w:w="1494" w:type="dxa"/>
            <w:vAlign w:val="center"/>
          </w:tcPr>
          <w:p w:rsidR="00E6757E" w:rsidRDefault="00011DF4">
            <w:pPr>
              <w:jc w:val="center"/>
            </w:pPr>
            <w:r>
              <w:rPr>
                <w:color w:val="000000"/>
                <w:kern w:val="0"/>
                <w:sz w:val="24"/>
              </w:rPr>
              <w:t>2019-01-10</w:t>
            </w:r>
          </w:p>
        </w:tc>
        <w:tc>
          <w:tcPr>
            <w:tcW w:w="1255" w:type="dxa"/>
            <w:vAlign w:val="center"/>
          </w:tcPr>
          <w:p w:rsidR="00E6757E" w:rsidRDefault="00011DF4">
            <w:pPr>
              <w:jc w:val="right"/>
            </w:pPr>
            <w:r>
              <w:rPr>
                <w:color w:val="000000"/>
                <w:kern w:val="0"/>
                <w:sz w:val="24"/>
              </w:rPr>
              <w:t>105.00</w:t>
            </w:r>
          </w:p>
        </w:tc>
        <w:tc>
          <w:tcPr>
            <w:tcW w:w="1434" w:type="dxa"/>
            <w:vAlign w:val="center"/>
          </w:tcPr>
          <w:p w:rsidR="00E6757E" w:rsidRDefault="00011DF4">
            <w:pPr>
              <w:jc w:val="right"/>
            </w:pPr>
            <w:r>
              <w:rPr>
                <w:color w:val="000000"/>
                <w:kern w:val="0"/>
                <w:sz w:val="24"/>
              </w:rPr>
              <w:t>500,000</w:t>
            </w:r>
          </w:p>
        </w:tc>
        <w:tc>
          <w:tcPr>
            <w:tcW w:w="1828" w:type="dxa"/>
            <w:vAlign w:val="center"/>
          </w:tcPr>
          <w:p w:rsidR="00E6757E" w:rsidRDefault="00011DF4">
            <w:pPr>
              <w:jc w:val="right"/>
            </w:pPr>
            <w:r>
              <w:rPr>
                <w:color w:val="000000"/>
                <w:kern w:val="0"/>
                <w:sz w:val="24"/>
              </w:rPr>
              <w:t>52,500,000.00</w:t>
            </w:r>
          </w:p>
        </w:tc>
      </w:tr>
      <w:tr w:rsidR="00E6757E">
        <w:tc>
          <w:tcPr>
            <w:tcW w:w="1493" w:type="dxa"/>
            <w:vAlign w:val="center"/>
          </w:tcPr>
          <w:p w:rsidR="00E6757E" w:rsidRDefault="00011DF4">
            <w:pPr>
              <w:jc w:val="center"/>
            </w:pPr>
            <w:r>
              <w:rPr>
                <w:color w:val="000000"/>
                <w:kern w:val="0"/>
                <w:sz w:val="24"/>
              </w:rPr>
              <w:t>150316</w:t>
            </w:r>
          </w:p>
        </w:tc>
        <w:tc>
          <w:tcPr>
            <w:tcW w:w="1494" w:type="dxa"/>
            <w:vAlign w:val="center"/>
          </w:tcPr>
          <w:p w:rsidR="00E6757E" w:rsidRDefault="00011DF4">
            <w:pPr>
              <w:jc w:val="center"/>
            </w:pPr>
            <w:r>
              <w:rPr>
                <w:color w:val="000000"/>
                <w:kern w:val="0"/>
                <w:sz w:val="24"/>
              </w:rPr>
              <w:t>15</w:t>
            </w:r>
            <w:r>
              <w:rPr>
                <w:color w:val="000000"/>
                <w:kern w:val="0"/>
                <w:sz w:val="24"/>
              </w:rPr>
              <w:t>进出</w:t>
            </w:r>
            <w:r>
              <w:rPr>
                <w:color w:val="000000"/>
                <w:kern w:val="0"/>
                <w:sz w:val="24"/>
              </w:rPr>
              <w:t>16</w:t>
            </w:r>
          </w:p>
        </w:tc>
        <w:tc>
          <w:tcPr>
            <w:tcW w:w="1494" w:type="dxa"/>
            <w:vAlign w:val="center"/>
          </w:tcPr>
          <w:p w:rsidR="00E6757E" w:rsidRDefault="00011DF4">
            <w:pPr>
              <w:jc w:val="center"/>
            </w:pPr>
            <w:r>
              <w:rPr>
                <w:color w:val="000000"/>
                <w:kern w:val="0"/>
                <w:sz w:val="24"/>
              </w:rPr>
              <w:t>2019-01-10</w:t>
            </w:r>
          </w:p>
        </w:tc>
        <w:tc>
          <w:tcPr>
            <w:tcW w:w="1255" w:type="dxa"/>
            <w:vAlign w:val="center"/>
          </w:tcPr>
          <w:p w:rsidR="00E6757E" w:rsidRDefault="00011DF4">
            <w:pPr>
              <w:jc w:val="right"/>
            </w:pPr>
            <w:r>
              <w:rPr>
                <w:color w:val="000000"/>
                <w:kern w:val="0"/>
                <w:sz w:val="24"/>
              </w:rPr>
              <w:t>100.51</w:t>
            </w:r>
          </w:p>
        </w:tc>
        <w:tc>
          <w:tcPr>
            <w:tcW w:w="1434" w:type="dxa"/>
            <w:vAlign w:val="center"/>
          </w:tcPr>
          <w:p w:rsidR="00E6757E" w:rsidRDefault="00011DF4">
            <w:pPr>
              <w:jc w:val="right"/>
            </w:pPr>
            <w:r>
              <w:rPr>
                <w:color w:val="000000"/>
                <w:kern w:val="0"/>
                <w:sz w:val="24"/>
              </w:rPr>
              <w:t>373,000</w:t>
            </w:r>
          </w:p>
        </w:tc>
        <w:tc>
          <w:tcPr>
            <w:tcW w:w="1828" w:type="dxa"/>
            <w:vAlign w:val="center"/>
          </w:tcPr>
          <w:p w:rsidR="00E6757E" w:rsidRDefault="00011DF4">
            <w:pPr>
              <w:jc w:val="right"/>
            </w:pPr>
            <w:r>
              <w:rPr>
                <w:color w:val="000000"/>
                <w:kern w:val="0"/>
                <w:sz w:val="24"/>
              </w:rPr>
              <w:t>37,490,230.00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1,923,000</w:t>
            </w:r>
          </w:p>
        </w:tc>
        <w:tc>
          <w:tcPr>
            <w:tcW w:w="1836" w:type="dxa"/>
            <w:vAlign w:val="center"/>
          </w:tcPr>
          <w:p w:rsidR="001A59F9" w:rsidRPr="00AA721C" w:rsidRDefault="001A59F9" w:rsidP="00AA721C">
            <w:pPr>
              <w:spacing w:before="29" w:line="288" w:lineRule="auto"/>
              <w:jc w:val="right"/>
              <w:rPr>
                <w:sz w:val="24"/>
              </w:rPr>
            </w:pPr>
            <w:r w:rsidRPr="00AA721C">
              <w:rPr>
                <w:sz w:val="24"/>
              </w:rPr>
              <w:t>196,911,730.00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E6757E" w:rsidRDefault="00011DF4">
      <w:pPr>
        <w:spacing w:before="29" w:line="288" w:lineRule="auto"/>
        <w:ind w:firstLineChars="200" w:firstLine="480"/>
        <w:rPr>
          <w:color w:val="000000"/>
          <w:sz w:val="24"/>
        </w:rPr>
      </w:pPr>
      <w:r>
        <w:rPr>
          <w:color w:val="000000"/>
          <w:sz w:val="24"/>
        </w:rPr>
        <w:t>(1)</w:t>
      </w:r>
      <w:r>
        <w:rPr>
          <w:color w:val="000000"/>
          <w:sz w:val="24"/>
        </w:rPr>
        <w:t>公允价值</w:t>
      </w:r>
    </w:p>
    <w:p w:rsidR="00E6757E" w:rsidRDefault="00011DF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6757E" w:rsidRDefault="00011DF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lastRenderedPageBreak/>
        <w:t>第一层次：相同资产或负债在活跃市场上未经调整的报价。</w:t>
      </w:r>
    </w:p>
    <w:p w:rsidR="00E6757E" w:rsidRDefault="00011DF4">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6757E" w:rsidRDefault="00011DF4">
      <w:pPr>
        <w:spacing w:before="29" w:line="288" w:lineRule="auto"/>
        <w:ind w:firstLineChars="200" w:firstLine="480"/>
        <w:rPr>
          <w:color w:val="000000"/>
          <w:sz w:val="24"/>
        </w:rPr>
      </w:pPr>
      <w:r>
        <w:rPr>
          <w:color w:val="000000"/>
          <w:sz w:val="24"/>
        </w:rPr>
        <w:t>第三层次：相关资产或负债的不可观察输入值。</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6757E" w:rsidRDefault="00011DF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6757E" w:rsidRDefault="00011DF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1,287,409,000.00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4,970,797,000.00</w:t>
      </w:r>
      <w:r>
        <w:rPr>
          <w:color w:val="000000"/>
          <w:sz w:val="24"/>
        </w:rPr>
        <w:t>元，无第一或第三层次</w:t>
      </w:r>
      <w:r>
        <w:rPr>
          <w:color w:val="000000"/>
          <w:sz w:val="24"/>
        </w:rPr>
        <w:t>)</w:t>
      </w:r>
      <w:r>
        <w:rPr>
          <w:color w:val="000000"/>
          <w:sz w:val="24"/>
        </w:rPr>
        <w:t>。</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6757E" w:rsidRDefault="00011DF4">
      <w:pPr>
        <w:spacing w:before="29" w:line="288" w:lineRule="auto"/>
        <w:ind w:firstLineChars="200" w:firstLine="480"/>
        <w:rPr>
          <w:color w:val="000000"/>
          <w:sz w:val="24"/>
        </w:rPr>
      </w:pPr>
      <w:r>
        <w:rPr>
          <w:color w:val="000000"/>
          <w:sz w:val="24"/>
        </w:rPr>
        <w:t>无。</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6757E" w:rsidRDefault="00011DF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6757E" w:rsidRDefault="00011DF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6757E" w:rsidRDefault="00E6757E">
      <w:pPr>
        <w:spacing w:before="29" w:line="288" w:lineRule="auto"/>
        <w:ind w:firstLineChars="200" w:firstLine="480"/>
        <w:rPr>
          <w:color w:val="000000"/>
          <w:sz w:val="24"/>
        </w:rPr>
      </w:pPr>
    </w:p>
    <w:p w:rsidR="00E6757E" w:rsidRDefault="00011DF4">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D92A8E">
      <w:pPr>
        <w:spacing w:before="29" w:line="288" w:lineRule="auto"/>
        <w:ind w:firstLineChars="200" w:firstLine="480"/>
        <w:rPr>
          <w:color w:val="000000"/>
          <w:sz w:val="24"/>
        </w:rPr>
      </w:pP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lastRenderedPageBreak/>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1,287,409,000.00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97.52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1,287,409,000.00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97.52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1,690,124.77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0.13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31,101,621.41</w:t>
            </w:r>
          </w:p>
        </w:tc>
        <w:tc>
          <w:tcPr>
            <w:tcW w:w="1980" w:type="dxa"/>
            <w:vAlign w:val="center"/>
          </w:tcPr>
          <w:p w:rsidR="001E6CEE" w:rsidRPr="000008D1" w:rsidRDefault="001E6CEE" w:rsidP="00026C9C">
            <w:pPr>
              <w:spacing w:line="360" w:lineRule="auto"/>
              <w:jc w:val="right"/>
              <w:rPr>
                <w:sz w:val="24"/>
              </w:rPr>
            </w:pPr>
            <w:r w:rsidRPr="000008D1">
              <w:rPr>
                <w:sz w:val="24"/>
              </w:rPr>
              <w:t>2.36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1,320,200,746.18</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lastRenderedPageBreak/>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1,287,409,000.00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113.62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1,287,409,000.00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113.62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1,287,409,000.00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113.62</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E6757E">
        <w:tc>
          <w:tcPr>
            <w:tcW w:w="1320" w:type="dxa"/>
            <w:vAlign w:val="center"/>
          </w:tcPr>
          <w:p w:rsidR="00E6757E" w:rsidRDefault="00011DF4">
            <w:pPr>
              <w:jc w:val="center"/>
            </w:pPr>
            <w:r>
              <w:rPr>
                <w:color w:val="000000"/>
                <w:sz w:val="24"/>
              </w:rPr>
              <w:t>1</w:t>
            </w:r>
          </w:p>
        </w:tc>
        <w:tc>
          <w:tcPr>
            <w:tcW w:w="1382" w:type="dxa"/>
            <w:vAlign w:val="center"/>
          </w:tcPr>
          <w:p w:rsidR="00E6757E" w:rsidRDefault="00011DF4">
            <w:pPr>
              <w:jc w:val="center"/>
            </w:pPr>
            <w:r>
              <w:rPr>
                <w:color w:val="000000"/>
                <w:sz w:val="24"/>
              </w:rPr>
              <w:t>170212</w:t>
            </w:r>
          </w:p>
        </w:tc>
        <w:tc>
          <w:tcPr>
            <w:tcW w:w="1353" w:type="dxa"/>
            <w:vAlign w:val="center"/>
          </w:tcPr>
          <w:p w:rsidR="00E6757E" w:rsidRDefault="00011DF4">
            <w:pPr>
              <w:jc w:val="center"/>
            </w:pPr>
            <w:r>
              <w:rPr>
                <w:color w:val="000000"/>
                <w:sz w:val="24"/>
              </w:rPr>
              <w:t>17</w:t>
            </w:r>
            <w:r>
              <w:rPr>
                <w:color w:val="000000"/>
                <w:sz w:val="24"/>
              </w:rPr>
              <w:t>国开</w:t>
            </w:r>
            <w:r>
              <w:rPr>
                <w:color w:val="000000"/>
                <w:sz w:val="24"/>
              </w:rPr>
              <w:t>12</w:t>
            </w:r>
          </w:p>
        </w:tc>
        <w:tc>
          <w:tcPr>
            <w:tcW w:w="1505" w:type="dxa"/>
            <w:vAlign w:val="center"/>
          </w:tcPr>
          <w:p w:rsidR="00E6757E" w:rsidRDefault="00011DF4">
            <w:pPr>
              <w:jc w:val="right"/>
            </w:pPr>
            <w:r>
              <w:rPr>
                <w:color w:val="000000"/>
                <w:sz w:val="24"/>
              </w:rPr>
              <w:t>2,100,000</w:t>
            </w:r>
          </w:p>
        </w:tc>
        <w:tc>
          <w:tcPr>
            <w:tcW w:w="1737" w:type="dxa"/>
            <w:vAlign w:val="center"/>
          </w:tcPr>
          <w:p w:rsidR="00E6757E" w:rsidRDefault="00011DF4">
            <w:pPr>
              <w:jc w:val="right"/>
            </w:pPr>
            <w:r>
              <w:rPr>
                <w:color w:val="000000"/>
                <w:sz w:val="24"/>
              </w:rPr>
              <w:t>217,140,000.00</w:t>
            </w:r>
          </w:p>
        </w:tc>
        <w:tc>
          <w:tcPr>
            <w:tcW w:w="1701" w:type="dxa"/>
            <w:vAlign w:val="center"/>
          </w:tcPr>
          <w:p w:rsidR="00E6757E" w:rsidRDefault="00011DF4">
            <w:pPr>
              <w:jc w:val="right"/>
            </w:pPr>
            <w:r>
              <w:rPr>
                <w:color w:val="000000"/>
                <w:sz w:val="24"/>
              </w:rPr>
              <w:t>19.16</w:t>
            </w:r>
          </w:p>
        </w:tc>
      </w:tr>
      <w:tr w:rsidR="00E6757E">
        <w:tc>
          <w:tcPr>
            <w:tcW w:w="1320" w:type="dxa"/>
            <w:vAlign w:val="center"/>
          </w:tcPr>
          <w:p w:rsidR="00E6757E" w:rsidRDefault="00011DF4">
            <w:pPr>
              <w:jc w:val="center"/>
            </w:pPr>
            <w:r>
              <w:rPr>
                <w:color w:val="000000"/>
                <w:sz w:val="24"/>
              </w:rPr>
              <w:t>2</w:t>
            </w:r>
          </w:p>
        </w:tc>
        <w:tc>
          <w:tcPr>
            <w:tcW w:w="1382" w:type="dxa"/>
            <w:vAlign w:val="center"/>
          </w:tcPr>
          <w:p w:rsidR="00E6757E" w:rsidRDefault="00011DF4">
            <w:pPr>
              <w:jc w:val="center"/>
            </w:pPr>
            <w:r>
              <w:rPr>
                <w:color w:val="000000"/>
                <w:sz w:val="24"/>
              </w:rPr>
              <w:t>180203</w:t>
            </w:r>
          </w:p>
        </w:tc>
        <w:tc>
          <w:tcPr>
            <w:tcW w:w="1353" w:type="dxa"/>
            <w:vAlign w:val="center"/>
          </w:tcPr>
          <w:p w:rsidR="00E6757E" w:rsidRDefault="00011DF4">
            <w:pPr>
              <w:jc w:val="center"/>
            </w:pPr>
            <w:r>
              <w:rPr>
                <w:color w:val="000000"/>
                <w:sz w:val="24"/>
              </w:rPr>
              <w:t>18</w:t>
            </w:r>
            <w:r>
              <w:rPr>
                <w:color w:val="000000"/>
                <w:sz w:val="24"/>
              </w:rPr>
              <w:t>国开</w:t>
            </w:r>
            <w:r>
              <w:rPr>
                <w:color w:val="000000"/>
                <w:sz w:val="24"/>
              </w:rPr>
              <w:t>03</w:t>
            </w:r>
          </w:p>
        </w:tc>
        <w:tc>
          <w:tcPr>
            <w:tcW w:w="1505" w:type="dxa"/>
            <w:vAlign w:val="center"/>
          </w:tcPr>
          <w:p w:rsidR="00E6757E" w:rsidRDefault="00011DF4">
            <w:pPr>
              <w:jc w:val="right"/>
            </w:pPr>
            <w:r>
              <w:rPr>
                <w:color w:val="000000"/>
                <w:sz w:val="24"/>
              </w:rPr>
              <w:t>1,700,000</w:t>
            </w:r>
          </w:p>
        </w:tc>
        <w:tc>
          <w:tcPr>
            <w:tcW w:w="1737" w:type="dxa"/>
            <w:vAlign w:val="center"/>
          </w:tcPr>
          <w:p w:rsidR="00E6757E" w:rsidRDefault="00011DF4">
            <w:pPr>
              <w:jc w:val="right"/>
            </w:pPr>
            <w:r>
              <w:rPr>
                <w:color w:val="000000"/>
                <w:sz w:val="24"/>
              </w:rPr>
              <w:t>174,913,000.00</w:t>
            </w:r>
          </w:p>
        </w:tc>
        <w:tc>
          <w:tcPr>
            <w:tcW w:w="1701" w:type="dxa"/>
            <w:vAlign w:val="center"/>
          </w:tcPr>
          <w:p w:rsidR="00E6757E" w:rsidRDefault="00011DF4">
            <w:pPr>
              <w:jc w:val="right"/>
            </w:pPr>
            <w:r>
              <w:rPr>
                <w:color w:val="000000"/>
                <w:sz w:val="24"/>
              </w:rPr>
              <w:t>15.44</w:t>
            </w:r>
          </w:p>
        </w:tc>
      </w:tr>
      <w:tr w:rsidR="00E6757E">
        <w:tc>
          <w:tcPr>
            <w:tcW w:w="1320" w:type="dxa"/>
            <w:vAlign w:val="center"/>
          </w:tcPr>
          <w:p w:rsidR="00E6757E" w:rsidRDefault="00011DF4">
            <w:pPr>
              <w:jc w:val="center"/>
            </w:pPr>
            <w:r>
              <w:rPr>
                <w:color w:val="000000"/>
                <w:sz w:val="24"/>
              </w:rPr>
              <w:t>3</w:t>
            </w:r>
          </w:p>
        </w:tc>
        <w:tc>
          <w:tcPr>
            <w:tcW w:w="1382" w:type="dxa"/>
            <w:vAlign w:val="center"/>
          </w:tcPr>
          <w:p w:rsidR="00E6757E" w:rsidRDefault="00011DF4">
            <w:pPr>
              <w:jc w:val="center"/>
            </w:pPr>
            <w:r>
              <w:rPr>
                <w:color w:val="000000"/>
                <w:sz w:val="24"/>
              </w:rPr>
              <w:t>180208</w:t>
            </w:r>
          </w:p>
        </w:tc>
        <w:tc>
          <w:tcPr>
            <w:tcW w:w="1353" w:type="dxa"/>
            <w:vAlign w:val="center"/>
          </w:tcPr>
          <w:p w:rsidR="00E6757E" w:rsidRDefault="00011DF4">
            <w:pPr>
              <w:jc w:val="center"/>
            </w:pPr>
            <w:r>
              <w:rPr>
                <w:color w:val="000000"/>
                <w:sz w:val="24"/>
              </w:rPr>
              <w:t>18</w:t>
            </w:r>
            <w:r>
              <w:rPr>
                <w:color w:val="000000"/>
                <w:sz w:val="24"/>
              </w:rPr>
              <w:t>国开</w:t>
            </w:r>
            <w:r>
              <w:rPr>
                <w:color w:val="000000"/>
                <w:sz w:val="24"/>
              </w:rPr>
              <w:t>08</w:t>
            </w:r>
          </w:p>
        </w:tc>
        <w:tc>
          <w:tcPr>
            <w:tcW w:w="1505" w:type="dxa"/>
            <w:vAlign w:val="center"/>
          </w:tcPr>
          <w:p w:rsidR="00E6757E" w:rsidRDefault="00011DF4">
            <w:pPr>
              <w:jc w:val="right"/>
            </w:pPr>
            <w:r>
              <w:rPr>
                <w:color w:val="000000"/>
                <w:sz w:val="24"/>
              </w:rPr>
              <w:t>1,500,000</w:t>
            </w:r>
          </w:p>
        </w:tc>
        <w:tc>
          <w:tcPr>
            <w:tcW w:w="1737" w:type="dxa"/>
            <w:vAlign w:val="center"/>
          </w:tcPr>
          <w:p w:rsidR="00E6757E" w:rsidRDefault="00011DF4">
            <w:pPr>
              <w:jc w:val="right"/>
            </w:pPr>
            <w:r>
              <w:rPr>
                <w:color w:val="000000"/>
                <w:sz w:val="24"/>
              </w:rPr>
              <w:t>152,745,000.00</w:t>
            </w:r>
          </w:p>
        </w:tc>
        <w:tc>
          <w:tcPr>
            <w:tcW w:w="1701" w:type="dxa"/>
            <w:vAlign w:val="center"/>
          </w:tcPr>
          <w:p w:rsidR="00E6757E" w:rsidRDefault="00011DF4">
            <w:pPr>
              <w:jc w:val="right"/>
            </w:pPr>
            <w:r>
              <w:rPr>
                <w:color w:val="000000"/>
                <w:sz w:val="24"/>
              </w:rPr>
              <w:t>13.48</w:t>
            </w:r>
          </w:p>
        </w:tc>
      </w:tr>
      <w:tr w:rsidR="00E6757E">
        <w:tc>
          <w:tcPr>
            <w:tcW w:w="1320" w:type="dxa"/>
            <w:vAlign w:val="center"/>
          </w:tcPr>
          <w:p w:rsidR="00E6757E" w:rsidRDefault="00011DF4">
            <w:pPr>
              <w:jc w:val="center"/>
            </w:pPr>
            <w:r>
              <w:rPr>
                <w:color w:val="000000"/>
                <w:sz w:val="24"/>
              </w:rPr>
              <w:t>4</w:t>
            </w:r>
          </w:p>
        </w:tc>
        <w:tc>
          <w:tcPr>
            <w:tcW w:w="1382" w:type="dxa"/>
            <w:vAlign w:val="center"/>
          </w:tcPr>
          <w:p w:rsidR="00E6757E" w:rsidRDefault="00011DF4">
            <w:pPr>
              <w:jc w:val="center"/>
            </w:pPr>
            <w:r>
              <w:rPr>
                <w:color w:val="000000"/>
                <w:sz w:val="24"/>
              </w:rPr>
              <w:t>180211</w:t>
            </w:r>
          </w:p>
        </w:tc>
        <w:tc>
          <w:tcPr>
            <w:tcW w:w="1353" w:type="dxa"/>
            <w:vAlign w:val="center"/>
          </w:tcPr>
          <w:p w:rsidR="00E6757E" w:rsidRDefault="00011DF4">
            <w:pPr>
              <w:jc w:val="center"/>
            </w:pPr>
            <w:r>
              <w:rPr>
                <w:color w:val="000000"/>
                <w:sz w:val="24"/>
              </w:rPr>
              <w:t>18</w:t>
            </w:r>
            <w:r>
              <w:rPr>
                <w:color w:val="000000"/>
                <w:sz w:val="24"/>
              </w:rPr>
              <w:t>国开</w:t>
            </w:r>
            <w:r>
              <w:rPr>
                <w:color w:val="000000"/>
                <w:sz w:val="24"/>
              </w:rPr>
              <w:t>11</w:t>
            </w:r>
          </w:p>
        </w:tc>
        <w:tc>
          <w:tcPr>
            <w:tcW w:w="1505" w:type="dxa"/>
            <w:vAlign w:val="center"/>
          </w:tcPr>
          <w:p w:rsidR="00E6757E" w:rsidRDefault="00011DF4">
            <w:pPr>
              <w:jc w:val="right"/>
            </w:pPr>
            <w:r>
              <w:rPr>
                <w:color w:val="000000"/>
                <w:sz w:val="24"/>
              </w:rPr>
              <w:t>1,100,000</w:t>
            </w:r>
          </w:p>
        </w:tc>
        <w:tc>
          <w:tcPr>
            <w:tcW w:w="1737" w:type="dxa"/>
            <w:vAlign w:val="center"/>
          </w:tcPr>
          <w:p w:rsidR="00E6757E" w:rsidRDefault="00011DF4">
            <w:pPr>
              <w:jc w:val="right"/>
            </w:pPr>
            <w:r>
              <w:rPr>
                <w:color w:val="000000"/>
                <w:sz w:val="24"/>
              </w:rPr>
              <w:t>111,463,000.00</w:t>
            </w:r>
          </w:p>
        </w:tc>
        <w:tc>
          <w:tcPr>
            <w:tcW w:w="1701" w:type="dxa"/>
            <w:vAlign w:val="center"/>
          </w:tcPr>
          <w:p w:rsidR="00E6757E" w:rsidRDefault="00011DF4">
            <w:pPr>
              <w:jc w:val="right"/>
            </w:pPr>
            <w:r>
              <w:rPr>
                <w:color w:val="000000"/>
                <w:sz w:val="24"/>
              </w:rPr>
              <w:t>9.84</w:t>
            </w:r>
          </w:p>
        </w:tc>
      </w:tr>
      <w:tr w:rsidR="00E6757E">
        <w:tc>
          <w:tcPr>
            <w:tcW w:w="1320" w:type="dxa"/>
            <w:vAlign w:val="center"/>
          </w:tcPr>
          <w:p w:rsidR="00E6757E" w:rsidRDefault="00011DF4">
            <w:pPr>
              <w:jc w:val="center"/>
            </w:pPr>
            <w:r>
              <w:rPr>
                <w:color w:val="000000"/>
                <w:sz w:val="24"/>
              </w:rPr>
              <w:t>5</w:t>
            </w:r>
          </w:p>
        </w:tc>
        <w:tc>
          <w:tcPr>
            <w:tcW w:w="1382" w:type="dxa"/>
            <w:vAlign w:val="center"/>
          </w:tcPr>
          <w:p w:rsidR="00E6757E" w:rsidRDefault="00011DF4">
            <w:pPr>
              <w:jc w:val="center"/>
            </w:pPr>
            <w:r>
              <w:rPr>
                <w:color w:val="000000"/>
                <w:sz w:val="24"/>
              </w:rPr>
              <w:t>180402</w:t>
            </w:r>
          </w:p>
        </w:tc>
        <w:tc>
          <w:tcPr>
            <w:tcW w:w="1353" w:type="dxa"/>
            <w:vAlign w:val="center"/>
          </w:tcPr>
          <w:p w:rsidR="00E6757E" w:rsidRDefault="00011DF4">
            <w:pPr>
              <w:jc w:val="center"/>
            </w:pPr>
            <w:r>
              <w:rPr>
                <w:color w:val="000000"/>
                <w:sz w:val="24"/>
              </w:rPr>
              <w:t>18</w:t>
            </w:r>
            <w:r>
              <w:rPr>
                <w:color w:val="000000"/>
                <w:sz w:val="24"/>
              </w:rPr>
              <w:t>农发</w:t>
            </w:r>
            <w:r>
              <w:rPr>
                <w:color w:val="000000"/>
                <w:sz w:val="24"/>
              </w:rPr>
              <w:t>02</w:t>
            </w:r>
          </w:p>
        </w:tc>
        <w:tc>
          <w:tcPr>
            <w:tcW w:w="1505" w:type="dxa"/>
            <w:vAlign w:val="center"/>
          </w:tcPr>
          <w:p w:rsidR="00E6757E" w:rsidRDefault="00011DF4">
            <w:pPr>
              <w:jc w:val="right"/>
            </w:pPr>
            <w:r>
              <w:rPr>
                <w:color w:val="000000"/>
                <w:sz w:val="24"/>
              </w:rPr>
              <w:t>1,000,000</w:t>
            </w:r>
          </w:p>
        </w:tc>
        <w:tc>
          <w:tcPr>
            <w:tcW w:w="1737" w:type="dxa"/>
            <w:vAlign w:val="center"/>
          </w:tcPr>
          <w:p w:rsidR="00E6757E" w:rsidRDefault="00011DF4">
            <w:pPr>
              <w:jc w:val="right"/>
            </w:pPr>
            <w:r>
              <w:rPr>
                <w:color w:val="000000"/>
                <w:sz w:val="24"/>
              </w:rPr>
              <w:t>103,150,000.00</w:t>
            </w:r>
          </w:p>
        </w:tc>
        <w:tc>
          <w:tcPr>
            <w:tcW w:w="1701" w:type="dxa"/>
            <w:vAlign w:val="center"/>
          </w:tcPr>
          <w:p w:rsidR="00E6757E" w:rsidRDefault="00011DF4">
            <w:pPr>
              <w:jc w:val="right"/>
            </w:pPr>
            <w:r>
              <w:rPr>
                <w:color w:val="000000"/>
                <w:sz w:val="24"/>
              </w:rPr>
              <w:t>9.10</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lastRenderedPageBreak/>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1,959.60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31,096,518.41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3,143.40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31,101,621.41</w:t>
            </w:r>
          </w:p>
        </w:tc>
      </w:tr>
    </w:tbl>
    <w:p w:rsidR="001A59F9" w:rsidRPr="008B2C7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w:t>
            </w:r>
            <w:r w:rsidRPr="001A428A">
              <w:rPr>
                <w:rFonts w:hint="eastAsia"/>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w:t>
            </w:r>
            <w:r w:rsidRPr="001A428A">
              <w:rPr>
                <w:rFonts w:hint="eastAsia"/>
                <w:szCs w:val="21"/>
              </w:rPr>
              <w:lastRenderedPageBreak/>
              <w:t>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lastRenderedPageBreak/>
              <w:t>交银丰润收益债券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784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1,375,478.15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1,060,803,170.25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98.37%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17,571,697.56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1.63%</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交银丰润收益债券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532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1,727.35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918,949.01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1,316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820,132.08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1,060,803,170.25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98.29%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18,490,646.57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1.71%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交银丰润收益债券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9.92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9.92</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交银丰润收益债券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交银丰润收益债券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交银丰润收益债券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12</w:t>
            </w:r>
            <w:r w:rsidRPr="009440E4">
              <w:rPr>
                <w:sz w:val="24"/>
              </w:rPr>
              <w:lastRenderedPageBreak/>
              <w:t>月</w:t>
            </w:r>
            <w:r w:rsidRPr="009440E4">
              <w:rPr>
                <w:sz w:val="24"/>
              </w:rPr>
              <w:t>15</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lastRenderedPageBreak/>
              <w:t>402,154,039.59</w:t>
            </w:r>
          </w:p>
        </w:tc>
        <w:tc>
          <w:tcPr>
            <w:tcW w:w="1615" w:type="pct"/>
            <w:vAlign w:val="center"/>
          </w:tcPr>
          <w:p w:rsidR="00703495" w:rsidRPr="009440E4" w:rsidRDefault="00703495" w:rsidP="009440E4">
            <w:pPr>
              <w:spacing w:before="29" w:line="288" w:lineRule="auto"/>
              <w:jc w:val="center"/>
              <w:rPr>
                <w:sz w:val="24"/>
              </w:rPr>
            </w:pPr>
            <w:r w:rsidRPr="009440E4">
              <w:rPr>
                <w:sz w:val="24"/>
              </w:rPr>
              <w:t>23,334,238.83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4,911,298,076.71</w:t>
            </w:r>
          </w:p>
        </w:tc>
        <w:tc>
          <w:tcPr>
            <w:tcW w:w="1615" w:type="pct"/>
            <w:vAlign w:val="bottom"/>
          </w:tcPr>
          <w:p w:rsidR="00703495" w:rsidRPr="009440E4" w:rsidRDefault="00703495" w:rsidP="009440E4">
            <w:pPr>
              <w:spacing w:before="29" w:line="288" w:lineRule="auto"/>
              <w:jc w:val="center"/>
              <w:rPr>
                <w:sz w:val="24"/>
              </w:rPr>
            </w:pPr>
            <w:r w:rsidRPr="009440E4">
              <w:rPr>
                <w:sz w:val="24"/>
              </w:rPr>
              <w:t>1,984,412.03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1,064,878,880.76</w:t>
            </w:r>
          </w:p>
        </w:tc>
        <w:tc>
          <w:tcPr>
            <w:tcW w:w="1615" w:type="pct"/>
            <w:vAlign w:val="bottom"/>
          </w:tcPr>
          <w:p w:rsidR="00703495" w:rsidRPr="009440E4" w:rsidRDefault="00703495" w:rsidP="009440E4">
            <w:pPr>
              <w:spacing w:before="29" w:line="288" w:lineRule="auto"/>
              <w:jc w:val="center"/>
              <w:rPr>
                <w:sz w:val="24"/>
              </w:rPr>
            </w:pPr>
            <w:r w:rsidRPr="009440E4">
              <w:rPr>
                <w:sz w:val="24"/>
              </w:rPr>
              <w:t>1,741,684.90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4,897,802,089.66</w:t>
            </w:r>
          </w:p>
        </w:tc>
        <w:tc>
          <w:tcPr>
            <w:tcW w:w="1615" w:type="pct"/>
            <w:vAlign w:val="bottom"/>
          </w:tcPr>
          <w:p w:rsidR="00703495" w:rsidRPr="009440E4" w:rsidRDefault="00703495" w:rsidP="009440E4">
            <w:pPr>
              <w:spacing w:before="29" w:line="288" w:lineRule="auto"/>
              <w:jc w:val="center"/>
              <w:rPr>
                <w:sz w:val="24"/>
              </w:rPr>
            </w:pPr>
            <w:r w:rsidRPr="009440E4">
              <w:rPr>
                <w:sz w:val="24"/>
              </w:rPr>
              <w:t>2,807,147.92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1,078,374,867.81</w:t>
            </w:r>
          </w:p>
        </w:tc>
        <w:tc>
          <w:tcPr>
            <w:tcW w:w="1615" w:type="pct"/>
            <w:vAlign w:val="center"/>
          </w:tcPr>
          <w:p w:rsidR="00703495" w:rsidRPr="009440E4" w:rsidRDefault="00703495" w:rsidP="009440E4">
            <w:pPr>
              <w:spacing w:before="29" w:line="288" w:lineRule="auto"/>
              <w:jc w:val="center"/>
              <w:rPr>
                <w:sz w:val="24"/>
              </w:rPr>
            </w:pPr>
            <w:r w:rsidRPr="009440E4">
              <w:rPr>
                <w:sz w:val="24"/>
              </w:rPr>
              <w:t>918,949.01</w:t>
            </w:r>
          </w:p>
        </w:tc>
      </w:tr>
    </w:tbl>
    <w:p w:rsidR="00E6757E" w:rsidRDefault="00011DF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E6757E" w:rsidRDefault="00011DF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E6757E" w:rsidRDefault="00011DF4">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E6757E" w:rsidRDefault="00011DF4">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w:t>
      </w:r>
      <w:r>
        <w:rPr>
          <w:color w:val="000000"/>
          <w:sz w:val="24"/>
        </w:rPr>
        <w:t>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lastRenderedPageBreak/>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E6757E" w:rsidRDefault="00011DF4">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E6757E" w:rsidRDefault="00011DF4">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E6757E" w:rsidRDefault="00011DF4">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E6757E">
        <w:tc>
          <w:tcPr>
            <w:tcW w:w="1559" w:type="dxa"/>
            <w:vAlign w:val="center"/>
          </w:tcPr>
          <w:p w:rsidR="00E6757E" w:rsidRDefault="00011DF4">
            <w:pPr>
              <w:jc w:val="left"/>
            </w:pPr>
            <w:r>
              <w:rPr>
                <w:color w:val="000000"/>
                <w:szCs w:val="21"/>
              </w:rPr>
              <w:t>国金证券股份有限公司</w:t>
            </w:r>
          </w:p>
        </w:tc>
        <w:tc>
          <w:tcPr>
            <w:tcW w:w="779" w:type="dxa"/>
            <w:vAlign w:val="center"/>
          </w:tcPr>
          <w:p w:rsidR="00E6757E" w:rsidRDefault="00011DF4">
            <w:pPr>
              <w:jc w:val="right"/>
            </w:pPr>
            <w:r>
              <w:rPr>
                <w:color w:val="000000"/>
                <w:szCs w:val="21"/>
              </w:rPr>
              <w:t>2</w:t>
            </w:r>
          </w:p>
        </w:tc>
        <w:tc>
          <w:tcPr>
            <w:tcW w:w="180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62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080" w:type="dxa"/>
            <w:vAlign w:val="center"/>
          </w:tcPr>
          <w:p w:rsidR="00E6757E" w:rsidRDefault="00011DF4">
            <w:pPr>
              <w:jc w:val="left"/>
            </w:pPr>
            <w:r>
              <w:rPr>
                <w:color w:val="000000"/>
                <w:szCs w:val="21"/>
              </w:rPr>
              <w:t>-</w:t>
            </w:r>
          </w:p>
        </w:tc>
      </w:tr>
      <w:tr w:rsidR="00E6757E">
        <w:tc>
          <w:tcPr>
            <w:tcW w:w="1559" w:type="dxa"/>
            <w:vAlign w:val="center"/>
          </w:tcPr>
          <w:p w:rsidR="00E6757E" w:rsidRDefault="00011DF4">
            <w:pPr>
              <w:jc w:val="left"/>
            </w:pPr>
            <w:r>
              <w:rPr>
                <w:color w:val="000000"/>
                <w:szCs w:val="21"/>
              </w:rPr>
              <w:t>安信证券股份有限公司</w:t>
            </w:r>
          </w:p>
        </w:tc>
        <w:tc>
          <w:tcPr>
            <w:tcW w:w="779" w:type="dxa"/>
            <w:vAlign w:val="center"/>
          </w:tcPr>
          <w:p w:rsidR="00E6757E" w:rsidRDefault="00011DF4">
            <w:pPr>
              <w:jc w:val="right"/>
            </w:pPr>
            <w:r>
              <w:rPr>
                <w:color w:val="000000"/>
                <w:szCs w:val="21"/>
              </w:rPr>
              <w:t>2</w:t>
            </w:r>
          </w:p>
        </w:tc>
        <w:tc>
          <w:tcPr>
            <w:tcW w:w="180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62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080" w:type="dxa"/>
            <w:vAlign w:val="center"/>
          </w:tcPr>
          <w:p w:rsidR="00E6757E" w:rsidRDefault="00011DF4">
            <w:pPr>
              <w:jc w:val="left"/>
            </w:pPr>
            <w:r>
              <w:rPr>
                <w:color w:val="000000"/>
                <w:szCs w:val="21"/>
              </w:rPr>
              <w:t>-</w:t>
            </w:r>
          </w:p>
        </w:tc>
      </w:tr>
      <w:tr w:rsidR="00E6757E">
        <w:tc>
          <w:tcPr>
            <w:tcW w:w="1559" w:type="dxa"/>
            <w:vAlign w:val="center"/>
          </w:tcPr>
          <w:p w:rsidR="00E6757E" w:rsidRDefault="00011DF4">
            <w:pPr>
              <w:jc w:val="left"/>
            </w:pPr>
            <w:r>
              <w:rPr>
                <w:color w:val="000000"/>
                <w:szCs w:val="21"/>
              </w:rPr>
              <w:t>中信证券股份有限公司</w:t>
            </w:r>
          </w:p>
        </w:tc>
        <w:tc>
          <w:tcPr>
            <w:tcW w:w="779" w:type="dxa"/>
            <w:vAlign w:val="center"/>
          </w:tcPr>
          <w:p w:rsidR="00E6757E" w:rsidRDefault="00011DF4">
            <w:pPr>
              <w:jc w:val="right"/>
            </w:pPr>
            <w:r>
              <w:rPr>
                <w:color w:val="000000"/>
                <w:szCs w:val="21"/>
              </w:rPr>
              <w:t>1</w:t>
            </w:r>
          </w:p>
        </w:tc>
        <w:tc>
          <w:tcPr>
            <w:tcW w:w="180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62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080" w:type="dxa"/>
            <w:vAlign w:val="center"/>
          </w:tcPr>
          <w:p w:rsidR="00E6757E" w:rsidRDefault="00011DF4">
            <w:pPr>
              <w:jc w:val="left"/>
            </w:pPr>
            <w:r>
              <w:rPr>
                <w:color w:val="000000"/>
                <w:szCs w:val="21"/>
              </w:rPr>
              <w:t>-</w:t>
            </w:r>
          </w:p>
        </w:tc>
      </w:tr>
      <w:tr w:rsidR="00E6757E">
        <w:tc>
          <w:tcPr>
            <w:tcW w:w="1559" w:type="dxa"/>
            <w:vAlign w:val="center"/>
          </w:tcPr>
          <w:p w:rsidR="00E6757E" w:rsidRDefault="00011DF4">
            <w:pPr>
              <w:jc w:val="left"/>
            </w:pPr>
            <w:r>
              <w:rPr>
                <w:color w:val="000000"/>
                <w:szCs w:val="21"/>
              </w:rPr>
              <w:t>中泰证券股份有限公司</w:t>
            </w:r>
          </w:p>
        </w:tc>
        <w:tc>
          <w:tcPr>
            <w:tcW w:w="779" w:type="dxa"/>
            <w:vAlign w:val="center"/>
          </w:tcPr>
          <w:p w:rsidR="00E6757E" w:rsidRDefault="00011DF4">
            <w:pPr>
              <w:jc w:val="right"/>
            </w:pPr>
            <w:r>
              <w:rPr>
                <w:color w:val="000000"/>
                <w:szCs w:val="21"/>
              </w:rPr>
              <w:t>2</w:t>
            </w:r>
          </w:p>
        </w:tc>
        <w:tc>
          <w:tcPr>
            <w:tcW w:w="180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62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080" w:type="dxa"/>
            <w:vAlign w:val="center"/>
          </w:tcPr>
          <w:p w:rsidR="00E6757E" w:rsidRDefault="00011DF4">
            <w:pPr>
              <w:jc w:val="left"/>
            </w:pPr>
            <w:r>
              <w:rPr>
                <w:color w:val="000000"/>
                <w:szCs w:val="21"/>
              </w:rPr>
              <w:t>-</w:t>
            </w:r>
          </w:p>
        </w:tc>
      </w:tr>
      <w:tr w:rsidR="00E6757E">
        <w:tc>
          <w:tcPr>
            <w:tcW w:w="1559" w:type="dxa"/>
            <w:vAlign w:val="center"/>
          </w:tcPr>
          <w:p w:rsidR="00E6757E" w:rsidRDefault="00011DF4">
            <w:pPr>
              <w:jc w:val="left"/>
            </w:pPr>
            <w:r>
              <w:rPr>
                <w:color w:val="000000"/>
                <w:szCs w:val="21"/>
              </w:rPr>
              <w:t>新时代证券股份有限公司</w:t>
            </w:r>
          </w:p>
        </w:tc>
        <w:tc>
          <w:tcPr>
            <w:tcW w:w="779" w:type="dxa"/>
            <w:vAlign w:val="center"/>
          </w:tcPr>
          <w:p w:rsidR="00E6757E" w:rsidRDefault="00011DF4">
            <w:pPr>
              <w:jc w:val="right"/>
            </w:pPr>
            <w:r>
              <w:rPr>
                <w:color w:val="000000"/>
                <w:szCs w:val="21"/>
              </w:rPr>
              <w:t>1</w:t>
            </w:r>
          </w:p>
        </w:tc>
        <w:tc>
          <w:tcPr>
            <w:tcW w:w="180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620" w:type="dxa"/>
            <w:vAlign w:val="center"/>
          </w:tcPr>
          <w:p w:rsidR="00E6757E" w:rsidRDefault="00011DF4">
            <w:pPr>
              <w:jc w:val="right"/>
            </w:pPr>
            <w:r>
              <w:rPr>
                <w:color w:val="000000"/>
                <w:szCs w:val="21"/>
              </w:rPr>
              <w:t>-</w:t>
            </w:r>
          </w:p>
        </w:tc>
        <w:tc>
          <w:tcPr>
            <w:tcW w:w="1080" w:type="dxa"/>
            <w:vAlign w:val="center"/>
          </w:tcPr>
          <w:p w:rsidR="00E6757E" w:rsidRDefault="00011DF4">
            <w:pPr>
              <w:jc w:val="right"/>
            </w:pPr>
            <w:r>
              <w:rPr>
                <w:color w:val="000000"/>
                <w:szCs w:val="21"/>
              </w:rPr>
              <w:t>-</w:t>
            </w:r>
          </w:p>
        </w:tc>
        <w:tc>
          <w:tcPr>
            <w:tcW w:w="1080" w:type="dxa"/>
            <w:vAlign w:val="center"/>
          </w:tcPr>
          <w:p w:rsidR="00E6757E" w:rsidRDefault="00011DF4">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E6757E">
        <w:tc>
          <w:tcPr>
            <w:tcW w:w="1559" w:type="dxa"/>
            <w:vAlign w:val="center"/>
          </w:tcPr>
          <w:p w:rsidR="00E6757E" w:rsidRDefault="00011DF4">
            <w:pPr>
              <w:jc w:val="left"/>
            </w:pPr>
            <w:r>
              <w:rPr>
                <w:szCs w:val="21"/>
              </w:rPr>
              <w:t>国金证券股份有限公司</w:t>
            </w:r>
          </w:p>
        </w:tc>
        <w:tc>
          <w:tcPr>
            <w:tcW w:w="1319" w:type="dxa"/>
            <w:vAlign w:val="center"/>
          </w:tcPr>
          <w:p w:rsidR="00E6757E" w:rsidRDefault="00011DF4">
            <w:pPr>
              <w:jc w:val="right"/>
            </w:pPr>
            <w:r>
              <w:rPr>
                <w:szCs w:val="21"/>
              </w:rPr>
              <w:t>6,528,370.00</w:t>
            </w:r>
          </w:p>
        </w:tc>
        <w:tc>
          <w:tcPr>
            <w:tcW w:w="1080" w:type="dxa"/>
            <w:vAlign w:val="center"/>
          </w:tcPr>
          <w:p w:rsidR="00E6757E" w:rsidRDefault="00011DF4">
            <w:pPr>
              <w:jc w:val="right"/>
            </w:pPr>
            <w:r>
              <w:rPr>
                <w:szCs w:val="21"/>
              </w:rPr>
              <w:t>86.65%</w:t>
            </w:r>
          </w:p>
        </w:tc>
        <w:tc>
          <w:tcPr>
            <w:tcW w:w="1080" w:type="dxa"/>
            <w:vAlign w:val="center"/>
          </w:tcPr>
          <w:p w:rsidR="00E6757E" w:rsidRDefault="00011DF4">
            <w:pPr>
              <w:jc w:val="right"/>
            </w:pPr>
            <w:r>
              <w:rPr>
                <w:szCs w:val="21"/>
              </w:rPr>
              <w:t>52,100,000.00</w:t>
            </w:r>
          </w:p>
        </w:tc>
        <w:tc>
          <w:tcPr>
            <w:tcW w:w="1260" w:type="dxa"/>
            <w:vAlign w:val="center"/>
          </w:tcPr>
          <w:p w:rsidR="00E6757E" w:rsidRDefault="00011DF4">
            <w:pPr>
              <w:jc w:val="right"/>
            </w:pPr>
            <w:r>
              <w:rPr>
                <w:szCs w:val="21"/>
              </w:rPr>
              <w:t>73.28%</w:t>
            </w:r>
          </w:p>
        </w:tc>
        <w:tc>
          <w:tcPr>
            <w:tcW w:w="1260" w:type="dxa"/>
            <w:vAlign w:val="center"/>
          </w:tcPr>
          <w:p w:rsidR="00E6757E" w:rsidRDefault="00011DF4">
            <w:pPr>
              <w:jc w:val="right"/>
            </w:pPr>
            <w:r>
              <w:rPr>
                <w:szCs w:val="21"/>
              </w:rPr>
              <w:t>-</w:t>
            </w:r>
          </w:p>
        </w:tc>
        <w:tc>
          <w:tcPr>
            <w:tcW w:w="1440" w:type="dxa"/>
            <w:vAlign w:val="center"/>
          </w:tcPr>
          <w:p w:rsidR="00E6757E" w:rsidRDefault="00011DF4">
            <w:pPr>
              <w:jc w:val="right"/>
            </w:pPr>
            <w:r>
              <w:rPr>
                <w:szCs w:val="21"/>
              </w:rPr>
              <w:t>-</w:t>
            </w:r>
          </w:p>
        </w:tc>
      </w:tr>
      <w:tr w:rsidR="00E6757E">
        <w:tc>
          <w:tcPr>
            <w:tcW w:w="1559" w:type="dxa"/>
            <w:vAlign w:val="center"/>
          </w:tcPr>
          <w:p w:rsidR="00E6757E" w:rsidRDefault="00011DF4">
            <w:pPr>
              <w:jc w:val="left"/>
            </w:pPr>
            <w:r>
              <w:rPr>
                <w:szCs w:val="21"/>
              </w:rPr>
              <w:lastRenderedPageBreak/>
              <w:t>安信证券股份有限公司</w:t>
            </w:r>
          </w:p>
        </w:tc>
        <w:tc>
          <w:tcPr>
            <w:tcW w:w="1319" w:type="dxa"/>
            <w:vAlign w:val="center"/>
          </w:tcPr>
          <w:p w:rsidR="00E6757E" w:rsidRDefault="00011DF4">
            <w:pPr>
              <w:jc w:val="right"/>
            </w:pPr>
            <w:r>
              <w:rPr>
                <w:szCs w:val="21"/>
              </w:rPr>
              <w:t>1,005,600.00</w:t>
            </w:r>
          </w:p>
        </w:tc>
        <w:tc>
          <w:tcPr>
            <w:tcW w:w="1080" w:type="dxa"/>
            <w:vAlign w:val="center"/>
          </w:tcPr>
          <w:p w:rsidR="00E6757E" w:rsidRDefault="00011DF4">
            <w:pPr>
              <w:jc w:val="right"/>
            </w:pPr>
            <w:r>
              <w:rPr>
                <w:szCs w:val="21"/>
              </w:rPr>
              <w:t>13.35%</w:t>
            </w:r>
          </w:p>
        </w:tc>
        <w:tc>
          <w:tcPr>
            <w:tcW w:w="1080" w:type="dxa"/>
            <w:vAlign w:val="center"/>
          </w:tcPr>
          <w:p w:rsidR="00E6757E" w:rsidRDefault="00011DF4">
            <w:pPr>
              <w:jc w:val="right"/>
            </w:pPr>
            <w:r>
              <w:rPr>
                <w:szCs w:val="21"/>
              </w:rPr>
              <w:t>19,000,000.00</w:t>
            </w:r>
          </w:p>
        </w:tc>
        <w:tc>
          <w:tcPr>
            <w:tcW w:w="1260" w:type="dxa"/>
            <w:vAlign w:val="center"/>
          </w:tcPr>
          <w:p w:rsidR="00E6757E" w:rsidRDefault="00011DF4">
            <w:pPr>
              <w:jc w:val="right"/>
            </w:pPr>
            <w:r>
              <w:rPr>
                <w:szCs w:val="21"/>
              </w:rPr>
              <w:t>26.72%</w:t>
            </w:r>
          </w:p>
        </w:tc>
        <w:tc>
          <w:tcPr>
            <w:tcW w:w="1260" w:type="dxa"/>
            <w:vAlign w:val="center"/>
          </w:tcPr>
          <w:p w:rsidR="00E6757E" w:rsidRDefault="00011DF4">
            <w:pPr>
              <w:jc w:val="right"/>
            </w:pPr>
            <w:r>
              <w:rPr>
                <w:szCs w:val="21"/>
              </w:rPr>
              <w:t>-</w:t>
            </w:r>
          </w:p>
        </w:tc>
        <w:tc>
          <w:tcPr>
            <w:tcW w:w="1440" w:type="dxa"/>
            <w:vAlign w:val="center"/>
          </w:tcPr>
          <w:p w:rsidR="00E6757E" w:rsidRDefault="00011DF4">
            <w:pPr>
              <w:jc w:val="right"/>
            </w:pPr>
            <w:r>
              <w:rPr>
                <w:szCs w:val="21"/>
              </w:rPr>
              <w:t>-</w:t>
            </w:r>
          </w:p>
        </w:tc>
      </w:tr>
    </w:tbl>
    <w:p w:rsidR="00E6757E" w:rsidRDefault="00011DF4">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、报告期内，本基金新增加新时代证券股份有限公司、中信证券股份有限公司，其它交易单元未发生变化；</w:t>
      </w:r>
    </w:p>
    <w:p w:rsidR="00E6757E" w:rsidRDefault="00011DF4">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6757E">
        <w:tc>
          <w:tcPr>
            <w:tcW w:w="993" w:type="dxa"/>
            <w:vMerge w:val="restart"/>
          </w:tcPr>
          <w:p w:rsidR="00E6757E" w:rsidRDefault="00E6757E"/>
          <w:p w:rsidR="00E6757E" w:rsidRDefault="00011DF4">
            <w:r>
              <w:rPr>
                <w:rFonts w:ascii="宋体" w:hAnsi="宋体" w:hint="eastAsia"/>
                <w:bCs/>
                <w:color w:val="000000"/>
                <w:kern w:val="0"/>
                <w:szCs w:val="21"/>
              </w:rPr>
              <w:t>机构</w:t>
            </w:r>
          </w:p>
        </w:tc>
        <w:tc>
          <w:tcPr>
            <w:tcW w:w="992" w:type="dxa"/>
            <w:vAlign w:val="center"/>
          </w:tcPr>
          <w:p w:rsidR="00E6757E" w:rsidRDefault="00011DF4">
            <w:pPr>
              <w:jc w:val="center"/>
            </w:pPr>
            <w:r>
              <w:rPr>
                <w:rFonts w:ascii="宋体" w:hAnsi="宋体"/>
                <w:color w:val="000000"/>
                <w:kern w:val="0"/>
                <w:szCs w:val="21"/>
              </w:rPr>
              <w:t>1</w:t>
            </w:r>
          </w:p>
        </w:tc>
        <w:tc>
          <w:tcPr>
            <w:tcW w:w="1843" w:type="dxa"/>
            <w:vAlign w:val="center"/>
          </w:tcPr>
          <w:p w:rsidR="00E6757E" w:rsidRDefault="00011DF4">
            <w:pPr>
              <w:jc w:val="center"/>
            </w:pPr>
            <w:r>
              <w:rPr>
                <w:rFonts w:ascii="宋体" w:hAnsi="宋体"/>
                <w:color w:val="000000"/>
                <w:kern w:val="0"/>
                <w:szCs w:val="21"/>
              </w:rPr>
              <w:t>2018/1/1-2018/12/31</w:t>
            </w:r>
          </w:p>
        </w:tc>
        <w:tc>
          <w:tcPr>
            <w:tcW w:w="851" w:type="dxa"/>
            <w:vAlign w:val="center"/>
          </w:tcPr>
          <w:p w:rsidR="00E6757E" w:rsidRDefault="00011DF4">
            <w:pPr>
              <w:jc w:val="center"/>
            </w:pPr>
            <w:r>
              <w:rPr>
                <w:rFonts w:ascii="宋体" w:hAnsi="宋体"/>
                <w:color w:val="000000"/>
                <w:kern w:val="0"/>
                <w:szCs w:val="21"/>
              </w:rPr>
              <w:t>4,892,366,927.59</w:t>
            </w:r>
          </w:p>
        </w:tc>
        <w:tc>
          <w:tcPr>
            <w:tcW w:w="850" w:type="dxa"/>
            <w:vAlign w:val="center"/>
          </w:tcPr>
          <w:p w:rsidR="00E6757E" w:rsidRDefault="00011DF4">
            <w:pPr>
              <w:jc w:val="center"/>
            </w:pPr>
            <w:r>
              <w:rPr>
                <w:rFonts w:ascii="宋体" w:hAnsi="宋体"/>
                <w:color w:val="000000"/>
                <w:kern w:val="0"/>
                <w:szCs w:val="21"/>
              </w:rPr>
              <w:t>-</w:t>
            </w:r>
          </w:p>
        </w:tc>
        <w:tc>
          <w:tcPr>
            <w:tcW w:w="1134" w:type="dxa"/>
            <w:vAlign w:val="center"/>
          </w:tcPr>
          <w:p w:rsidR="00E6757E" w:rsidRDefault="00011DF4">
            <w:pPr>
              <w:jc w:val="center"/>
            </w:pPr>
            <w:r>
              <w:rPr>
                <w:rFonts w:ascii="宋体" w:hAnsi="宋体"/>
                <w:color w:val="000000"/>
                <w:kern w:val="0"/>
                <w:szCs w:val="21"/>
              </w:rPr>
              <w:t>4,892,366,927.59</w:t>
            </w:r>
          </w:p>
        </w:tc>
        <w:tc>
          <w:tcPr>
            <w:tcW w:w="1419" w:type="dxa"/>
            <w:vAlign w:val="center"/>
          </w:tcPr>
          <w:p w:rsidR="00E6757E" w:rsidRDefault="00011DF4">
            <w:pPr>
              <w:jc w:val="center"/>
            </w:pPr>
            <w:r>
              <w:rPr>
                <w:rFonts w:ascii="宋体" w:hAnsi="宋体"/>
                <w:color w:val="000000"/>
                <w:kern w:val="0"/>
                <w:szCs w:val="21"/>
              </w:rPr>
              <w:t>-</w:t>
            </w:r>
          </w:p>
        </w:tc>
        <w:tc>
          <w:tcPr>
            <w:tcW w:w="1130" w:type="dxa"/>
            <w:vAlign w:val="center"/>
          </w:tcPr>
          <w:p w:rsidR="00E6757E" w:rsidRDefault="00011DF4">
            <w:pPr>
              <w:jc w:val="center"/>
            </w:pPr>
            <w:r>
              <w:rPr>
                <w:rFonts w:ascii="宋体" w:hAnsi="宋体"/>
                <w:color w:val="000000"/>
                <w:kern w:val="0"/>
                <w:szCs w:val="21"/>
              </w:rPr>
              <w:t>-</w:t>
            </w:r>
          </w:p>
        </w:tc>
      </w:tr>
      <w:tr w:rsidR="00E6757E">
        <w:tc>
          <w:tcPr>
            <w:tcW w:w="993" w:type="dxa"/>
            <w:vMerge/>
          </w:tcPr>
          <w:p w:rsidR="00E6757E" w:rsidRDefault="00E6757E"/>
        </w:tc>
        <w:tc>
          <w:tcPr>
            <w:tcW w:w="992" w:type="dxa"/>
            <w:vAlign w:val="center"/>
          </w:tcPr>
          <w:p w:rsidR="00E6757E" w:rsidRDefault="00011DF4">
            <w:pPr>
              <w:jc w:val="center"/>
            </w:pPr>
            <w:r>
              <w:rPr>
                <w:rFonts w:ascii="宋体" w:hAnsi="宋体"/>
                <w:color w:val="000000"/>
                <w:kern w:val="0"/>
                <w:szCs w:val="21"/>
              </w:rPr>
              <w:t>2</w:t>
            </w:r>
          </w:p>
        </w:tc>
        <w:tc>
          <w:tcPr>
            <w:tcW w:w="1843" w:type="dxa"/>
            <w:vAlign w:val="center"/>
          </w:tcPr>
          <w:p w:rsidR="00E6757E" w:rsidRDefault="00011DF4">
            <w:pPr>
              <w:jc w:val="center"/>
            </w:pPr>
            <w:r>
              <w:rPr>
                <w:rFonts w:ascii="宋体" w:hAnsi="宋体"/>
                <w:color w:val="000000"/>
                <w:kern w:val="0"/>
                <w:szCs w:val="21"/>
              </w:rPr>
              <w:t>2018/1/1-2018/12/31</w:t>
            </w:r>
          </w:p>
        </w:tc>
        <w:tc>
          <w:tcPr>
            <w:tcW w:w="851" w:type="dxa"/>
            <w:vAlign w:val="center"/>
          </w:tcPr>
          <w:p w:rsidR="00E6757E" w:rsidRDefault="00011DF4">
            <w:pPr>
              <w:jc w:val="center"/>
            </w:pPr>
            <w:r>
              <w:rPr>
                <w:rFonts w:ascii="宋体" w:hAnsi="宋体"/>
                <w:color w:val="000000"/>
                <w:kern w:val="0"/>
                <w:szCs w:val="21"/>
              </w:rPr>
              <w:t>-</w:t>
            </w:r>
          </w:p>
        </w:tc>
        <w:tc>
          <w:tcPr>
            <w:tcW w:w="850" w:type="dxa"/>
            <w:vAlign w:val="center"/>
          </w:tcPr>
          <w:p w:rsidR="00E6757E" w:rsidRDefault="00011DF4">
            <w:pPr>
              <w:jc w:val="center"/>
            </w:pPr>
            <w:r>
              <w:rPr>
                <w:rFonts w:ascii="宋体" w:hAnsi="宋体"/>
                <w:color w:val="000000"/>
                <w:kern w:val="0"/>
                <w:szCs w:val="21"/>
              </w:rPr>
              <w:t>290,387,184.20</w:t>
            </w:r>
          </w:p>
        </w:tc>
        <w:tc>
          <w:tcPr>
            <w:tcW w:w="1134" w:type="dxa"/>
            <w:vAlign w:val="center"/>
          </w:tcPr>
          <w:p w:rsidR="00E6757E" w:rsidRDefault="00011DF4">
            <w:pPr>
              <w:jc w:val="center"/>
            </w:pPr>
            <w:r>
              <w:rPr>
                <w:rFonts w:ascii="宋体" w:hAnsi="宋体"/>
                <w:color w:val="000000"/>
                <w:kern w:val="0"/>
                <w:szCs w:val="21"/>
              </w:rPr>
              <w:t>-</w:t>
            </w:r>
          </w:p>
        </w:tc>
        <w:tc>
          <w:tcPr>
            <w:tcW w:w="1419" w:type="dxa"/>
            <w:vAlign w:val="center"/>
          </w:tcPr>
          <w:p w:rsidR="00E6757E" w:rsidRDefault="00011DF4">
            <w:pPr>
              <w:jc w:val="center"/>
            </w:pPr>
            <w:r>
              <w:rPr>
                <w:rFonts w:ascii="宋体" w:hAnsi="宋体"/>
                <w:color w:val="000000"/>
                <w:kern w:val="0"/>
                <w:szCs w:val="21"/>
              </w:rPr>
              <w:t>290,387,184.20</w:t>
            </w:r>
          </w:p>
        </w:tc>
        <w:tc>
          <w:tcPr>
            <w:tcW w:w="1130" w:type="dxa"/>
            <w:vAlign w:val="center"/>
          </w:tcPr>
          <w:p w:rsidR="00E6757E" w:rsidRDefault="00011DF4">
            <w:pPr>
              <w:jc w:val="center"/>
            </w:pPr>
            <w:r>
              <w:rPr>
                <w:rFonts w:ascii="宋体" w:hAnsi="宋体"/>
                <w:color w:val="000000"/>
                <w:kern w:val="0"/>
                <w:szCs w:val="21"/>
              </w:rPr>
              <w:t>26.91%</w:t>
            </w:r>
          </w:p>
        </w:tc>
      </w:tr>
      <w:tr w:rsidR="00E6757E">
        <w:tc>
          <w:tcPr>
            <w:tcW w:w="993" w:type="dxa"/>
            <w:vMerge/>
          </w:tcPr>
          <w:p w:rsidR="00E6757E" w:rsidRDefault="00E6757E"/>
        </w:tc>
        <w:tc>
          <w:tcPr>
            <w:tcW w:w="992" w:type="dxa"/>
            <w:vAlign w:val="center"/>
          </w:tcPr>
          <w:p w:rsidR="00E6757E" w:rsidRDefault="00011DF4">
            <w:pPr>
              <w:jc w:val="center"/>
            </w:pPr>
            <w:r>
              <w:rPr>
                <w:rFonts w:ascii="宋体" w:hAnsi="宋体"/>
                <w:color w:val="000000"/>
                <w:kern w:val="0"/>
                <w:szCs w:val="21"/>
              </w:rPr>
              <w:t>3</w:t>
            </w:r>
          </w:p>
        </w:tc>
        <w:tc>
          <w:tcPr>
            <w:tcW w:w="1843" w:type="dxa"/>
            <w:vAlign w:val="center"/>
          </w:tcPr>
          <w:p w:rsidR="00E6757E" w:rsidRDefault="00011DF4">
            <w:pPr>
              <w:jc w:val="center"/>
            </w:pPr>
            <w:r>
              <w:rPr>
                <w:rFonts w:ascii="宋体" w:hAnsi="宋体"/>
                <w:color w:val="000000"/>
                <w:kern w:val="0"/>
                <w:szCs w:val="21"/>
              </w:rPr>
              <w:t>2018/1/1-2018/12/31</w:t>
            </w:r>
          </w:p>
        </w:tc>
        <w:tc>
          <w:tcPr>
            <w:tcW w:w="851" w:type="dxa"/>
            <w:vAlign w:val="center"/>
          </w:tcPr>
          <w:p w:rsidR="00E6757E" w:rsidRDefault="00011DF4">
            <w:pPr>
              <w:jc w:val="center"/>
            </w:pPr>
            <w:r>
              <w:rPr>
                <w:rFonts w:ascii="宋体" w:hAnsi="宋体"/>
                <w:color w:val="000000"/>
                <w:kern w:val="0"/>
                <w:szCs w:val="21"/>
              </w:rPr>
              <w:t>-</w:t>
            </w:r>
          </w:p>
        </w:tc>
        <w:tc>
          <w:tcPr>
            <w:tcW w:w="850" w:type="dxa"/>
            <w:vAlign w:val="center"/>
          </w:tcPr>
          <w:p w:rsidR="00E6757E" w:rsidRDefault="00011DF4">
            <w:pPr>
              <w:jc w:val="center"/>
            </w:pPr>
            <w:r>
              <w:rPr>
                <w:rFonts w:ascii="宋体" w:hAnsi="宋体"/>
                <w:color w:val="000000"/>
                <w:kern w:val="0"/>
                <w:szCs w:val="21"/>
              </w:rPr>
              <w:t>288,017,473.12</w:t>
            </w:r>
          </w:p>
        </w:tc>
        <w:tc>
          <w:tcPr>
            <w:tcW w:w="1134" w:type="dxa"/>
            <w:vAlign w:val="center"/>
          </w:tcPr>
          <w:p w:rsidR="00E6757E" w:rsidRDefault="00011DF4">
            <w:pPr>
              <w:jc w:val="center"/>
            </w:pPr>
            <w:r>
              <w:rPr>
                <w:rFonts w:ascii="宋体" w:hAnsi="宋体"/>
                <w:color w:val="000000"/>
                <w:kern w:val="0"/>
                <w:szCs w:val="21"/>
              </w:rPr>
              <w:t>-</w:t>
            </w:r>
          </w:p>
        </w:tc>
        <w:tc>
          <w:tcPr>
            <w:tcW w:w="1419" w:type="dxa"/>
            <w:vAlign w:val="center"/>
          </w:tcPr>
          <w:p w:rsidR="00E6757E" w:rsidRDefault="00011DF4">
            <w:pPr>
              <w:jc w:val="center"/>
            </w:pPr>
            <w:r>
              <w:rPr>
                <w:rFonts w:ascii="宋体" w:hAnsi="宋体"/>
                <w:color w:val="000000"/>
                <w:kern w:val="0"/>
                <w:szCs w:val="21"/>
              </w:rPr>
              <w:t>288,017,473.12</w:t>
            </w:r>
          </w:p>
        </w:tc>
        <w:tc>
          <w:tcPr>
            <w:tcW w:w="1130" w:type="dxa"/>
            <w:vAlign w:val="center"/>
          </w:tcPr>
          <w:p w:rsidR="00E6757E" w:rsidRDefault="00011DF4">
            <w:pPr>
              <w:jc w:val="center"/>
            </w:pPr>
            <w:r>
              <w:rPr>
                <w:rFonts w:ascii="宋体" w:hAnsi="宋体"/>
                <w:color w:val="000000"/>
                <w:kern w:val="0"/>
                <w:szCs w:val="21"/>
              </w:rPr>
              <w:t>26.69%</w:t>
            </w:r>
          </w:p>
        </w:tc>
      </w:tr>
      <w:tr w:rsidR="00E6757E">
        <w:tc>
          <w:tcPr>
            <w:tcW w:w="993" w:type="dxa"/>
            <w:vMerge/>
          </w:tcPr>
          <w:p w:rsidR="00E6757E" w:rsidRDefault="00E6757E"/>
        </w:tc>
        <w:tc>
          <w:tcPr>
            <w:tcW w:w="992" w:type="dxa"/>
            <w:vAlign w:val="center"/>
          </w:tcPr>
          <w:p w:rsidR="00E6757E" w:rsidRDefault="00011DF4">
            <w:pPr>
              <w:jc w:val="center"/>
            </w:pPr>
            <w:r>
              <w:rPr>
                <w:rFonts w:ascii="宋体" w:hAnsi="宋体"/>
                <w:color w:val="000000"/>
                <w:kern w:val="0"/>
                <w:szCs w:val="21"/>
              </w:rPr>
              <w:t>4</w:t>
            </w:r>
          </w:p>
        </w:tc>
        <w:tc>
          <w:tcPr>
            <w:tcW w:w="1843" w:type="dxa"/>
            <w:vAlign w:val="center"/>
          </w:tcPr>
          <w:p w:rsidR="00E6757E" w:rsidRDefault="00011DF4">
            <w:pPr>
              <w:jc w:val="center"/>
            </w:pPr>
            <w:r>
              <w:rPr>
                <w:rFonts w:ascii="宋体" w:hAnsi="宋体"/>
                <w:color w:val="000000"/>
                <w:kern w:val="0"/>
                <w:szCs w:val="21"/>
              </w:rPr>
              <w:t>2018/1/1-2018/12/31</w:t>
            </w:r>
          </w:p>
        </w:tc>
        <w:tc>
          <w:tcPr>
            <w:tcW w:w="851" w:type="dxa"/>
            <w:vAlign w:val="center"/>
          </w:tcPr>
          <w:p w:rsidR="00E6757E" w:rsidRDefault="00011DF4">
            <w:pPr>
              <w:jc w:val="center"/>
            </w:pPr>
            <w:r>
              <w:rPr>
                <w:rFonts w:ascii="宋体" w:hAnsi="宋体"/>
                <w:color w:val="000000"/>
                <w:kern w:val="0"/>
                <w:szCs w:val="21"/>
              </w:rPr>
              <w:t>-</w:t>
            </w:r>
          </w:p>
        </w:tc>
        <w:tc>
          <w:tcPr>
            <w:tcW w:w="850" w:type="dxa"/>
            <w:vAlign w:val="center"/>
          </w:tcPr>
          <w:p w:rsidR="00E6757E" w:rsidRDefault="00011DF4">
            <w:pPr>
              <w:jc w:val="center"/>
            </w:pPr>
            <w:r>
              <w:rPr>
                <w:rFonts w:ascii="宋体" w:hAnsi="宋体"/>
                <w:color w:val="000000"/>
                <w:kern w:val="0"/>
                <w:szCs w:val="21"/>
              </w:rPr>
              <w:t>482,398,512.93</w:t>
            </w:r>
          </w:p>
        </w:tc>
        <w:tc>
          <w:tcPr>
            <w:tcW w:w="1134" w:type="dxa"/>
            <w:vAlign w:val="center"/>
          </w:tcPr>
          <w:p w:rsidR="00E6757E" w:rsidRDefault="00011DF4">
            <w:pPr>
              <w:jc w:val="center"/>
            </w:pPr>
            <w:r>
              <w:rPr>
                <w:rFonts w:ascii="宋体" w:hAnsi="宋体"/>
                <w:color w:val="000000"/>
                <w:kern w:val="0"/>
                <w:szCs w:val="21"/>
              </w:rPr>
              <w:t>-</w:t>
            </w:r>
          </w:p>
        </w:tc>
        <w:tc>
          <w:tcPr>
            <w:tcW w:w="1419" w:type="dxa"/>
            <w:vAlign w:val="center"/>
          </w:tcPr>
          <w:p w:rsidR="00E6757E" w:rsidRDefault="00011DF4">
            <w:pPr>
              <w:jc w:val="center"/>
            </w:pPr>
            <w:r>
              <w:rPr>
                <w:rFonts w:ascii="宋体" w:hAnsi="宋体"/>
                <w:color w:val="000000"/>
                <w:kern w:val="0"/>
                <w:szCs w:val="21"/>
              </w:rPr>
              <w:t>482,398,512.93</w:t>
            </w:r>
          </w:p>
        </w:tc>
        <w:tc>
          <w:tcPr>
            <w:tcW w:w="1130" w:type="dxa"/>
            <w:vAlign w:val="center"/>
          </w:tcPr>
          <w:p w:rsidR="00E6757E" w:rsidRDefault="00011DF4">
            <w:pPr>
              <w:jc w:val="center"/>
            </w:pPr>
            <w:r>
              <w:rPr>
                <w:rFonts w:ascii="宋体" w:hAnsi="宋体"/>
                <w:color w:val="000000"/>
                <w:kern w:val="0"/>
                <w:szCs w:val="21"/>
              </w:rPr>
              <w:t>44.70%</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E6757E" w:rsidRDefault="00011DF4">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E6757E" w:rsidRDefault="00011DF4">
      <w:pPr>
        <w:spacing w:line="360" w:lineRule="auto"/>
        <w:ind w:firstLineChars="200" w:firstLine="420"/>
        <w:rPr>
          <w:rFonts w:ascii="宋体" w:hAnsi="宋体"/>
          <w:color w:val="000000"/>
          <w:szCs w:val="21"/>
        </w:rPr>
      </w:pPr>
      <w:r>
        <w:rPr>
          <w:rFonts w:ascii="宋体" w:hAnsi="宋体"/>
          <w:color w:val="000000"/>
          <w:szCs w:val="21"/>
        </w:rPr>
        <w:t>2</w:t>
      </w:r>
      <w:r>
        <w:rPr>
          <w:rFonts w:ascii="宋体" w:hAnsi="宋体"/>
          <w:color w:val="000000"/>
          <w:szCs w:val="21"/>
        </w:rPr>
        <w:t>、根据《公开募集开放式证券投资基金流动性风险管理规定》的有关规定及相关监管要求，经</w:t>
      </w:r>
      <w:r>
        <w:rPr>
          <w:rFonts w:ascii="宋体" w:hAnsi="宋体"/>
          <w:color w:val="000000"/>
          <w:szCs w:val="21"/>
        </w:rPr>
        <w:lastRenderedPageBreak/>
        <w:t>与基金托管人协商一致并报监管机构备案，基金管理人对本基金基金合同等法律文件作相应修改。请投资者关注基金合同中</w:t>
      </w:r>
      <w:r>
        <w:rPr>
          <w:rFonts w:ascii="宋体" w:hAnsi="宋体"/>
          <w:color w:val="000000"/>
          <w:szCs w:val="21"/>
        </w:rPr>
        <w:t>“</w:t>
      </w:r>
      <w:r>
        <w:rPr>
          <w:rFonts w:ascii="宋体" w:hAnsi="宋体"/>
          <w:color w:val="000000"/>
          <w:szCs w:val="21"/>
        </w:rPr>
        <w:t>对持续持有期少于</w:t>
      </w:r>
      <w:r>
        <w:rPr>
          <w:rFonts w:ascii="宋体" w:hAnsi="宋体"/>
          <w:color w:val="000000"/>
          <w:szCs w:val="21"/>
        </w:rPr>
        <w:t>7</w:t>
      </w:r>
      <w:r>
        <w:rPr>
          <w:rFonts w:ascii="宋体" w:hAnsi="宋体"/>
          <w:color w:val="000000"/>
          <w:szCs w:val="21"/>
        </w:rPr>
        <w:t>日的基金份额持有人收取不低于</w:t>
      </w:r>
      <w:r>
        <w:rPr>
          <w:rFonts w:ascii="宋体" w:hAnsi="宋体"/>
          <w:color w:val="000000"/>
          <w:szCs w:val="21"/>
        </w:rPr>
        <w:t>1.5%</w:t>
      </w:r>
      <w:r>
        <w:rPr>
          <w:rFonts w:ascii="宋体" w:hAnsi="宋体"/>
          <w:color w:val="000000"/>
          <w:szCs w:val="21"/>
        </w:rPr>
        <w:t>的赎回费并全额计入基金财产</w:t>
      </w:r>
      <w:r>
        <w:rPr>
          <w:rFonts w:ascii="宋体" w:hAnsi="宋体"/>
          <w:color w:val="000000"/>
          <w:szCs w:val="21"/>
        </w:rPr>
        <w:t>”</w:t>
      </w:r>
      <w:r>
        <w:rPr>
          <w:rFonts w:ascii="宋体" w:hAnsi="宋体"/>
          <w:color w:val="000000"/>
          <w:szCs w:val="21"/>
        </w:rPr>
        <w:t>的条款已于</w:t>
      </w:r>
      <w:r>
        <w:rPr>
          <w:rFonts w:ascii="宋体" w:hAnsi="宋体"/>
          <w:color w:val="000000"/>
          <w:szCs w:val="21"/>
        </w:rPr>
        <w:t>2018</w:t>
      </w:r>
      <w:r>
        <w:rPr>
          <w:rFonts w:ascii="宋体" w:hAnsi="宋体"/>
          <w:color w:val="000000"/>
          <w:szCs w:val="21"/>
        </w:rPr>
        <w:t>年</w:t>
      </w:r>
      <w:r>
        <w:rPr>
          <w:rFonts w:ascii="宋体" w:hAnsi="宋体"/>
          <w:color w:val="000000"/>
          <w:szCs w:val="21"/>
        </w:rPr>
        <w:t>3</w:t>
      </w:r>
      <w:r>
        <w:rPr>
          <w:rFonts w:ascii="宋体" w:hAnsi="宋体"/>
          <w:color w:val="000000"/>
          <w:szCs w:val="21"/>
        </w:rPr>
        <w:t>月</w:t>
      </w:r>
      <w:r>
        <w:rPr>
          <w:rFonts w:ascii="宋体" w:hAnsi="宋体"/>
          <w:color w:val="000000"/>
          <w:szCs w:val="21"/>
        </w:rPr>
        <w:t>31</w:t>
      </w:r>
      <w:r>
        <w:rPr>
          <w:rFonts w:ascii="宋体" w:hAnsi="宋体"/>
          <w:color w:val="000000"/>
          <w:szCs w:val="21"/>
        </w:rPr>
        <w:t>日起正式实施。欲知详情请查阅本基金管理人于</w:t>
      </w:r>
      <w:r>
        <w:rPr>
          <w:rFonts w:ascii="宋体" w:hAnsi="宋体"/>
          <w:color w:val="000000"/>
          <w:szCs w:val="21"/>
        </w:rPr>
        <w:t>2018</w:t>
      </w:r>
      <w:r>
        <w:rPr>
          <w:rFonts w:ascii="宋体" w:hAnsi="宋体"/>
          <w:color w:val="000000"/>
          <w:szCs w:val="21"/>
        </w:rPr>
        <w:t>年</w:t>
      </w:r>
      <w:r>
        <w:rPr>
          <w:rFonts w:ascii="宋体" w:hAnsi="宋体"/>
          <w:color w:val="000000"/>
          <w:szCs w:val="21"/>
        </w:rPr>
        <w:t>3</w:t>
      </w:r>
      <w:r>
        <w:rPr>
          <w:rFonts w:ascii="宋体" w:hAnsi="宋体"/>
          <w:color w:val="000000"/>
          <w:szCs w:val="21"/>
        </w:rPr>
        <w:t>月</w:t>
      </w:r>
      <w:r>
        <w:rPr>
          <w:rFonts w:ascii="宋体" w:hAnsi="宋体"/>
          <w:color w:val="000000"/>
          <w:szCs w:val="21"/>
        </w:rPr>
        <w:t>22</w:t>
      </w:r>
      <w:r>
        <w:rPr>
          <w:rFonts w:ascii="宋体" w:hAnsi="宋体"/>
          <w:color w:val="000000"/>
          <w:szCs w:val="21"/>
        </w:rPr>
        <w:t>日发布的有关公告及法律文件。</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3、为更好地维护基金份额持有人的利益，提高本基金基金份额净值的精确度，本基金管理人经与基金托管人中信银行股份有限公司协商一致，并报中国证券监督管理委员会备案，自2018年7月19日起调整本基金的基金份额净值计算小数点后保留位数，由保留到小数点后3位调整为小数点后4位，小数点后第5位四舍五入，并对本基金的基金合同、托管协议作相应修改。详情请查阅本基金管理人于2018年7月17日发布的《交银施罗德基金管理有限公司关于调整交银施罗德丰润收益债券型证券投资基金的基金份额净值计算小数点后保留位数并修改基金合同、托管协议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8353F3" w:rsidP="00C03B3A">
    <w:pPr>
      <w:pStyle w:val="aa"/>
      <w:framePr w:wrap="around" w:vAnchor="text" w:hAnchor="margin" w:xAlign="right" w:y="1"/>
      <w:rPr>
        <w:rStyle w:val="ac"/>
      </w:rPr>
    </w:pPr>
    <w:r>
      <w:rPr>
        <w:rStyle w:val="ac"/>
      </w:rPr>
      <w:fldChar w:fldCharType="begin"/>
    </w:r>
    <w:r w:rsidR="00192A2D">
      <w:rPr>
        <w:rStyle w:val="ac"/>
      </w:rPr>
      <w:instrText xml:space="preserve">PAGE  </w:instrText>
    </w:r>
    <w:r>
      <w:rPr>
        <w:rStyle w:val="ac"/>
      </w:rPr>
      <w:fldChar w:fldCharType="end"/>
    </w:r>
  </w:p>
  <w:p w:rsidR="00192A2D" w:rsidRDefault="00192A2D"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Default="00192A2D" w:rsidP="00C03B3A">
    <w:pPr>
      <w:pStyle w:val="aa"/>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011DF4">
      <w:rPr>
        <w:noProof/>
        <w:kern w:val="0"/>
        <w:szCs w:val="21"/>
      </w:rPr>
      <w:t>13</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011DF4">
      <w:rPr>
        <w:noProof/>
        <w:kern w:val="0"/>
        <w:szCs w:val="21"/>
      </w:rPr>
      <w:t>34</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2A2D" w:rsidRPr="00FB2916" w:rsidRDefault="00FB2916" w:rsidP="00C2542B">
    <w:pPr>
      <w:pStyle w:val="ae"/>
      <w:pBdr>
        <w:bottom w:val="single" w:sz="6" w:space="0" w:color="auto"/>
      </w:pBdr>
      <w:jc w:val="right"/>
      <w:rPr>
        <w:sz w:val="24"/>
        <w:szCs w:val="24"/>
      </w:rPr>
    </w:pPr>
    <w:r w:rsidRPr="00FB2916">
      <w:rPr>
        <w:sz w:val="24"/>
        <w:szCs w:val="24"/>
      </w:rPr>
      <w:t>交银施罗德丰润收益债券型证券投资基金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916" w:rsidRDefault="00FB2916">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DF4"/>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57E"/>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60055A4"/>
  <w15:docId w15:val="{43A8DB88-706B-4B07-853A-6107ED4D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rsid w:val="00BE2A17"/>
    <w:pPr>
      <w:tabs>
        <w:tab w:val="right" w:leader="dot" w:pos="9072"/>
      </w:tabs>
    </w:pPr>
  </w:style>
  <w:style w:type="paragraph" w:styleId="34">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f3">
    <w:name w:val="List Paragraph"/>
    <w:basedOn w:val="a"/>
    <w:uiPriority w:val="34"/>
    <w:qFormat/>
    <w:rsid w:val="00752A63"/>
    <w:pPr>
      <w:widowControl/>
      <w:ind w:firstLine="420"/>
    </w:pPr>
    <w:rPr>
      <w:rFonts w:ascii="Calibri" w:hAnsi="Calibri" w:cs="Calibri"/>
      <w:kern w:val="0"/>
      <w:szCs w:val="21"/>
    </w:rPr>
  </w:style>
  <w:style w:type="character" w:styleId="aff4">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34</Pages>
  <Words>3807</Words>
  <Characters>21701</Characters>
  <Application>Microsoft Office Word</Application>
  <DocSecurity>0</DocSecurity>
  <Lines>180</Lines>
  <Paragraphs>50</Paragraphs>
  <ScaleCrop>false</ScaleCrop>
  <Company/>
  <LinksUpToDate>false</LinksUpToDate>
  <CharactersWithSpaces>25458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626</cp:revision>
  <cp:lastPrinted>2007-07-19T00:46:00Z</cp:lastPrinted>
  <dcterms:created xsi:type="dcterms:W3CDTF">2013-08-19T02:39:00Z</dcterms:created>
  <dcterms:modified xsi:type="dcterms:W3CDTF">2019-03-25T02:38:00Z</dcterms:modified>
</cp:coreProperties>
</file>