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交银施罗德理财</w:t>
      </w:r>
      <w:r w:rsidRPr="004D2C6A">
        <w:rPr>
          <w:rFonts w:hint="eastAsia"/>
          <w:b/>
          <w:sz w:val="36"/>
          <w:szCs w:val="36"/>
        </w:rPr>
        <w:t>60</w:t>
      </w:r>
      <w:r w:rsidRPr="004D2C6A">
        <w:rPr>
          <w:rFonts w:hint="eastAsia"/>
          <w:b/>
          <w:sz w:val="36"/>
          <w:szCs w:val="36"/>
        </w:rPr>
        <w:t>天债券型证券投资基金</w:t>
      </w:r>
    </w:p>
    <w:p w:rsidR="00223DFB" w:rsidRPr="004D2C6A" w:rsidRDefault="00223DFB" w:rsidP="004D2C6A">
      <w:pPr>
        <w:spacing w:before="29" w:line="288" w:lineRule="auto"/>
        <w:jc w:val="center"/>
        <w:rPr>
          <w:b/>
          <w:sz w:val="36"/>
          <w:szCs w:val="36"/>
        </w:rPr>
      </w:pPr>
      <w:r w:rsidRPr="004D2C6A">
        <w:rPr>
          <w:rFonts w:hint="eastAsia"/>
          <w:b/>
          <w:sz w:val="36"/>
          <w:szCs w:val="36"/>
        </w:rPr>
        <w:t>2018</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2018</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基金托管人：中国建设银行股份有限公司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二〇一九年三月二十七日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rsidSect="00713CB1">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中国建设银行股份有限公司</w:t>
      </w:r>
      <w:r w:rsidR="002813BD">
        <w:rPr>
          <w:rFonts w:hint="eastAsia"/>
          <w:color w:val="000000"/>
          <w:sz w:val="24"/>
        </w:rPr>
        <w:t>(</w:t>
      </w:r>
      <w:r w:rsidR="002813BD">
        <w:rPr>
          <w:rFonts w:hint="eastAsia"/>
          <w:color w:val="000000"/>
          <w:sz w:val="24"/>
        </w:rPr>
        <w:t>以下简称“中国建设银行”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2019</w:t>
      </w:r>
      <w:r w:rsidRPr="00F834A5">
        <w:rPr>
          <w:color w:val="000000"/>
          <w:sz w:val="24"/>
        </w:rPr>
        <w:t>年</w:t>
      </w:r>
      <w:r w:rsidRPr="00F834A5">
        <w:rPr>
          <w:color w:val="000000"/>
          <w:sz w:val="24"/>
        </w:rPr>
        <w:t>3</w:t>
      </w:r>
      <w:r w:rsidRPr="00F834A5">
        <w:rPr>
          <w:color w:val="000000"/>
          <w:sz w:val="24"/>
        </w:rPr>
        <w:t>月</w:t>
      </w:r>
      <w:r w:rsidRPr="00F834A5">
        <w:rPr>
          <w:color w:val="000000"/>
          <w:sz w:val="24"/>
        </w:rPr>
        <w:t>26</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2018</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交银理财</w:t>
            </w:r>
            <w:r w:rsidRPr="004C79A3">
              <w:rPr>
                <w:rFonts w:hint="eastAsia"/>
                <w:sz w:val="24"/>
              </w:rPr>
              <w:t>60</w:t>
            </w:r>
            <w:r w:rsidRPr="004C79A3">
              <w:rPr>
                <w:rFonts w:hint="eastAsia"/>
                <w:sz w:val="24"/>
              </w:rPr>
              <w:t>天债券</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519721</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2013</w:t>
            </w:r>
            <w:r w:rsidRPr="004C79A3">
              <w:rPr>
                <w:sz w:val="24"/>
              </w:rPr>
              <w:t>年</w:t>
            </w:r>
            <w:r w:rsidRPr="004C79A3">
              <w:rPr>
                <w:sz w:val="24"/>
              </w:rPr>
              <w:t>3</w:t>
            </w:r>
            <w:r w:rsidRPr="004C79A3">
              <w:rPr>
                <w:sz w:val="24"/>
              </w:rPr>
              <w:t>月</w:t>
            </w:r>
            <w:r w:rsidRPr="004C79A3">
              <w:rPr>
                <w:sz w:val="24"/>
              </w:rPr>
              <w:t>13</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中国建设银行股份有限公司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11,768,816,309.72</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交银理财</w:t>
            </w:r>
            <w:r w:rsidRPr="004C79A3">
              <w:rPr>
                <w:rFonts w:hint="eastAsia"/>
                <w:sz w:val="24"/>
              </w:rPr>
              <w:t>60</w:t>
            </w:r>
            <w:r w:rsidRPr="004C79A3">
              <w:rPr>
                <w:rFonts w:hint="eastAsia"/>
                <w:sz w:val="24"/>
              </w:rPr>
              <w:t>天债券</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交银理财</w:t>
            </w:r>
            <w:r>
              <w:rPr>
                <w:rFonts w:hint="eastAsia"/>
                <w:sz w:val="24"/>
              </w:rPr>
              <w:t>60</w:t>
            </w:r>
            <w:r>
              <w:rPr>
                <w:rFonts w:hint="eastAsia"/>
                <w:sz w:val="24"/>
              </w:rPr>
              <w:t>天债券</w:t>
            </w:r>
            <w:r>
              <w:rPr>
                <w:rFonts w:hint="eastAsia"/>
                <w:sz w:val="24"/>
              </w:rPr>
              <w:t>B</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519721</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519722</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8,956,638.90</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11,759,859,670.82</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本基金在追求本金安全、保持资产流动性的基础上，努力追求绝对收益，为基金份额持有人谋求资产的稳定增值。</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人民币七天通知存款税后利率</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本基金属于短期理财债券型证券投资基金，长期风险收益水平低于股票型基金、混合型基金及普通债券型基金，高于货币市场型证券投资基金。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中国建设银行股份有限公司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lastRenderedPageBreak/>
              <w:t>信息披露负责人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王晚婷</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田青</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010-67595096</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tianqing1.zh@ccb.com</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010-67595096</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010-66275853</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274"/>
        <w:gridCol w:w="1280"/>
        <w:gridCol w:w="1278"/>
        <w:gridCol w:w="1278"/>
        <w:gridCol w:w="1374"/>
      </w:tblGrid>
      <w:tr w:rsidR="002C233F" w:rsidRPr="00AC0191" w:rsidTr="00D167B3">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2018</w:t>
            </w:r>
            <w:r w:rsidRPr="00AC0191">
              <w:rPr>
                <w:b/>
                <w:szCs w:val="21"/>
              </w:rPr>
              <w:t>年</w:t>
            </w:r>
          </w:p>
        </w:tc>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2017</w:t>
            </w:r>
            <w:r w:rsidRPr="00AC0191">
              <w:rPr>
                <w:rFonts w:hint="eastAsia"/>
                <w:b/>
                <w:szCs w:val="21"/>
              </w:rPr>
              <w:t>年</w:t>
            </w:r>
          </w:p>
        </w:tc>
        <w:tc>
          <w:tcPr>
            <w:tcW w:w="1428"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2016</w:t>
            </w:r>
            <w:r w:rsidRPr="00AC0191">
              <w:rPr>
                <w:rFonts w:hint="eastAsia"/>
                <w:b/>
                <w:szCs w:val="21"/>
              </w:rPr>
              <w:t>年</w:t>
            </w:r>
          </w:p>
        </w:tc>
      </w:tr>
      <w:tr w:rsidR="00F93FCE" w:rsidRPr="00AC0191" w:rsidTr="00D167B3">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交银理财</w:t>
            </w:r>
            <w:r w:rsidRPr="00AC0191">
              <w:rPr>
                <w:rFonts w:hint="eastAsia"/>
                <w:szCs w:val="21"/>
              </w:rPr>
              <w:t>60</w:t>
            </w:r>
            <w:r w:rsidRPr="00AC0191">
              <w:rPr>
                <w:rFonts w:hint="eastAsia"/>
                <w:szCs w:val="21"/>
              </w:rPr>
              <w:t>天债券</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交银理财</w:t>
            </w:r>
            <w:r w:rsidRPr="00AC0191">
              <w:rPr>
                <w:rFonts w:hint="eastAsia"/>
                <w:szCs w:val="21"/>
              </w:rPr>
              <w:t>60</w:t>
            </w:r>
            <w:r w:rsidRPr="00AC0191">
              <w:rPr>
                <w:rFonts w:hint="eastAsia"/>
                <w:szCs w:val="21"/>
              </w:rPr>
              <w:t>天债券</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交银理财</w:t>
            </w:r>
            <w:r w:rsidRPr="00AC0191">
              <w:rPr>
                <w:rFonts w:hint="eastAsia"/>
                <w:szCs w:val="21"/>
              </w:rPr>
              <w:t>60</w:t>
            </w:r>
            <w:r w:rsidRPr="00AC0191">
              <w:rPr>
                <w:rFonts w:hint="eastAsia"/>
                <w:szCs w:val="21"/>
              </w:rPr>
              <w:t>天债券</w:t>
            </w:r>
            <w:r w:rsidRPr="00AC0191">
              <w:rPr>
                <w:rFonts w:hint="eastAsia"/>
                <w:szCs w:val="21"/>
              </w:rPr>
              <w:t>A</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392,490.36</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563,352,364.35</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329,460.77</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108,319,174.48</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162,423.86</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12,302,367.51</w:t>
            </w:r>
          </w:p>
        </w:tc>
      </w:tr>
      <w:tr w:rsidR="00F93FCE" w:rsidRPr="00AC0191" w:rsidTr="00D167B3">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392,490.36</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563,352,364.35</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329,460.77</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108,319,174.48</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162,423.86</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12,302,367.51</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4.10%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4.40%</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4.02%</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4.32%</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1.78%</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1.54%</w:t>
            </w:r>
          </w:p>
        </w:tc>
      </w:tr>
      <w:tr w:rsidR="00580C1C" w:rsidRPr="00AC0191" w:rsidTr="00D167B3">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jc w:val="center"/>
              <w:rPr>
                <w:b/>
                <w:szCs w:val="21"/>
              </w:rPr>
            </w:pPr>
            <w:r w:rsidRPr="00AC0191">
              <w:rPr>
                <w:b/>
                <w:szCs w:val="21"/>
              </w:rPr>
              <w:t>2018</w:t>
            </w:r>
            <w:r w:rsidRPr="00AC0191">
              <w:rPr>
                <w:rFonts w:hint="eastAsia"/>
                <w:b/>
                <w:szCs w:val="21"/>
              </w:rPr>
              <w:t>年末</w:t>
            </w:r>
          </w:p>
        </w:tc>
        <w:tc>
          <w:tcPr>
            <w:tcW w:w="1375"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2017</w:t>
            </w:r>
            <w:r w:rsidRPr="00AC0191">
              <w:rPr>
                <w:rFonts w:hint="eastAsia"/>
                <w:b/>
                <w:szCs w:val="21"/>
              </w:rPr>
              <w:t>年末</w:t>
            </w:r>
          </w:p>
        </w:tc>
        <w:tc>
          <w:tcPr>
            <w:tcW w:w="1430"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2016</w:t>
            </w:r>
            <w:r w:rsidRPr="00AC0191">
              <w:rPr>
                <w:rFonts w:hint="eastAsia"/>
                <w:b/>
                <w:szCs w:val="21"/>
              </w:rPr>
              <w:t>年末</w:t>
            </w:r>
          </w:p>
        </w:tc>
      </w:tr>
      <w:tr w:rsidR="00580C1C" w:rsidRPr="00AC0191" w:rsidTr="00D167B3">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542B23">
            <w:pPr>
              <w:spacing w:before="29" w:line="288" w:lineRule="auto"/>
              <w:rPr>
                <w:szCs w:val="21"/>
              </w:rPr>
            </w:pPr>
            <w:r w:rsidRPr="00AC0191">
              <w:rPr>
                <w:rFonts w:hint="eastAsia"/>
                <w:szCs w:val="21"/>
              </w:rPr>
              <w:t>交银理财</w:t>
            </w:r>
            <w:r w:rsidRPr="00AC0191">
              <w:rPr>
                <w:rFonts w:hint="eastAsia"/>
                <w:szCs w:val="21"/>
              </w:rPr>
              <w:t>60</w:t>
            </w:r>
            <w:r w:rsidRPr="00AC0191">
              <w:rPr>
                <w:rFonts w:hint="eastAsia"/>
                <w:szCs w:val="21"/>
              </w:rPr>
              <w:t>天债券</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542B23">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交银理财</w:t>
            </w:r>
            <w:r w:rsidRPr="00AC0191">
              <w:rPr>
                <w:rFonts w:hint="eastAsia"/>
                <w:szCs w:val="21"/>
              </w:rPr>
              <w:t>60</w:t>
            </w:r>
            <w:r w:rsidRPr="00AC0191">
              <w:rPr>
                <w:rFonts w:hint="eastAsia"/>
                <w:szCs w:val="21"/>
              </w:rPr>
              <w:t>天债券</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交银理财</w:t>
            </w:r>
            <w:r w:rsidRPr="00AC0191">
              <w:rPr>
                <w:rFonts w:hint="eastAsia"/>
                <w:szCs w:val="21"/>
              </w:rPr>
              <w:t>60</w:t>
            </w:r>
            <w:r w:rsidRPr="00AC0191">
              <w:rPr>
                <w:rFonts w:hint="eastAsia"/>
                <w:szCs w:val="21"/>
              </w:rPr>
              <w:t>天债券</w:t>
            </w:r>
            <w:r w:rsidRPr="00AC0191">
              <w:rPr>
                <w:rFonts w:hint="eastAsia"/>
                <w:szCs w:val="21"/>
              </w:rPr>
              <w:t>A</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8,956,638.90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11,759,859,670.82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9,650,918.64</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4,947,259,751.92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8,491,238.98</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2,000,366,524.38</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r>
    </w:tbl>
    <w:p w:rsidR="006E4BA5" w:rsidRDefault="00072BEF">
      <w:pPr>
        <w:spacing w:before="29" w:line="288" w:lineRule="auto"/>
        <w:jc w:val="left"/>
        <w:rPr>
          <w:kern w:val="0"/>
          <w:sz w:val="24"/>
        </w:rPr>
      </w:pPr>
      <w:r>
        <w:rPr>
          <w:rFonts w:hint="eastAsia"/>
          <w:kern w:val="0"/>
          <w:sz w:val="24"/>
        </w:rPr>
        <w:lastRenderedPageBreak/>
        <w:t>注：</w:t>
      </w:r>
      <w:r>
        <w:rPr>
          <w:rFonts w:hint="eastAsia"/>
          <w:kern w:val="0"/>
          <w:sz w:val="24"/>
        </w:rPr>
        <w:t>1</w:t>
      </w:r>
      <w:r>
        <w:rPr>
          <w:rFonts w:hint="eastAsia"/>
          <w:kern w:val="0"/>
          <w:sz w:val="24"/>
        </w:rPr>
        <w:t>、本基金申购赎回费为零。</w:t>
      </w:r>
    </w:p>
    <w:p w:rsidR="006E4BA5" w:rsidRDefault="00072BEF">
      <w:pPr>
        <w:spacing w:before="29" w:line="288" w:lineRule="auto"/>
        <w:jc w:val="left"/>
        <w:rPr>
          <w:kern w:val="0"/>
          <w:sz w:val="24"/>
        </w:rPr>
      </w:pPr>
      <w:r>
        <w:rPr>
          <w:rFonts w:hint="eastAsia"/>
          <w:kern w:val="0"/>
          <w:sz w:val="24"/>
        </w:rPr>
        <w:t xml:space="preserve">    2</w:t>
      </w:r>
      <w:r>
        <w:rPr>
          <w:rFonts w:hint="eastAsia"/>
          <w:kern w:val="0"/>
          <w:sz w:val="24"/>
        </w:rPr>
        <w:t>、本基金收益分配按运作期结转份额。</w:t>
      </w:r>
    </w:p>
    <w:p w:rsidR="006E4BA5" w:rsidRDefault="00072BEF">
      <w:pPr>
        <w:spacing w:before="29" w:line="288" w:lineRule="auto"/>
        <w:jc w:val="left"/>
        <w:rPr>
          <w:kern w:val="0"/>
          <w:sz w:val="24"/>
        </w:rPr>
      </w:pPr>
      <w:r>
        <w:rPr>
          <w:rFonts w:hint="eastAsia"/>
          <w:kern w:val="0"/>
          <w:sz w:val="24"/>
        </w:rPr>
        <w:t xml:space="preserve">    3</w:t>
      </w:r>
      <w:r>
        <w:rPr>
          <w:rFonts w:hint="eastAsia"/>
          <w:kern w:val="0"/>
          <w:sz w:val="24"/>
        </w:rPr>
        <w:t>、自合同生效日起，本基金实行销售服务费分类收费方式，分设两类基金份额：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B</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B</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0.30%</w:t>
      </w:r>
      <w:r>
        <w:rPr>
          <w:rFonts w:hint="eastAsia"/>
          <w:kern w:val="0"/>
          <w:sz w:val="24"/>
        </w:rPr>
        <w:t>的年费率计提销售服务费，</w:t>
      </w:r>
      <w:r>
        <w:rPr>
          <w:rFonts w:hint="eastAsia"/>
          <w:kern w:val="0"/>
          <w:sz w:val="24"/>
        </w:rPr>
        <w:t>B</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7D254C" w:rsidRDefault="00FF3081" w:rsidP="007D254C">
      <w:pPr>
        <w:spacing w:before="29" w:line="288" w:lineRule="auto"/>
        <w:jc w:val="left"/>
        <w:rPr>
          <w:kern w:val="0"/>
          <w:sz w:val="24"/>
        </w:rPr>
      </w:pPr>
      <w:r w:rsidRPr="007D254C">
        <w:rPr>
          <w:rFonts w:hint="eastAsia"/>
          <w:kern w:val="0"/>
          <w:sz w:val="24"/>
        </w:rPr>
        <w:t xml:space="preserve">    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r w:rsidRPr="007D254C">
        <w:rPr>
          <w:rFonts w:hint="eastAsia"/>
          <w:kern w:val="0"/>
          <w:sz w:val="24"/>
        </w:rPr>
        <w:t xml:space="preserve"> </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．交银理财</w:t>
      </w:r>
      <w:r w:rsidRPr="00703593">
        <w:rPr>
          <w:rFonts w:ascii="Times New Roman" w:hAnsi="Times New Roman" w:hint="eastAsia"/>
          <w:b/>
          <w:color w:val="auto"/>
        </w:rPr>
        <w:t>60</w:t>
      </w:r>
      <w:r w:rsidRPr="00703593">
        <w:rPr>
          <w:rFonts w:ascii="Times New Roman" w:hAnsi="Times New Roman" w:hint="eastAsia"/>
          <w:b/>
          <w:color w:val="auto"/>
        </w:rPr>
        <w:t>天债券</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6E4BA5">
        <w:tc>
          <w:tcPr>
            <w:tcW w:w="1286" w:type="dxa"/>
            <w:vAlign w:val="center"/>
          </w:tcPr>
          <w:p w:rsidR="006E4BA5" w:rsidRDefault="00072BEF">
            <w:pPr>
              <w:jc w:val="left"/>
            </w:pPr>
            <w:r>
              <w:rPr>
                <w:sz w:val="24"/>
              </w:rPr>
              <w:t>过去三个月</w:t>
            </w:r>
          </w:p>
        </w:tc>
        <w:tc>
          <w:tcPr>
            <w:tcW w:w="1286" w:type="dxa"/>
            <w:vAlign w:val="center"/>
          </w:tcPr>
          <w:p w:rsidR="006E4BA5" w:rsidRDefault="00072BEF">
            <w:pPr>
              <w:jc w:val="center"/>
            </w:pPr>
            <w:r>
              <w:rPr>
                <w:sz w:val="24"/>
              </w:rPr>
              <w:t>0.8680%</w:t>
            </w:r>
          </w:p>
        </w:tc>
        <w:tc>
          <w:tcPr>
            <w:tcW w:w="1286" w:type="dxa"/>
            <w:vAlign w:val="center"/>
          </w:tcPr>
          <w:p w:rsidR="006E4BA5" w:rsidRDefault="00072BEF">
            <w:pPr>
              <w:jc w:val="center"/>
            </w:pPr>
            <w:r>
              <w:rPr>
                <w:sz w:val="24"/>
              </w:rPr>
              <w:t>0.0012%</w:t>
            </w:r>
          </w:p>
        </w:tc>
        <w:tc>
          <w:tcPr>
            <w:tcW w:w="1285" w:type="dxa"/>
            <w:vAlign w:val="center"/>
          </w:tcPr>
          <w:p w:rsidR="006E4BA5" w:rsidRDefault="00072BEF">
            <w:pPr>
              <w:jc w:val="center"/>
            </w:pPr>
            <w:r>
              <w:rPr>
                <w:sz w:val="24"/>
              </w:rPr>
              <w:t>0.3403%</w:t>
            </w:r>
          </w:p>
        </w:tc>
        <w:tc>
          <w:tcPr>
            <w:tcW w:w="1285" w:type="dxa"/>
            <w:vAlign w:val="center"/>
          </w:tcPr>
          <w:p w:rsidR="006E4BA5" w:rsidRDefault="00072BEF">
            <w:pPr>
              <w:jc w:val="center"/>
            </w:pPr>
            <w:r>
              <w:rPr>
                <w:sz w:val="24"/>
              </w:rPr>
              <w:t>0.0000%</w:t>
            </w:r>
          </w:p>
        </w:tc>
        <w:tc>
          <w:tcPr>
            <w:tcW w:w="1285" w:type="dxa"/>
            <w:vAlign w:val="center"/>
          </w:tcPr>
          <w:p w:rsidR="006E4BA5" w:rsidRDefault="00072BEF">
            <w:pPr>
              <w:jc w:val="center"/>
            </w:pPr>
            <w:r>
              <w:rPr>
                <w:sz w:val="24"/>
              </w:rPr>
              <w:t>0.5277%</w:t>
            </w:r>
          </w:p>
        </w:tc>
        <w:tc>
          <w:tcPr>
            <w:tcW w:w="1285" w:type="dxa"/>
            <w:vAlign w:val="center"/>
          </w:tcPr>
          <w:p w:rsidR="006E4BA5" w:rsidRDefault="00072BEF">
            <w:pPr>
              <w:jc w:val="center"/>
            </w:pPr>
            <w:r>
              <w:rPr>
                <w:sz w:val="24"/>
              </w:rPr>
              <w:t>0.0012%</w:t>
            </w:r>
          </w:p>
        </w:tc>
      </w:tr>
      <w:tr w:rsidR="006E4BA5">
        <w:tc>
          <w:tcPr>
            <w:tcW w:w="1286" w:type="dxa"/>
            <w:vAlign w:val="center"/>
          </w:tcPr>
          <w:p w:rsidR="006E4BA5" w:rsidRDefault="00072BEF">
            <w:pPr>
              <w:jc w:val="left"/>
            </w:pPr>
            <w:r>
              <w:rPr>
                <w:sz w:val="24"/>
              </w:rPr>
              <w:t>过去六个月</w:t>
            </w:r>
          </w:p>
        </w:tc>
        <w:tc>
          <w:tcPr>
            <w:tcW w:w="1286" w:type="dxa"/>
            <w:vAlign w:val="center"/>
          </w:tcPr>
          <w:p w:rsidR="006E4BA5" w:rsidRDefault="00072BEF">
            <w:pPr>
              <w:jc w:val="center"/>
            </w:pPr>
            <w:r>
              <w:rPr>
                <w:sz w:val="24"/>
              </w:rPr>
              <w:t>1.8712%</w:t>
            </w:r>
          </w:p>
        </w:tc>
        <w:tc>
          <w:tcPr>
            <w:tcW w:w="1286" w:type="dxa"/>
            <w:vAlign w:val="center"/>
          </w:tcPr>
          <w:p w:rsidR="006E4BA5" w:rsidRDefault="00072BEF">
            <w:pPr>
              <w:jc w:val="center"/>
            </w:pPr>
            <w:r>
              <w:rPr>
                <w:sz w:val="24"/>
              </w:rPr>
              <w:t>0.0019%</w:t>
            </w:r>
          </w:p>
        </w:tc>
        <w:tc>
          <w:tcPr>
            <w:tcW w:w="1285" w:type="dxa"/>
            <w:vAlign w:val="center"/>
          </w:tcPr>
          <w:p w:rsidR="006E4BA5" w:rsidRDefault="00072BEF">
            <w:pPr>
              <w:jc w:val="center"/>
            </w:pPr>
            <w:r>
              <w:rPr>
                <w:sz w:val="24"/>
              </w:rPr>
              <w:t>0.6805%</w:t>
            </w:r>
          </w:p>
        </w:tc>
        <w:tc>
          <w:tcPr>
            <w:tcW w:w="1285" w:type="dxa"/>
            <w:vAlign w:val="center"/>
          </w:tcPr>
          <w:p w:rsidR="006E4BA5" w:rsidRDefault="00072BEF">
            <w:pPr>
              <w:jc w:val="center"/>
            </w:pPr>
            <w:r>
              <w:rPr>
                <w:sz w:val="24"/>
              </w:rPr>
              <w:t>0.0000%</w:t>
            </w:r>
          </w:p>
        </w:tc>
        <w:tc>
          <w:tcPr>
            <w:tcW w:w="1285" w:type="dxa"/>
            <w:vAlign w:val="center"/>
          </w:tcPr>
          <w:p w:rsidR="006E4BA5" w:rsidRDefault="00072BEF">
            <w:pPr>
              <w:jc w:val="center"/>
            </w:pPr>
            <w:r>
              <w:rPr>
                <w:sz w:val="24"/>
              </w:rPr>
              <w:t>1.1907%</w:t>
            </w:r>
          </w:p>
        </w:tc>
        <w:tc>
          <w:tcPr>
            <w:tcW w:w="1285" w:type="dxa"/>
            <w:vAlign w:val="center"/>
          </w:tcPr>
          <w:p w:rsidR="006E4BA5" w:rsidRDefault="00072BEF">
            <w:pPr>
              <w:jc w:val="center"/>
            </w:pPr>
            <w:r>
              <w:rPr>
                <w:sz w:val="24"/>
              </w:rPr>
              <w:t>0.0019%</w:t>
            </w:r>
          </w:p>
        </w:tc>
      </w:tr>
      <w:tr w:rsidR="006E4BA5">
        <w:tc>
          <w:tcPr>
            <w:tcW w:w="1286" w:type="dxa"/>
            <w:vAlign w:val="center"/>
          </w:tcPr>
          <w:p w:rsidR="006E4BA5" w:rsidRDefault="00072BEF">
            <w:pPr>
              <w:jc w:val="left"/>
            </w:pPr>
            <w:r>
              <w:rPr>
                <w:sz w:val="24"/>
              </w:rPr>
              <w:t>过去一年</w:t>
            </w:r>
          </w:p>
        </w:tc>
        <w:tc>
          <w:tcPr>
            <w:tcW w:w="1286" w:type="dxa"/>
            <w:vAlign w:val="center"/>
          </w:tcPr>
          <w:p w:rsidR="006E4BA5" w:rsidRDefault="00072BEF">
            <w:pPr>
              <w:jc w:val="center"/>
            </w:pPr>
            <w:r>
              <w:rPr>
                <w:sz w:val="24"/>
              </w:rPr>
              <w:t>4.0988%</w:t>
            </w:r>
          </w:p>
        </w:tc>
        <w:tc>
          <w:tcPr>
            <w:tcW w:w="1286" w:type="dxa"/>
            <w:vAlign w:val="center"/>
          </w:tcPr>
          <w:p w:rsidR="006E4BA5" w:rsidRDefault="00072BEF">
            <w:pPr>
              <w:jc w:val="center"/>
            </w:pPr>
            <w:r>
              <w:rPr>
                <w:sz w:val="24"/>
              </w:rPr>
              <w:t>0.0017%</w:t>
            </w:r>
          </w:p>
        </w:tc>
        <w:tc>
          <w:tcPr>
            <w:tcW w:w="1285" w:type="dxa"/>
            <w:vAlign w:val="center"/>
          </w:tcPr>
          <w:p w:rsidR="006E4BA5" w:rsidRDefault="00072BEF">
            <w:pPr>
              <w:jc w:val="center"/>
            </w:pPr>
            <w:r>
              <w:rPr>
                <w:sz w:val="24"/>
              </w:rPr>
              <w:t>1.3500%</w:t>
            </w:r>
          </w:p>
        </w:tc>
        <w:tc>
          <w:tcPr>
            <w:tcW w:w="1285" w:type="dxa"/>
            <w:vAlign w:val="center"/>
          </w:tcPr>
          <w:p w:rsidR="006E4BA5" w:rsidRDefault="00072BEF">
            <w:pPr>
              <w:jc w:val="center"/>
            </w:pPr>
            <w:r>
              <w:rPr>
                <w:sz w:val="24"/>
              </w:rPr>
              <w:t>0.0000%</w:t>
            </w:r>
          </w:p>
        </w:tc>
        <w:tc>
          <w:tcPr>
            <w:tcW w:w="1285" w:type="dxa"/>
            <w:vAlign w:val="center"/>
          </w:tcPr>
          <w:p w:rsidR="006E4BA5" w:rsidRDefault="00072BEF">
            <w:pPr>
              <w:jc w:val="center"/>
            </w:pPr>
            <w:r>
              <w:rPr>
                <w:sz w:val="24"/>
              </w:rPr>
              <w:t>2.7488%</w:t>
            </w:r>
          </w:p>
        </w:tc>
        <w:tc>
          <w:tcPr>
            <w:tcW w:w="1285" w:type="dxa"/>
            <w:vAlign w:val="center"/>
          </w:tcPr>
          <w:p w:rsidR="006E4BA5" w:rsidRDefault="00072BEF">
            <w:pPr>
              <w:jc w:val="center"/>
            </w:pPr>
            <w:r>
              <w:rPr>
                <w:sz w:val="24"/>
              </w:rPr>
              <w:t>0.0017%</w:t>
            </w:r>
          </w:p>
        </w:tc>
      </w:tr>
      <w:tr w:rsidR="006E4BA5">
        <w:tc>
          <w:tcPr>
            <w:tcW w:w="1286" w:type="dxa"/>
            <w:vAlign w:val="center"/>
          </w:tcPr>
          <w:p w:rsidR="006E4BA5" w:rsidRDefault="00072BEF">
            <w:pPr>
              <w:jc w:val="left"/>
            </w:pPr>
            <w:r>
              <w:rPr>
                <w:sz w:val="24"/>
              </w:rPr>
              <w:t>过去三年</w:t>
            </w:r>
          </w:p>
        </w:tc>
        <w:tc>
          <w:tcPr>
            <w:tcW w:w="1286" w:type="dxa"/>
            <w:vAlign w:val="center"/>
          </w:tcPr>
          <w:p w:rsidR="006E4BA5" w:rsidRDefault="00072BEF">
            <w:pPr>
              <w:jc w:val="center"/>
            </w:pPr>
            <w:r>
              <w:rPr>
                <w:sz w:val="24"/>
              </w:rPr>
              <w:t>10.2126%</w:t>
            </w:r>
          </w:p>
        </w:tc>
        <w:tc>
          <w:tcPr>
            <w:tcW w:w="1286" w:type="dxa"/>
            <w:vAlign w:val="center"/>
          </w:tcPr>
          <w:p w:rsidR="006E4BA5" w:rsidRDefault="00072BEF">
            <w:pPr>
              <w:jc w:val="center"/>
            </w:pPr>
            <w:r>
              <w:rPr>
                <w:sz w:val="24"/>
              </w:rPr>
              <w:t>0.0033%</w:t>
            </w:r>
          </w:p>
        </w:tc>
        <w:tc>
          <w:tcPr>
            <w:tcW w:w="1285" w:type="dxa"/>
            <w:vAlign w:val="center"/>
          </w:tcPr>
          <w:p w:rsidR="006E4BA5" w:rsidRDefault="00072BEF">
            <w:pPr>
              <w:jc w:val="center"/>
            </w:pPr>
            <w:r>
              <w:rPr>
                <w:sz w:val="24"/>
              </w:rPr>
              <w:t>4.0537%</w:t>
            </w:r>
          </w:p>
        </w:tc>
        <w:tc>
          <w:tcPr>
            <w:tcW w:w="1285" w:type="dxa"/>
            <w:vAlign w:val="center"/>
          </w:tcPr>
          <w:p w:rsidR="006E4BA5" w:rsidRDefault="00072BEF">
            <w:pPr>
              <w:jc w:val="center"/>
            </w:pPr>
            <w:r>
              <w:rPr>
                <w:sz w:val="24"/>
              </w:rPr>
              <w:t>0.0000%</w:t>
            </w:r>
          </w:p>
        </w:tc>
        <w:tc>
          <w:tcPr>
            <w:tcW w:w="1285" w:type="dxa"/>
            <w:vAlign w:val="center"/>
          </w:tcPr>
          <w:p w:rsidR="006E4BA5" w:rsidRDefault="00072BEF">
            <w:pPr>
              <w:jc w:val="center"/>
            </w:pPr>
            <w:r>
              <w:rPr>
                <w:sz w:val="24"/>
              </w:rPr>
              <w:t>6.1589%</w:t>
            </w:r>
          </w:p>
        </w:tc>
        <w:tc>
          <w:tcPr>
            <w:tcW w:w="1285" w:type="dxa"/>
            <w:vAlign w:val="center"/>
          </w:tcPr>
          <w:p w:rsidR="006E4BA5" w:rsidRDefault="00072BEF">
            <w:pPr>
              <w:jc w:val="center"/>
            </w:pPr>
            <w:r>
              <w:rPr>
                <w:sz w:val="24"/>
              </w:rPr>
              <w:t>0.0033%</w:t>
            </w:r>
          </w:p>
        </w:tc>
      </w:tr>
      <w:tr w:rsidR="006E4BA5">
        <w:tc>
          <w:tcPr>
            <w:tcW w:w="1286" w:type="dxa"/>
            <w:vAlign w:val="center"/>
          </w:tcPr>
          <w:p w:rsidR="006E4BA5" w:rsidRDefault="00072BEF">
            <w:pPr>
              <w:jc w:val="left"/>
            </w:pPr>
            <w:r>
              <w:rPr>
                <w:sz w:val="24"/>
              </w:rPr>
              <w:t>过去五年</w:t>
            </w:r>
          </w:p>
        </w:tc>
        <w:tc>
          <w:tcPr>
            <w:tcW w:w="1286" w:type="dxa"/>
            <w:vAlign w:val="center"/>
          </w:tcPr>
          <w:p w:rsidR="006E4BA5" w:rsidRDefault="00072BEF">
            <w:pPr>
              <w:jc w:val="center"/>
            </w:pPr>
            <w:r>
              <w:rPr>
                <w:sz w:val="24"/>
              </w:rPr>
              <w:t>18.4296%</w:t>
            </w:r>
          </w:p>
        </w:tc>
        <w:tc>
          <w:tcPr>
            <w:tcW w:w="1286" w:type="dxa"/>
            <w:vAlign w:val="center"/>
          </w:tcPr>
          <w:p w:rsidR="006E4BA5" w:rsidRDefault="00072BEF">
            <w:pPr>
              <w:jc w:val="center"/>
            </w:pPr>
            <w:r>
              <w:rPr>
                <w:sz w:val="24"/>
              </w:rPr>
              <w:t>0.0076%</w:t>
            </w:r>
          </w:p>
        </w:tc>
        <w:tc>
          <w:tcPr>
            <w:tcW w:w="1285" w:type="dxa"/>
            <w:vAlign w:val="center"/>
          </w:tcPr>
          <w:p w:rsidR="006E4BA5" w:rsidRDefault="00072BEF">
            <w:pPr>
              <w:jc w:val="center"/>
            </w:pPr>
            <w:r>
              <w:rPr>
                <w:sz w:val="24"/>
              </w:rPr>
              <w:t>6.7537%</w:t>
            </w:r>
          </w:p>
        </w:tc>
        <w:tc>
          <w:tcPr>
            <w:tcW w:w="1285" w:type="dxa"/>
            <w:vAlign w:val="center"/>
          </w:tcPr>
          <w:p w:rsidR="006E4BA5" w:rsidRDefault="00072BEF">
            <w:pPr>
              <w:jc w:val="center"/>
            </w:pPr>
            <w:r>
              <w:rPr>
                <w:sz w:val="24"/>
              </w:rPr>
              <w:t>0.0000%</w:t>
            </w:r>
          </w:p>
        </w:tc>
        <w:tc>
          <w:tcPr>
            <w:tcW w:w="1285" w:type="dxa"/>
            <w:vAlign w:val="center"/>
          </w:tcPr>
          <w:p w:rsidR="006E4BA5" w:rsidRDefault="00072BEF">
            <w:pPr>
              <w:jc w:val="center"/>
            </w:pPr>
            <w:r>
              <w:rPr>
                <w:sz w:val="24"/>
              </w:rPr>
              <w:t>11.6759%</w:t>
            </w:r>
          </w:p>
        </w:tc>
        <w:tc>
          <w:tcPr>
            <w:tcW w:w="1285" w:type="dxa"/>
            <w:vAlign w:val="center"/>
          </w:tcPr>
          <w:p w:rsidR="006E4BA5" w:rsidRDefault="00072BEF">
            <w:pPr>
              <w:jc w:val="center"/>
            </w:pPr>
            <w:r>
              <w:rPr>
                <w:sz w:val="24"/>
              </w:rPr>
              <w:t>0.0076%</w:t>
            </w:r>
          </w:p>
        </w:tc>
      </w:tr>
      <w:tr w:rsidR="006E4BA5">
        <w:tc>
          <w:tcPr>
            <w:tcW w:w="1286" w:type="dxa"/>
            <w:vAlign w:val="center"/>
          </w:tcPr>
          <w:p w:rsidR="006E4BA5" w:rsidRDefault="00072BEF">
            <w:pPr>
              <w:jc w:val="left"/>
            </w:pPr>
            <w:r>
              <w:rPr>
                <w:sz w:val="24"/>
              </w:rPr>
              <w:t>自基金合同生效起至今</w:t>
            </w:r>
          </w:p>
        </w:tc>
        <w:tc>
          <w:tcPr>
            <w:tcW w:w="1286" w:type="dxa"/>
            <w:vAlign w:val="center"/>
          </w:tcPr>
          <w:p w:rsidR="006E4BA5" w:rsidRDefault="00072BEF">
            <w:pPr>
              <w:jc w:val="center"/>
            </w:pPr>
            <w:r>
              <w:rPr>
                <w:sz w:val="24"/>
              </w:rPr>
              <w:t>21.9045%</w:t>
            </w:r>
          </w:p>
        </w:tc>
        <w:tc>
          <w:tcPr>
            <w:tcW w:w="1286" w:type="dxa"/>
            <w:vAlign w:val="center"/>
          </w:tcPr>
          <w:p w:rsidR="006E4BA5" w:rsidRDefault="00072BEF">
            <w:pPr>
              <w:jc w:val="center"/>
            </w:pPr>
            <w:r>
              <w:rPr>
                <w:sz w:val="24"/>
              </w:rPr>
              <w:t>0.0075%</w:t>
            </w:r>
          </w:p>
        </w:tc>
        <w:tc>
          <w:tcPr>
            <w:tcW w:w="1285" w:type="dxa"/>
            <w:vAlign w:val="center"/>
          </w:tcPr>
          <w:p w:rsidR="006E4BA5" w:rsidRDefault="00072BEF">
            <w:pPr>
              <w:jc w:val="center"/>
            </w:pPr>
            <w:r>
              <w:rPr>
                <w:sz w:val="24"/>
              </w:rPr>
              <w:t>7.8411%</w:t>
            </w:r>
          </w:p>
        </w:tc>
        <w:tc>
          <w:tcPr>
            <w:tcW w:w="1285" w:type="dxa"/>
            <w:vAlign w:val="center"/>
          </w:tcPr>
          <w:p w:rsidR="006E4BA5" w:rsidRDefault="00072BEF">
            <w:pPr>
              <w:jc w:val="center"/>
            </w:pPr>
            <w:r>
              <w:rPr>
                <w:sz w:val="24"/>
              </w:rPr>
              <w:t>0.0000%</w:t>
            </w:r>
          </w:p>
        </w:tc>
        <w:tc>
          <w:tcPr>
            <w:tcW w:w="1285" w:type="dxa"/>
            <w:vAlign w:val="center"/>
          </w:tcPr>
          <w:p w:rsidR="006E4BA5" w:rsidRDefault="00072BEF">
            <w:pPr>
              <w:jc w:val="center"/>
            </w:pPr>
            <w:r>
              <w:rPr>
                <w:sz w:val="24"/>
              </w:rPr>
              <w:t>14.0634%</w:t>
            </w:r>
          </w:p>
        </w:tc>
        <w:tc>
          <w:tcPr>
            <w:tcW w:w="1285" w:type="dxa"/>
            <w:vAlign w:val="center"/>
          </w:tcPr>
          <w:p w:rsidR="006E4BA5" w:rsidRDefault="00072BEF">
            <w:pPr>
              <w:jc w:val="center"/>
            </w:pPr>
            <w:r>
              <w:rPr>
                <w:sz w:val="24"/>
              </w:rPr>
              <w:t>0.0075%</w:t>
            </w:r>
          </w:p>
        </w:tc>
      </w:tr>
    </w:tbl>
    <w:p w:rsidR="006E4BA5" w:rsidRDefault="00072BEF">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6E4BA5" w:rsidRDefault="00072BEF">
      <w:pPr>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Default="00063497" w:rsidP="007D254C">
      <w:pPr>
        <w:spacing w:before="29" w:line="288" w:lineRule="auto"/>
        <w:jc w:val="left"/>
        <w:rPr>
          <w:kern w:val="0"/>
          <w:sz w:val="24"/>
        </w:rPr>
      </w:pPr>
      <w:r w:rsidRPr="007D254C">
        <w:rPr>
          <w:rFonts w:hint="eastAsia"/>
          <w:kern w:val="0"/>
          <w:sz w:val="24"/>
        </w:rPr>
        <w:t xml:space="preserve">    3</w:t>
      </w:r>
      <w:r w:rsidRPr="007D254C">
        <w:rPr>
          <w:rFonts w:hint="eastAsia"/>
          <w:kern w:val="0"/>
          <w:sz w:val="24"/>
        </w:rPr>
        <w:t>、本基金的业绩比较基准为人民币七天通知存款税后利率。</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交银理财</w:t>
      </w:r>
      <w:r w:rsidR="004E65B4">
        <w:rPr>
          <w:rFonts w:ascii="Times New Roman" w:hAnsi="Times New Roman" w:hint="eastAsia"/>
          <w:b/>
          <w:color w:val="auto"/>
        </w:rPr>
        <w:t>60</w:t>
      </w:r>
      <w:r w:rsidR="004E65B4">
        <w:rPr>
          <w:rFonts w:ascii="Times New Roman" w:hAnsi="Times New Roman" w:hint="eastAsia"/>
          <w:b/>
          <w:color w:val="auto"/>
        </w:rPr>
        <w:t>天债券</w:t>
      </w:r>
      <w:r w:rsidR="004E65B4">
        <w:rPr>
          <w:rFonts w:ascii="Times New Roman" w:hAnsi="Times New Roman" w:hint="eastAsia"/>
          <w:b/>
          <w:color w:val="auto"/>
        </w:rPr>
        <w:t>B</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6E4BA5">
        <w:tc>
          <w:tcPr>
            <w:tcW w:w="1286" w:type="dxa"/>
            <w:vAlign w:val="center"/>
          </w:tcPr>
          <w:p w:rsidR="006E4BA5" w:rsidRDefault="00072BEF">
            <w:pPr>
              <w:jc w:val="left"/>
            </w:pPr>
            <w:r>
              <w:rPr>
                <w:sz w:val="24"/>
              </w:rPr>
              <w:t>过去三个月</w:t>
            </w:r>
          </w:p>
        </w:tc>
        <w:tc>
          <w:tcPr>
            <w:tcW w:w="1286" w:type="dxa"/>
            <w:vAlign w:val="center"/>
          </w:tcPr>
          <w:p w:rsidR="006E4BA5" w:rsidRDefault="00072BEF">
            <w:pPr>
              <w:jc w:val="center"/>
            </w:pPr>
            <w:r>
              <w:rPr>
                <w:sz w:val="24"/>
              </w:rPr>
              <w:t>0.9415%</w:t>
            </w:r>
          </w:p>
        </w:tc>
        <w:tc>
          <w:tcPr>
            <w:tcW w:w="1286" w:type="dxa"/>
            <w:vAlign w:val="center"/>
          </w:tcPr>
          <w:p w:rsidR="006E4BA5" w:rsidRDefault="00072BEF">
            <w:pPr>
              <w:jc w:val="center"/>
            </w:pPr>
            <w:r>
              <w:rPr>
                <w:sz w:val="24"/>
              </w:rPr>
              <w:t>0.0012%</w:t>
            </w:r>
          </w:p>
        </w:tc>
        <w:tc>
          <w:tcPr>
            <w:tcW w:w="1285" w:type="dxa"/>
            <w:vAlign w:val="center"/>
          </w:tcPr>
          <w:p w:rsidR="006E4BA5" w:rsidRDefault="00072BEF">
            <w:pPr>
              <w:jc w:val="center"/>
            </w:pPr>
            <w:r>
              <w:rPr>
                <w:sz w:val="24"/>
              </w:rPr>
              <w:t>0.3403%</w:t>
            </w:r>
          </w:p>
        </w:tc>
        <w:tc>
          <w:tcPr>
            <w:tcW w:w="1285" w:type="dxa"/>
            <w:vAlign w:val="center"/>
          </w:tcPr>
          <w:p w:rsidR="006E4BA5" w:rsidRDefault="00072BEF">
            <w:pPr>
              <w:jc w:val="center"/>
            </w:pPr>
            <w:r>
              <w:rPr>
                <w:sz w:val="24"/>
              </w:rPr>
              <w:t>0.0000%</w:t>
            </w:r>
          </w:p>
        </w:tc>
        <w:tc>
          <w:tcPr>
            <w:tcW w:w="1285" w:type="dxa"/>
            <w:vAlign w:val="center"/>
          </w:tcPr>
          <w:p w:rsidR="006E4BA5" w:rsidRDefault="00072BEF">
            <w:pPr>
              <w:jc w:val="center"/>
            </w:pPr>
            <w:r>
              <w:rPr>
                <w:sz w:val="24"/>
              </w:rPr>
              <w:t>0.6012%</w:t>
            </w:r>
          </w:p>
        </w:tc>
        <w:tc>
          <w:tcPr>
            <w:tcW w:w="1285" w:type="dxa"/>
            <w:vAlign w:val="center"/>
          </w:tcPr>
          <w:p w:rsidR="006E4BA5" w:rsidRDefault="00072BEF">
            <w:pPr>
              <w:jc w:val="center"/>
            </w:pPr>
            <w:r>
              <w:rPr>
                <w:sz w:val="24"/>
              </w:rPr>
              <w:t>0.0012%</w:t>
            </w:r>
          </w:p>
        </w:tc>
      </w:tr>
      <w:tr w:rsidR="006E4BA5">
        <w:tc>
          <w:tcPr>
            <w:tcW w:w="1286" w:type="dxa"/>
            <w:vAlign w:val="center"/>
          </w:tcPr>
          <w:p w:rsidR="006E4BA5" w:rsidRDefault="00072BEF">
            <w:pPr>
              <w:jc w:val="left"/>
            </w:pPr>
            <w:r>
              <w:rPr>
                <w:sz w:val="24"/>
              </w:rPr>
              <w:t>过去六个月</w:t>
            </w:r>
          </w:p>
        </w:tc>
        <w:tc>
          <w:tcPr>
            <w:tcW w:w="1286" w:type="dxa"/>
            <w:vAlign w:val="center"/>
          </w:tcPr>
          <w:p w:rsidR="006E4BA5" w:rsidRDefault="00072BEF">
            <w:pPr>
              <w:jc w:val="center"/>
            </w:pPr>
            <w:r>
              <w:rPr>
                <w:sz w:val="24"/>
              </w:rPr>
              <w:t>2.0196%</w:t>
            </w:r>
          </w:p>
        </w:tc>
        <w:tc>
          <w:tcPr>
            <w:tcW w:w="1286" w:type="dxa"/>
            <w:vAlign w:val="center"/>
          </w:tcPr>
          <w:p w:rsidR="006E4BA5" w:rsidRDefault="00072BEF">
            <w:pPr>
              <w:jc w:val="center"/>
            </w:pPr>
            <w:r>
              <w:rPr>
                <w:sz w:val="24"/>
              </w:rPr>
              <w:t>0.0019%</w:t>
            </w:r>
          </w:p>
        </w:tc>
        <w:tc>
          <w:tcPr>
            <w:tcW w:w="1285" w:type="dxa"/>
            <w:vAlign w:val="center"/>
          </w:tcPr>
          <w:p w:rsidR="006E4BA5" w:rsidRDefault="00072BEF">
            <w:pPr>
              <w:jc w:val="center"/>
            </w:pPr>
            <w:r>
              <w:rPr>
                <w:sz w:val="24"/>
              </w:rPr>
              <w:t>0.6805%</w:t>
            </w:r>
          </w:p>
        </w:tc>
        <w:tc>
          <w:tcPr>
            <w:tcW w:w="1285" w:type="dxa"/>
            <w:vAlign w:val="center"/>
          </w:tcPr>
          <w:p w:rsidR="006E4BA5" w:rsidRDefault="00072BEF">
            <w:pPr>
              <w:jc w:val="center"/>
            </w:pPr>
            <w:r>
              <w:rPr>
                <w:sz w:val="24"/>
              </w:rPr>
              <w:t>0.0000%</w:t>
            </w:r>
          </w:p>
        </w:tc>
        <w:tc>
          <w:tcPr>
            <w:tcW w:w="1285" w:type="dxa"/>
            <w:vAlign w:val="center"/>
          </w:tcPr>
          <w:p w:rsidR="006E4BA5" w:rsidRDefault="00072BEF">
            <w:pPr>
              <w:jc w:val="center"/>
            </w:pPr>
            <w:r>
              <w:rPr>
                <w:sz w:val="24"/>
              </w:rPr>
              <w:t>1.3391%</w:t>
            </w:r>
          </w:p>
        </w:tc>
        <w:tc>
          <w:tcPr>
            <w:tcW w:w="1285" w:type="dxa"/>
            <w:vAlign w:val="center"/>
          </w:tcPr>
          <w:p w:rsidR="006E4BA5" w:rsidRDefault="00072BEF">
            <w:pPr>
              <w:jc w:val="center"/>
            </w:pPr>
            <w:r>
              <w:rPr>
                <w:sz w:val="24"/>
              </w:rPr>
              <w:t>0.0019%</w:t>
            </w:r>
          </w:p>
        </w:tc>
      </w:tr>
      <w:tr w:rsidR="006E4BA5">
        <w:tc>
          <w:tcPr>
            <w:tcW w:w="1286" w:type="dxa"/>
            <w:vAlign w:val="center"/>
          </w:tcPr>
          <w:p w:rsidR="006E4BA5" w:rsidRDefault="00072BEF">
            <w:pPr>
              <w:jc w:val="left"/>
            </w:pPr>
            <w:r>
              <w:rPr>
                <w:sz w:val="24"/>
              </w:rPr>
              <w:t>过去一年</w:t>
            </w:r>
          </w:p>
        </w:tc>
        <w:tc>
          <w:tcPr>
            <w:tcW w:w="1286" w:type="dxa"/>
            <w:vAlign w:val="center"/>
          </w:tcPr>
          <w:p w:rsidR="006E4BA5" w:rsidRDefault="00072BEF">
            <w:pPr>
              <w:jc w:val="center"/>
            </w:pPr>
            <w:r>
              <w:rPr>
                <w:sz w:val="24"/>
              </w:rPr>
              <w:t>4.3994%</w:t>
            </w:r>
          </w:p>
        </w:tc>
        <w:tc>
          <w:tcPr>
            <w:tcW w:w="1286" w:type="dxa"/>
            <w:vAlign w:val="center"/>
          </w:tcPr>
          <w:p w:rsidR="006E4BA5" w:rsidRDefault="00072BEF">
            <w:pPr>
              <w:jc w:val="center"/>
            </w:pPr>
            <w:r>
              <w:rPr>
                <w:sz w:val="24"/>
              </w:rPr>
              <w:t>0.0017%</w:t>
            </w:r>
          </w:p>
        </w:tc>
        <w:tc>
          <w:tcPr>
            <w:tcW w:w="1285" w:type="dxa"/>
            <w:vAlign w:val="center"/>
          </w:tcPr>
          <w:p w:rsidR="006E4BA5" w:rsidRDefault="00072BEF">
            <w:pPr>
              <w:jc w:val="center"/>
            </w:pPr>
            <w:r>
              <w:rPr>
                <w:sz w:val="24"/>
              </w:rPr>
              <w:t>1.3500%</w:t>
            </w:r>
          </w:p>
        </w:tc>
        <w:tc>
          <w:tcPr>
            <w:tcW w:w="1285" w:type="dxa"/>
            <w:vAlign w:val="center"/>
          </w:tcPr>
          <w:p w:rsidR="006E4BA5" w:rsidRDefault="00072BEF">
            <w:pPr>
              <w:jc w:val="center"/>
            </w:pPr>
            <w:r>
              <w:rPr>
                <w:sz w:val="24"/>
              </w:rPr>
              <w:t>0.0000%</w:t>
            </w:r>
          </w:p>
        </w:tc>
        <w:tc>
          <w:tcPr>
            <w:tcW w:w="1285" w:type="dxa"/>
            <w:vAlign w:val="center"/>
          </w:tcPr>
          <w:p w:rsidR="006E4BA5" w:rsidRDefault="00072BEF">
            <w:pPr>
              <w:jc w:val="center"/>
            </w:pPr>
            <w:r>
              <w:rPr>
                <w:sz w:val="24"/>
              </w:rPr>
              <w:t>3.0494%</w:t>
            </w:r>
          </w:p>
        </w:tc>
        <w:tc>
          <w:tcPr>
            <w:tcW w:w="1285" w:type="dxa"/>
            <w:vAlign w:val="center"/>
          </w:tcPr>
          <w:p w:rsidR="006E4BA5" w:rsidRDefault="00072BEF">
            <w:pPr>
              <w:jc w:val="center"/>
            </w:pPr>
            <w:r>
              <w:rPr>
                <w:sz w:val="24"/>
              </w:rPr>
              <w:t>0.0017%</w:t>
            </w:r>
          </w:p>
        </w:tc>
      </w:tr>
      <w:tr w:rsidR="006E4BA5">
        <w:tc>
          <w:tcPr>
            <w:tcW w:w="1286" w:type="dxa"/>
            <w:vAlign w:val="center"/>
          </w:tcPr>
          <w:p w:rsidR="006E4BA5" w:rsidRDefault="00072BEF">
            <w:pPr>
              <w:jc w:val="left"/>
            </w:pPr>
            <w:r>
              <w:rPr>
                <w:sz w:val="24"/>
              </w:rPr>
              <w:t>过去三年</w:t>
            </w:r>
          </w:p>
        </w:tc>
        <w:tc>
          <w:tcPr>
            <w:tcW w:w="1286" w:type="dxa"/>
            <w:vAlign w:val="center"/>
          </w:tcPr>
          <w:p w:rsidR="006E4BA5" w:rsidRDefault="00072BEF">
            <w:pPr>
              <w:jc w:val="center"/>
            </w:pPr>
            <w:r>
              <w:rPr>
                <w:sz w:val="24"/>
              </w:rPr>
              <w:t>10.5873%</w:t>
            </w:r>
          </w:p>
        </w:tc>
        <w:tc>
          <w:tcPr>
            <w:tcW w:w="1286" w:type="dxa"/>
            <w:vAlign w:val="center"/>
          </w:tcPr>
          <w:p w:rsidR="006E4BA5" w:rsidRDefault="00072BEF">
            <w:pPr>
              <w:jc w:val="center"/>
            </w:pPr>
            <w:r>
              <w:rPr>
                <w:sz w:val="24"/>
              </w:rPr>
              <w:t>0.0042%</w:t>
            </w:r>
          </w:p>
        </w:tc>
        <w:tc>
          <w:tcPr>
            <w:tcW w:w="1285" w:type="dxa"/>
            <w:vAlign w:val="center"/>
          </w:tcPr>
          <w:p w:rsidR="006E4BA5" w:rsidRDefault="00072BEF">
            <w:pPr>
              <w:jc w:val="center"/>
            </w:pPr>
            <w:r>
              <w:rPr>
                <w:sz w:val="24"/>
              </w:rPr>
              <w:t>4.0537%</w:t>
            </w:r>
          </w:p>
        </w:tc>
        <w:tc>
          <w:tcPr>
            <w:tcW w:w="1285" w:type="dxa"/>
            <w:vAlign w:val="center"/>
          </w:tcPr>
          <w:p w:rsidR="006E4BA5" w:rsidRDefault="00072BEF">
            <w:pPr>
              <w:jc w:val="center"/>
            </w:pPr>
            <w:r>
              <w:rPr>
                <w:sz w:val="24"/>
              </w:rPr>
              <w:t>0.0000%</w:t>
            </w:r>
          </w:p>
        </w:tc>
        <w:tc>
          <w:tcPr>
            <w:tcW w:w="1285" w:type="dxa"/>
            <w:vAlign w:val="center"/>
          </w:tcPr>
          <w:p w:rsidR="006E4BA5" w:rsidRDefault="00072BEF">
            <w:pPr>
              <w:jc w:val="center"/>
            </w:pPr>
            <w:r>
              <w:rPr>
                <w:sz w:val="24"/>
              </w:rPr>
              <w:t>6.5336%</w:t>
            </w:r>
          </w:p>
        </w:tc>
        <w:tc>
          <w:tcPr>
            <w:tcW w:w="1285" w:type="dxa"/>
            <w:vAlign w:val="center"/>
          </w:tcPr>
          <w:p w:rsidR="006E4BA5" w:rsidRDefault="00072BEF">
            <w:pPr>
              <w:jc w:val="center"/>
            </w:pPr>
            <w:r>
              <w:rPr>
                <w:sz w:val="24"/>
              </w:rPr>
              <w:t>0.0042%</w:t>
            </w:r>
          </w:p>
        </w:tc>
      </w:tr>
      <w:tr w:rsidR="006E4BA5">
        <w:tc>
          <w:tcPr>
            <w:tcW w:w="1286" w:type="dxa"/>
            <w:vAlign w:val="center"/>
          </w:tcPr>
          <w:p w:rsidR="006E4BA5" w:rsidRDefault="00072BEF">
            <w:pPr>
              <w:jc w:val="left"/>
            </w:pPr>
            <w:r>
              <w:rPr>
                <w:sz w:val="24"/>
              </w:rPr>
              <w:t>过去五年</w:t>
            </w:r>
          </w:p>
        </w:tc>
        <w:tc>
          <w:tcPr>
            <w:tcW w:w="1286" w:type="dxa"/>
            <w:vAlign w:val="center"/>
          </w:tcPr>
          <w:p w:rsidR="006E4BA5" w:rsidRDefault="00072BEF">
            <w:pPr>
              <w:jc w:val="center"/>
            </w:pPr>
            <w:r>
              <w:rPr>
                <w:sz w:val="24"/>
              </w:rPr>
              <w:t>17.2070%</w:t>
            </w:r>
          </w:p>
        </w:tc>
        <w:tc>
          <w:tcPr>
            <w:tcW w:w="1286" w:type="dxa"/>
            <w:vAlign w:val="center"/>
          </w:tcPr>
          <w:p w:rsidR="006E4BA5" w:rsidRDefault="00072BEF">
            <w:pPr>
              <w:jc w:val="center"/>
            </w:pPr>
            <w:r>
              <w:rPr>
                <w:sz w:val="24"/>
              </w:rPr>
              <w:t>0.0080%</w:t>
            </w:r>
          </w:p>
        </w:tc>
        <w:tc>
          <w:tcPr>
            <w:tcW w:w="1285" w:type="dxa"/>
            <w:vAlign w:val="center"/>
          </w:tcPr>
          <w:p w:rsidR="006E4BA5" w:rsidRDefault="00072BEF">
            <w:pPr>
              <w:jc w:val="center"/>
            </w:pPr>
            <w:r>
              <w:rPr>
                <w:sz w:val="24"/>
              </w:rPr>
              <w:t>6.7537%</w:t>
            </w:r>
          </w:p>
        </w:tc>
        <w:tc>
          <w:tcPr>
            <w:tcW w:w="1285" w:type="dxa"/>
            <w:vAlign w:val="center"/>
          </w:tcPr>
          <w:p w:rsidR="006E4BA5" w:rsidRDefault="00072BEF">
            <w:pPr>
              <w:jc w:val="center"/>
            </w:pPr>
            <w:r>
              <w:rPr>
                <w:sz w:val="24"/>
              </w:rPr>
              <w:t>0.0000%</w:t>
            </w:r>
          </w:p>
        </w:tc>
        <w:tc>
          <w:tcPr>
            <w:tcW w:w="1285" w:type="dxa"/>
            <w:vAlign w:val="center"/>
          </w:tcPr>
          <w:p w:rsidR="006E4BA5" w:rsidRDefault="00072BEF">
            <w:pPr>
              <w:jc w:val="center"/>
            </w:pPr>
            <w:r>
              <w:rPr>
                <w:sz w:val="24"/>
              </w:rPr>
              <w:t>10.4533%</w:t>
            </w:r>
          </w:p>
        </w:tc>
        <w:tc>
          <w:tcPr>
            <w:tcW w:w="1285" w:type="dxa"/>
            <w:vAlign w:val="center"/>
          </w:tcPr>
          <w:p w:rsidR="006E4BA5" w:rsidRDefault="00072BEF">
            <w:pPr>
              <w:jc w:val="center"/>
            </w:pPr>
            <w:r>
              <w:rPr>
                <w:sz w:val="24"/>
              </w:rPr>
              <w:t>0.0080%</w:t>
            </w:r>
          </w:p>
        </w:tc>
      </w:tr>
      <w:tr w:rsidR="006E4BA5">
        <w:tc>
          <w:tcPr>
            <w:tcW w:w="1286" w:type="dxa"/>
            <w:vAlign w:val="center"/>
          </w:tcPr>
          <w:p w:rsidR="006E4BA5" w:rsidRDefault="00072BEF">
            <w:pPr>
              <w:jc w:val="left"/>
            </w:pPr>
            <w:r>
              <w:rPr>
                <w:sz w:val="24"/>
              </w:rPr>
              <w:t>自基金合同生效起至今</w:t>
            </w:r>
          </w:p>
        </w:tc>
        <w:tc>
          <w:tcPr>
            <w:tcW w:w="1286" w:type="dxa"/>
            <w:vAlign w:val="center"/>
          </w:tcPr>
          <w:p w:rsidR="006E4BA5" w:rsidRDefault="00072BEF">
            <w:pPr>
              <w:jc w:val="center"/>
            </w:pPr>
            <w:r>
              <w:rPr>
                <w:sz w:val="24"/>
              </w:rPr>
              <w:t>20.2419%</w:t>
            </w:r>
          </w:p>
        </w:tc>
        <w:tc>
          <w:tcPr>
            <w:tcW w:w="1286" w:type="dxa"/>
            <w:vAlign w:val="center"/>
          </w:tcPr>
          <w:p w:rsidR="006E4BA5" w:rsidRDefault="00072BEF">
            <w:pPr>
              <w:jc w:val="center"/>
            </w:pPr>
            <w:r>
              <w:rPr>
                <w:sz w:val="24"/>
              </w:rPr>
              <w:t>0.0077%</w:t>
            </w:r>
          </w:p>
        </w:tc>
        <w:tc>
          <w:tcPr>
            <w:tcW w:w="1285" w:type="dxa"/>
            <w:vAlign w:val="center"/>
          </w:tcPr>
          <w:p w:rsidR="006E4BA5" w:rsidRDefault="00072BEF">
            <w:pPr>
              <w:jc w:val="center"/>
            </w:pPr>
            <w:r>
              <w:rPr>
                <w:sz w:val="24"/>
              </w:rPr>
              <w:t>7.8411%</w:t>
            </w:r>
          </w:p>
        </w:tc>
        <w:tc>
          <w:tcPr>
            <w:tcW w:w="1285" w:type="dxa"/>
            <w:vAlign w:val="center"/>
          </w:tcPr>
          <w:p w:rsidR="006E4BA5" w:rsidRDefault="00072BEF">
            <w:pPr>
              <w:jc w:val="center"/>
            </w:pPr>
            <w:r>
              <w:rPr>
                <w:sz w:val="24"/>
              </w:rPr>
              <w:t>0.0000%</w:t>
            </w:r>
          </w:p>
        </w:tc>
        <w:tc>
          <w:tcPr>
            <w:tcW w:w="1285" w:type="dxa"/>
            <w:vAlign w:val="center"/>
          </w:tcPr>
          <w:p w:rsidR="006E4BA5" w:rsidRDefault="00072BEF">
            <w:pPr>
              <w:jc w:val="center"/>
            </w:pPr>
            <w:r>
              <w:rPr>
                <w:sz w:val="24"/>
              </w:rPr>
              <w:t>12.4008%</w:t>
            </w:r>
          </w:p>
        </w:tc>
        <w:tc>
          <w:tcPr>
            <w:tcW w:w="1285" w:type="dxa"/>
            <w:vAlign w:val="center"/>
          </w:tcPr>
          <w:p w:rsidR="006E4BA5" w:rsidRDefault="00072BEF">
            <w:pPr>
              <w:jc w:val="center"/>
            </w:pPr>
            <w:r>
              <w:rPr>
                <w:sz w:val="24"/>
              </w:rPr>
              <w:t>0.0077%</w:t>
            </w:r>
          </w:p>
        </w:tc>
      </w:tr>
    </w:tbl>
    <w:p w:rsidR="006E4BA5" w:rsidRDefault="00072BEF">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6E4BA5" w:rsidRDefault="00072BEF">
      <w:pPr>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Pr="007D254C" w:rsidRDefault="004E65B4" w:rsidP="007D254C">
      <w:pPr>
        <w:spacing w:before="29" w:line="288" w:lineRule="auto"/>
        <w:jc w:val="left"/>
        <w:rPr>
          <w:kern w:val="0"/>
          <w:sz w:val="24"/>
        </w:rPr>
      </w:pPr>
      <w:r>
        <w:rPr>
          <w:rFonts w:hint="eastAsia"/>
          <w:kern w:val="0"/>
          <w:sz w:val="24"/>
        </w:rPr>
        <w:t xml:space="preserve">    3</w:t>
      </w:r>
      <w:r>
        <w:rPr>
          <w:rFonts w:hint="eastAsia"/>
          <w:kern w:val="0"/>
          <w:sz w:val="24"/>
        </w:rPr>
        <w:t>、本基金的业绩比较基准为人民币七天通知存款税后利率。</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、交银理财</w:t>
      </w:r>
      <w:r w:rsidRPr="003449F7">
        <w:rPr>
          <w:rFonts w:hint="eastAsia"/>
          <w:color w:val="000000"/>
          <w:sz w:val="24"/>
        </w:rPr>
        <w:t>60</w:t>
      </w:r>
      <w:r w:rsidRPr="003449F7">
        <w:rPr>
          <w:rFonts w:hint="eastAsia"/>
          <w:color w:val="000000"/>
          <w:sz w:val="24"/>
        </w:rPr>
        <w:t>天债券</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注：本基金建仓期为自基金合同生效日起的</w:t>
      </w:r>
      <w:r w:rsidRPr="007D254C">
        <w:rPr>
          <w:rFonts w:hint="eastAsia"/>
          <w:kern w:val="0"/>
          <w:sz w:val="24"/>
        </w:rPr>
        <w:t>2</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交银理财</w:t>
      </w:r>
      <w:r w:rsidR="004E65B4">
        <w:rPr>
          <w:rFonts w:hint="eastAsia"/>
          <w:color w:val="000000"/>
          <w:sz w:val="24"/>
        </w:rPr>
        <w:t>60</w:t>
      </w:r>
      <w:r w:rsidR="004E65B4">
        <w:rPr>
          <w:rFonts w:hint="eastAsia"/>
          <w:color w:val="000000"/>
          <w:sz w:val="24"/>
        </w:rPr>
        <w:t>天债券</w:t>
      </w:r>
      <w:r w:rsidR="004E65B4">
        <w:rPr>
          <w:rFonts w:hint="eastAsia"/>
          <w:color w:val="000000"/>
          <w:sz w:val="24"/>
        </w:rPr>
        <w:t>B</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注：本基金建仓期为自基金合同生效日起的</w:t>
      </w:r>
      <w:r>
        <w:rPr>
          <w:rFonts w:hint="eastAsia"/>
          <w:kern w:val="0"/>
          <w:sz w:val="24"/>
        </w:rPr>
        <w:t>2</w:t>
      </w:r>
      <w:r>
        <w:rPr>
          <w:rFonts w:hint="eastAsia"/>
          <w:kern w:val="0"/>
          <w:sz w:val="24"/>
        </w:rPr>
        <w:t>个月。截至建仓期结束，本基金各项资产配置比例符合基金合同及招募说明书有关投资比例的约定。</w:t>
      </w:r>
    </w:p>
    <w:p w:rsidR="00A5153D" w:rsidRPr="007D254C" w:rsidRDefault="00A5153D" w:rsidP="007D254C">
      <w:pPr>
        <w:spacing w:before="29" w:line="288" w:lineRule="auto"/>
        <w:jc w:val="left"/>
        <w:rPr>
          <w:kern w:val="0"/>
          <w:sz w:val="24"/>
        </w:rPr>
      </w:pP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过去五年</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交银理财</w:t>
      </w:r>
      <w:r w:rsidR="00223DFB" w:rsidRPr="00644949">
        <w:rPr>
          <w:rFonts w:hint="eastAsia"/>
          <w:color w:val="000000"/>
          <w:sz w:val="24"/>
        </w:rPr>
        <w:t>60</w:t>
      </w:r>
      <w:r w:rsidR="00223DFB" w:rsidRPr="00644949">
        <w:rPr>
          <w:rFonts w:hint="eastAsia"/>
          <w:color w:val="000000"/>
          <w:sz w:val="24"/>
        </w:rPr>
        <w:t>天债券</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2013</w:t>
      </w:r>
      <w:r w:rsidRPr="007D254C">
        <w:rPr>
          <w:rFonts w:hint="eastAsia"/>
          <w:kern w:val="0"/>
          <w:sz w:val="24"/>
        </w:rPr>
        <w:t>年</w:t>
      </w:r>
      <w:r w:rsidRPr="007D254C">
        <w:rPr>
          <w:rFonts w:hint="eastAsia"/>
          <w:kern w:val="0"/>
          <w:sz w:val="24"/>
        </w:rPr>
        <w:t>3</w:t>
      </w:r>
      <w:r w:rsidRPr="007D254C">
        <w:rPr>
          <w:rFonts w:hint="eastAsia"/>
          <w:kern w:val="0"/>
          <w:sz w:val="24"/>
        </w:rPr>
        <w:t>月</w:t>
      </w:r>
      <w:r w:rsidRPr="007D254C">
        <w:rPr>
          <w:rFonts w:hint="eastAsia"/>
          <w:kern w:val="0"/>
          <w:sz w:val="24"/>
        </w:rPr>
        <w:t>13</w:t>
      </w:r>
      <w:r w:rsidRPr="007D254C">
        <w:rPr>
          <w:rFonts w:hint="eastAsia"/>
          <w:kern w:val="0"/>
          <w:sz w:val="24"/>
        </w:rPr>
        <w:t>日至</w:t>
      </w:r>
      <w:r w:rsidRPr="007D254C">
        <w:rPr>
          <w:rFonts w:hint="eastAsia"/>
          <w:kern w:val="0"/>
          <w:sz w:val="24"/>
        </w:rPr>
        <w:t>2018</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日。基金合同生效当年的净值增长率按照当年实际存续期计算。</w:t>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w:t>
      </w:r>
      <w:r w:rsidR="004E65B4">
        <w:rPr>
          <w:rFonts w:hint="eastAsia"/>
          <w:color w:val="000000"/>
          <w:sz w:val="24"/>
        </w:rPr>
        <w:t>交银理财</w:t>
      </w:r>
      <w:r w:rsidR="004E65B4">
        <w:rPr>
          <w:rFonts w:hint="eastAsia"/>
          <w:color w:val="000000"/>
          <w:sz w:val="24"/>
        </w:rPr>
        <w:t>60</w:t>
      </w:r>
      <w:r w:rsidR="004E65B4">
        <w:rPr>
          <w:rFonts w:hint="eastAsia"/>
          <w:color w:val="000000"/>
          <w:sz w:val="24"/>
        </w:rPr>
        <w:t>天债券</w:t>
      </w:r>
      <w:r w:rsidR="004E65B4">
        <w:rPr>
          <w:rFonts w:hint="eastAsia"/>
          <w:color w:val="000000"/>
          <w:sz w:val="24"/>
        </w:rPr>
        <w:t>B</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2013</w:t>
      </w:r>
      <w:r>
        <w:rPr>
          <w:rFonts w:hint="eastAsia"/>
          <w:kern w:val="0"/>
          <w:sz w:val="24"/>
        </w:rPr>
        <w:t>年</w:t>
      </w:r>
      <w:r>
        <w:rPr>
          <w:rFonts w:hint="eastAsia"/>
          <w:kern w:val="0"/>
          <w:sz w:val="24"/>
        </w:rPr>
        <w:t>3</w:t>
      </w:r>
      <w:r>
        <w:rPr>
          <w:rFonts w:hint="eastAsia"/>
          <w:kern w:val="0"/>
          <w:sz w:val="24"/>
        </w:rPr>
        <w:t>月</w:t>
      </w:r>
      <w:r>
        <w:rPr>
          <w:rFonts w:hint="eastAsia"/>
          <w:kern w:val="0"/>
          <w:sz w:val="24"/>
        </w:rPr>
        <w:t>13</w:t>
      </w:r>
      <w:r>
        <w:rPr>
          <w:rFonts w:hint="eastAsia"/>
          <w:kern w:val="0"/>
          <w:sz w:val="24"/>
        </w:rPr>
        <w:t>日至</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日。基金合同生效当年的净值增长率按照当年实际存续期计算。</w:t>
      </w:r>
    </w:p>
    <w:p w:rsidR="009A1191" w:rsidRPr="007D254C" w:rsidRDefault="009A1191" w:rsidP="007D254C">
      <w:pPr>
        <w:spacing w:before="29" w:line="288" w:lineRule="auto"/>
        <w:jc w:val="left"/>
        <w:rPr>
          <w:kern w:val="0"/>
          <w:sz w:val="24"/>
        </w:rPr>
      </w:pP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交银理财</w:t>
      </w:r>
      <w:r w:rsidRPr="0036012E">
        <w:rPr>
          <w:rFonts w:hint="eastAsia"/>
          <w:color w:val="000000"/>
          <w:sz w:val="24"/>
        </w:rPr>
        <w:t>60</w:t>
      </w:r>
      <w:r w:rsidRPr="0036012E">
        <w:rPr>
          <w:rFonts w:hint="eastAsia"/>
          <w:color w:val="000000"/>
          <w:sz w:val="24"/>
        </w:rPr>
        <w:t>天债券</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6E4BA5">
        <w:tc>
          <w:tcPr>
            <w:tcW w:w="1499" w:type="dxa"/>
            <w:vAlign w:val="center"/>
          </w:tcPr>
          <w:p w:rsidR="006E4BA5" w:rsidRDefault="00072BEF">
            <w:pPr>
              <w:jc w:val="center"/>
            </w:pPr>
            <w:r>
              <w:rPr>
                <w:rFonts w:hint="eastAsia"/>
                <w:color w:val="000000"/>
                <w:sz w:val="24"/>
              </w:rPr>
              <w:t>2018</w:t>
            </w:r>
            <w:r>
              <w:rPr>
                <w:rFonts w:hint="eastAsia"/>
                <w:color w:val="000000"/>
                <w:sz w:val="24"/>
              </w:rPr>
              <w:t>年</w:t>
            </w:r>
          </w:p>
        </w:tc>
        <w:tc>
          <w:tcPr>
            <w:tcW w:w="1499" w:type="dxa"/>
            <w:vAlign w:val="center"/>
          </w:tcPr>
          <w:p w:rsidR="006E4BA5" w:rsidRDefault="00072BEF">
            <w:pPr>
              <w:jc w:val="right"/>
            </w:pPr>
            <w:r>
              <w:rPr>
                <w:rFonts w:hint="eastAsia"/>
                <w:color w:val="000000"/>
                <w:sz w:val="24"/>
              </w:rPr>
              <w:t>335,042.16</w:t>
            </w:r>
          </w:p>
        </w:tc>
        <w:tc>
          <w:tcPr>
            <w:tcW w:w="1500" w:type="dxa"/>
            <w:vAlign w:val="center"/>
          </w:tcPr>
          <w:p w:rsidR="006E4BA5" w:rsidRDefault="00072BEF">
            <w:pPr>
              <w:jc w:val="right"/>
            </w:pPr>
            <w:r>
              <w:rPr>
                <w:rFonts w:hint="eastAsia"/>
                <w:color w:val="000000"/>
                <w:sz w:val="24"/>
              </w:rPr>
              <w:t>66,132.36</w:t>
            </w:r>
          </w:p>
        </w:tc>
        <w:tc>
          <w:tcPr>
            <w:tcW w:w="1500" w:type="dxa"/>
            <w:vAlign w:val="center"/>
          </w:tcPr>
          <w:p w:rsidR="006E4BA5" w:rsidRDefault="00072BEF">
            <w:pPr>
              <w:jc w:val="center"/>
            </w:pPr>
            <w:r>
              <w:rPr>
                <w:rFonts w:hint="eastAsia"/>
                <w:color w:val="000000"/>
                <w:sz w:val="24"/>
              </w:rPr>
              <w:t>-8,684.16</w:t>
            </w:r>
          </w:p>
        </w:tc>
        <w:tc>
          <w:tcPr>
            <w:tcW w:w="1500" w:type="dxa"/>
            <w:vAlign w:val="center"/>
          </w:tcPr>
          <w:p w:rsidR="006E4BA5" w:rsidRDefault="00072BEF">
            <w:pPr>
              <w:jc w:val="right"/>
            </w:pPr>
            <w:r>
              <w:rPr>
                <w:rFonts w:hint="eastAsia"/>
                <w:color w:val="000000"/>
                <w:sz w:val="24"/>
              </w:rPr>
              <w:t>392,490.36</w:t>
            </w:r>
          </w:p>
        </w:tc>
        <w:tc>
          <w:tcPr>
            <w:tcW w:w="1500" w:type="dxa"/>
            <w:vAlign w:val="center"/>
          </w:tcPr>
          <w:p w:rsidR="006E4BA5" w:rsidRDefault="00072BEF">
            <w:pPr>
              <w:jc w:val="left"/>
            </w:pPr>
            <w:r>
              <w:rPr>
                <w:rFonts w:hint="eastAsia"/>
                <w:color w:val="000000"/>
                <w:sz w:val="24"/>
              </w:rPr>
              <w:t>-</w:t>
            </w:r>
          </w:p>
        </w:tc>
      </w:tr>
      <w:tr w:rsidR="006E4BA5">
        <w:tc>
          <w:tcPr>
            <w:tcW w:w="1499" w:type="dxa"/>
            <w:vAlign w:val="center"/>
          </w:tcPr>
          <w:p w:rsidR="006E4BA5" w:rsidRDefault="00072BEF">
            <w:pPr>
              <w:jc w:val="center"/>
            </w:pPr>
            <w:r>
              <w:rPr>
                <w:rFonts w:hint="eastAsia"/>
                <w:color w:val="000000"/>
                <w:sz w:val="24"/>
              </w:rPr>
              <w:t>2017</w:t>
            </w:r>
            <w:r>
              <w:rPr>
                <w:rFonts w:hint="eastAsia"/>
                <w:color w:val="000000"/>
                <w:sz w:val="24"/>
              </w:rPr>
              <w:t>年</w:t>
            </w:r>
          </w:p>
        </w:tc>
        <w:tc>
          <w:tcPr>
            <w:tcW w:w="1499" w:type="dxa"/>
            <w:vAlign w:val="center"/>
          </w:tcPr>
          <w:p w:rsidR="006E4BA5" w:rsidRDefault="00072BEF">
            <w:pPr>
              <w:jc w:val="right"/>
            </w:pPr>
            <w:r>
              <w:rPr>
                <w:rFonts w:hint="eastAsia"/>
                <w:color w:val="000000"/>
                <w:sz w:val="24"/>
              </w:rPr>
              <w:t>308,243.10</w:t>
            </w:r>
          </w:p>
        </w:tc>
        <w:tc>
          <w:tcPr>
            <w:tcW w:w="1500" w:type="dxa"/>
            <w:vAlign w:val="center"/>
          </w:tcPr>
          <w:p w:rsidR="006E4BA5" w:rsidRDefault="00072BEF">
            <w:pPr>
              <w:jc w:val="right"/>
            </w:pPr>
            <w:r>
              <w:rPr>
                <w:rFonts w:hint="eastAsia"/>
                <w:color w:val="000000"/>
                <w:sz w:val="24"/>
              </w:rPr>
              <w:t>9,804.09</w:t>
            </w:r>
          </w:p>
        </w:tc>
        <w:tc>
          <w:tcPr>
            <w:tcW w:w="1500" w:type="dxa"/>
            <w:vAlign w:val="center"/>
          </w:tcPr>
          <w:p w:rsidR="006E4BA5" w:rsidRDefault="00072BEF">
            <w:pPr>
              <w:jc w:val="center"/>
            </w:pPr>
            <w:r>
              <w:rPr>
                <w:rFonts w:hint="eastAsia"/>
                <w:color w:val="000000"/>
                <w:sz w:val="24"/>
              </w:rPr>
              <w:t>11,413.58</w:t>
            </w:r>
          </w:p>
        </w:tc>
        <w:tc>
          <w:tcPr>
            <w:tcW w:w="1500" w:type="dxa"/>
            <w:vAlign w:val="center"/>
          </w:tcPr>
          <w:p w:rsidR="006E4BA5" w:rsidRDefault="00072BEF">
            <w:pPr>
              <w:jc w:val="right"/>
            </w:pPr>
            <w:r>
              <w:rPr>
                <w:rFonts w:hint="eastAsia"/>
                <w:color w:val="000000"/>
                <w:sz w:val="24"/>
              </w:rPr>
              <w:t>329,460.77</w:t>
            </w:r>
          </w:p>
        </w:tc>
        <w:tc>
          <w:tcPr>
            <w:tcW w:w="1500" w:type="dxa"/>
            <w:vAlign w:val="center"/>
          </w:tcPr>
          <w:p w:rsidR="006E4BA5" w:rsidRDefault="00072BEF">
            <w:pPr>
              <w:jc w:val="left"/>
            </w:pPr>
            <w:r>
              <w:rPr>
                <w:rFonts w:hint="eastAsia"/>
                <w:color w:val="000000"/>
                <w:sz w:val="24"/>
              </w:rPr>
              <w:t>-</w:t>
            </w:r>
          </w:p>
        </w:tc>
      </w:tr>
      <w:tr w:rsidR="006E4BA5">
        <w:tc>
          <w:tcPr>
            <w:tcW w:w="1499" w:type="dxa"/>
            <w:vAlign w:val="center"/>
          </w:tcPr>
          <w:p w:rsidR="006E4BA5" w:rsidRDefault="00072BEF">
            <w:pPr>
              <w:jc w:val="center"/>
            </w:pPr>
            <w:r>
              <w:rPr>
                <w:rFonts w:hint="eastAsia"/>
                <w:color w:val="000000"/>
                <w:sz w:val="24"/>
              </w:rPr>
              <w:t>2016</w:t>
            </w:r>
            <w:r>
              <w:rPr>
                <w:rFonts w:hint="eastAsia"/>
                <w:color w:val="000000"/>
                <w:sz w:val="24"/>
              </w:rPr>
              <w:t>年</w:t>
            </w:r>
          </w:p>
        </w:tc>
        <w:tc>
          <w:tcPr>
            <w:tcW w:w="1499" w:type="dxa"/>
            <w:vAlign w:val="center"/>
          </w:tcPr>
          <w:p w:rsidR="006E4BA5" w:rsidRDefault="00072BEF">
            <w:pPr>
              <w:jc w:val="right"/>
            </w:pPr>
            <w:r>
              <w:rPr>
                <w:rFonts w:hint="eastAsia"/>
                <w:color w:val="000000"/>
                <w:sz w:val="24"/>
              </w:rPr>
              <w:t>148,340.75</w:t>
            </w:r>
          </w:p>
        </w:tc>
        <w:tc>
          <w:tcPr>
            <w:tcW w:w="1500" w:type="dxa"/>
            <w:vAlign w:val="center"/>
          </w:tcPr>
          <w:p w:rsidR="006E4BA5" w:rsidRDefault="00072BEF">
            <w:pPr>
              <w:jc w:val="right"/>
            </w:pPr>
            <w:r>
              <w:rPr>
                <w:rFonts w:hint="eastAsia"/>
                <w:color w:val="000000"/>
                <w:sz w:val="24"/>
              </w:rPr>
              <w:t>10,364.44</w:t>
            </w:r>
          </w:p>
        </w:tc>
        <w:tc>
          <w:tcPr>
            <w:tcW w:w="1500" w:type="dxa"/>
            <w:vAlign w:val="center"/>
          </w:tcPr>
          <w:p w:rsidR="006E4BA5" w:rsidRDefault="00072BEF">
            <w:pPr>
              <w:jc w:val="center"/>
            </w:pPr>
            <w:r>
              <w:rPr>
                <w:rFonts w:hint="eastAsia"/>
                <w:color w:val="000000"/>
                <w:sz w:val="24"/>
              </w:rPr>
              <w:t>3,718.67</w:t>
            </w:r>
          </w:p>
        </w:tc>
        <w:tc>
          <w:tcPr>
            <w:tcW w:w="1500" w:type="dxa"/>
            <w:vAlign w:val="center"/>
          </w:tcPr>
          <w:p w:rsidR="006E4BA5" w:rsidRDefault="00072BEF">
            <w:pPr>
              <w:jc w:val="right"/>
            </w:pPr>
            <w:r>
              <w:rPr>
                <w:rFonts w:hint="eastAsia"/>
                <w:color w:val="000000"/>
                <w:sz w:val="24"/>
              </w:rPr>
              <w:t>162,423.86</w:t>
            </w:r>
          </w:p>
        </w:tc>
        <w:tc>
          <w:tcPr>
            <w:tcW w:w="1500" w:type="dxa"/>
            <w:vAlign w:val="center"/>
          </w:tcPr>
          <w:p w:rsidR="006E4BA5" w:rsidRDefault="00072BEF">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791,626.01</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86,300.89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6,448.09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884,374.99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交银理财</w:t>
      </w:r>
      <w:r>
        <w:rPr>
          <w:rFonts w:hint="eastAsia"/>
          <w:color w:val="000000"/>
          <w:sz w:val="24"/>
        </w:rPr>
        <w:t>60</w:t>
      </w:r>
      <w:r>
        <w:rPr>
          <w:rFonts w:hint="eastAsia"/>
          <w:color w:val="000000"/>
          <w:sz w:val="24"/>
        </w:rPr>
        <w:t>天债券</w:t>
      </w:r>
      <w:r>
        <w:rPr>
          <w:rFonts w:hint="eastAsia"/>
          <w:color w:val="000000"/>
          <w:sz w:val="24"/>
        </w:rPr>
        <w:t>B</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6E4BA5">
        <w:tc>
          <w:tcPr>
            <w:tcW w:w="1499" w:type="dxa"/>
            <w:vAlign w:val="center"/>
          </w:tcPr>
          <w:p w:rsidR="006E4BA5" w:rsidRDefault="00072BEF">
            <w:pPr>
              <w:jc w:val="center"/>
            </w:pPr>
            <w:r>
              <w:rPr>
                <w:rFonts w:hint="eastAsia"/>
                <w:color w:val="000000"/>
                <w:sz w:val="24"/>
              </w:rPr>
              <w:t>2018</w:t>
            </w:r>
            <w:r>
              <w:rPr>
                <w:rFonts w:hint="eastAsia"/>
                <w:color w:val="000000"/>
                <w:sz w:val="24"/>
              </w:rPr>
              <w:t>年</w:t>
            </w:r>
          </w:p>
        </w:tc>
        <w:tc>
          <w:tcPr>
            <w:tcW w:w="1499" w:type="dxa"/>
            <w:vAlign w:val="center"/>
          </w:tcPr>
          <w:p w:rsidR="006E4BA5" w:rsidRDefault="00072BEF">
            <w:pPr>
              <w:jc w:val="right"/>
            </w:pPr>
            <w:r>
              <w:rPr>
                <w:rFonts w:hint="eastAsia"/>
                <w:color w:val="000000"/>
                <w:sz w:val="24"/>
              </w:rPr>
              <w:t>437,709,436.92</w:t>
            </w:r>
          </w:p>
        </w:tc>
        <w:tc>
          <w:tcPr>
            <w:tcW w:w="1500" w:type="dxa"/>
            <w:vAlign w:val="center"/>
          </w:tcPr>
          <w:p w:rsidR="006E4BA5" w:rsidRDefault="00072BEF">
            <w:pPr>
              <w:jc w:val="right"/>
            </w:pPr>
            <w:r>
              <w:rPr>
                <w:rFonts w:hint="eastAsia"/>
                <w:color w:val="000000"/>
                <w:sz w:val="24"/>
              </w:rPr>
              <w:t>90,047,172.18</w:t>
            </w:r>
          </w:p>
        </w:tc>
        <w:tc>
          <w:tcPr>
            <w:tcW w:w="1500" w:type="dxa"/>
            <w:vAlign w:val="center"/>
          </w:tcPr>
          <w:p w:rsidR="006E4BA5" w:rsidRDefault="00072BEF">
            <w:pPr>
              <w:jc w:val="center"/>
            </w:pPr>
            <w:r>
              <w:rPr>
                <w:rFonts w:hint="eastAsia"/>
                <w:color w:val="000000"/>
                <w:sz w:val="24"/>
              </w:rPr>
              <w:t>35,595,755.25</w:t>
            </w:r>
          </w:p>
        </w:tc>
        <w:tc>
          <w:tcPr>
            <w:tcW w:w="1500" w:type="dxa"/>
            <w:vAlign w:val="center"/>
          </w:tcPr>
          <w:p w:rsidR="006E4BA5" w:rsidRDefault="00072BEF">
            <w:pPr>
              <w:jc w:val="right"/>
            </w:pPr>
            <w:r>
              <w:rPr>
                <w:rFonts w:hint="eastAsia"/>
                <w:color w:val="000000"/>
                <w:sz w:val="24"/>
              </w:rPr>
              <w:t>563,352,364.35</w:t>
            </w:r>
          </w:p>
        </w:tc>
        <w:tc>
          <w:tcPr>
            <w:tcW w:w="1500" w:type="dxa"/>
            <w:vAlign w:val="center"/>
          </w:tcPr>
          <w:p w:rsidR="006E4BA5" w:rsidRDefault="00072BEF">
            <w:pPr>
              <w:jc w:val="left"/>
            </w:pPr>
            <w:r>
              <w:rPr>
                <w:rFonts w:hint="eastAsia"/>
                <w:color w:val="000000"/>
                <w:sz w:val="24"/>
              </w:rPr>
              <w:t>-</w:t>
            </w:r>
          </w:p>
        </w:tc>
      </w:tr>
      <w:tr w:rsidR="006E4BA5">
        <w:tc>
          <w:tcPr>
            <w:tcW w:w="1499" w:type="dxa"/>
            <w:vAlign w:val="center"/>
          </w:tcPr>
          <w:p w:rsidR="006E4BA5" w:rsidRDefault="00072BEF">
            <w:pPr>
              <w:jc w:val="center"/>
            </w:pPr>
            <w:r>
              <w:rPr>
                <w:rFonts w:hint="eastAsia"/>
                <w:color w:val="000000"/>
                <w:sz w:val="24"/>
              </w:rPr>
              <w:t>2017</w:t>
            </w:r>
            <w:r>
              <w:rPr>
                <w:rFonts w:hint="eastAsia"/>
                <w:color w:val="000000"/>
                <w:sz w:val="24"/>
              </w:rPr>
              <w:t>年</w:t>
            </w:r>
          </w:p>
        </w:tc>
        <w:tc>
          <w:tcPr>
            <w:tcW w:w="1499" w:type="dxa"/>
            <w:vAlign w:val="center"/>
          </w:tcPr>
          <w:p w:rsidR="006E4BA5" w:rsidRDefault="00072BEF">
            <w:pPr>
              <w:jc w:val="right"/>
            </w:pPr>
            <w:r>
              <w:rPr>
                <w:rFonts w:hint="eastAsia"/>
                <w:color w:val="000000"/>
                <w:sz w:val="24"/>
              </w:rPr>
              <w:t>100,893,227.54</w:t>
            </w:r>
          </w:p>
        </w:tc>
        <w:tc>
          <w:tcPr>
            <w:tcW w:w="1500" w:type="dxa"/>
            <w:vAlign w:val="center"/>
          </w:tcPr>
          <w:p w:rsidR="006E4BA5" w:rsidRDefault="00072BEF">
            <w:pPr>
              <w:jc w:val="right"/>
            </w:pPr>
            <w:r>
              <w:rPr>
                <w:rFonts w:hint="eastAsia"/>
                <w:color w:val="000000"/>
                <w:sz w:val="24"/>
              </w:rPr>
              <w:t>732,802.59</w:t>
            </w:r>
          </w:p>
        </w:tc>
        <w:tc>
          <w:tcPr>
            <w:tcW w:w="1500" w:type="dxa"/>
            <w:vAlign w:val="center"/>
          </w:tcPr>
          <w:p w:rsidR="006E4BA5" w:rsidRDefault="00072BEF">
            <w:pPr>
              <w:jc w:val="center"/>
            </w:pPr>
            <w:r>
              <w:rPr>
                <w:rFonts w:hint="eastAsia"/>
                <w:color w:val="000000"/>
                <w:sz w:val="24"/>
              </w:rPr>
              <w:t>6,693,144.35</w:t>
            </w:r>
          </w:p>
        </w:tc>
        <w:tc>
          <w:tcPr>
            <w:tcW w:w="1500" w:type="dxa"/>
            <w:vAlign w:val="center"/>
          </w:tcPr>
          <w:p w:rsidR="006E4BA5" w:rsidRDefault="00072BEF">
            <w:pPr>
              <w:jc w:val="right"/>
            </w:pPr>
            <w:r>
              <w:rPr>
                <w:rFonts w:hint="eastAsia"/>
                <w:color w:val="000000"/>
                <w:sz w:val="24"/>
              </w:rPr>
              <w:t>108,319,174.48</w:t>
            </w:r>
          </w:p>
        </w:tc>
        <w:tc>
          <w:tcPr>
            <w:tcW w:w="1500" w:type="dxa"/>
            <w:vAlign w:val="center"/>
          </w:tcPr>
          <w:p w:rsidR="006E4BA5" w:rsidRDefault="00072BEF">
            <w:pPr>
              <w:jc w:val="left"/>
            </w:pPr>
            <w:r>
              <w:rPr>
                <w:rFonts w:hint="eastAsia"/>
                <w:color w:val="000000"/>
                <w:sz w:val="24"/>
              </w:rPr>
              <w:t>-</w:t>
            </w:r>
          </w:p>
        </w:tc>
      </w:tr>
      <w:tr w:rsidR="006E4BA5">
        <w:tc>
          <w:tcPr>
            <w:tcW w:w="1499" w:type="dxa"/>
            <w:vAlign w:val="center"/>
          </w:tcPr>
          <w:p w:rsidR="006E4BA5" w:rsidRDefault="00072BEF">
            <w:pPr>
              <w:jc w:val="center"/>
            </w:pPr>
            <w:r>
              <w:rPr>
                <w:rFonts w:hint="eastAsia"/>
                <w:color w:val="000000"/>
                <w:sz w:val="24"/>
              </w:rPr>
              <w:t>2016</w:t>
            </w:r>
            <w:r>
              <w:rPr>
                <w:rFonts w:hint="eastAsia"/>
                <w:color w:val="000000"/>
                <w:sz w:val="24"/>
              </w:rPr>
              <w:t>年</w:t>
            </w:r>
          </w:p>
        </w:tc>
        <w:tc>
          <w:tcPr>
            <w:tcW w:w="1499" w:type="dxa"/>
            <w:vAlign w:val="center"/>
          </w:tcPr>
          <w:p w:rsidR="006E4BA5" w:rsidRDefault="00072BEF">
            <w:pPr>
              <w:jc w:val="right"/>
            </w:pPr>
            <w:r>
              <w:rPr>
                <w:rFonts w:hint="eastAsia"/>
                <w:color w:val="000000"/>
                <w:sz w:val="24"/>
              </w:rPr>
              <w:t>8,477,941.14</w:t>
            </w:r>
          </w:p>
        </w:tc>
        <w:tc>
          <w:tcPr>
            <w:tcW w:w="1500" w:type="dxa"/>
            <w:vAlign w:val="center"/>
          </w:tcPr>
          <w:p w:rsidR="006E4BA5" w:rsidRDefault="00072BEF">
            <w:pPr>
              <w:jc w:val="right"/>
            </w:pPr>
            <w:r>
              <w:rPr>
                <w:rFonts w:hint="eastAsia"/>
                <w:color w:val="000000"/>
                <w:sz w:val="24"/>
              </w:rPr>
              <w:t>110,073.18</w:t>
            </w:r>
          </w:p>
        </w:tc>
        <w:tc>
          <w:tcPr>
            <w:tcW w:w="1500" w:type="dxa"/>
            <w:vAlign w:val="center"/>
          </w:tcPr>
          <w:p w:rsidR="006E4BA5" w:rsidRDefault="00072BEF">
            <w:pPr>
              <w:jc w:val="center"/>
            </w:pPr>
            <w:r>
              <w:rPr>
                <w:rFonts w:hint="eastAsia"/>
                <w:color w:val="000000"/>
                <w:sz w:val="24"/>
              </w:rPr>
              <w:t>3,714,353.19</w:t>
            </w:r>
          </w:p>
        </w:tc>
        <w:tc>
          <w:tcPr>
            <w:tcW w:w="1500" w:type="dxa"/>
            <w:vAlign w:val="center"/>
          </w:tcPr>
          <w:p w:rsidR="006E4BA5" w:rsidRDefault="00072BEF">
            <w:pPr>
              <w:jc w:val="right"/>
            </w:pPr>
            <w:r>
              <w:rPr>
                <w:rFonts w:hint="eastAsia"/>
                <w:color w:val="000000"/>
                <w:sz w:val="24"/>
              </w:rPr>
              <w:t>12,302,367.51</w:t>
            </w:r>
          </w:p>
        </w:tc>
        <w:tc>
          <w:tcPr>
            <w:tcW w:w="1500" w:type="dxa"/>
            <w:vAlign w:val="center"/>
          </w:tcPr>
          <w:p w:rsidR="006E4BA5" w:rsidRDefault="00072BEF">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547,080,605.60</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90,890,047.95</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46,003,252.79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683,973,906.34</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6E4BA5" w:rsidRDefault="00072BEF">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77</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6E4BA5">
        <w:tc>
          <w:tcPr>
            <w:tcW w:w="1134" w:type="dxa"/>
            <w:vAlign w:val="center"/>
          </w:tcPr>
          <w:p w:rsidR="006E4BA5" w:rsidRDefault="00072BEF">
            <w:pPr>
              <w:jc w:val="center"/>
            </w:pPr>
            <w:r>
              <w:rPr>
                <w:rFonts w:hint="eastAsia"/>
                <w:sz w:val="24"/>
              </w:rPr>
              <w:t>连端清</w:t>
            </w:r>
          </w:p>
        </w:tc>
        <w:tc>
          <w:tcPr>
            <w:tcW w:w="1134" w:type="dxa"/>
            <w:vAlign w:val="center"/>
          </w:tcPr>
          <w:p w:rsidR="006E4BA5" w:rsidRDefault="00072BEF">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701" w:type="dxa"/>
            <w:vAlign w:val="center"/>
          </w:tcPr>
          <w:p w:rsidR="006E4BA5" w:rsidRDefault="00072BEF">
            <w:pPr>
              <w:jc w:val="center"/>
            </w:pPr>
            <w:r>
              <w:rPr>
                <w:rFonts w:hint="eastAsia"/>
                <w:sz w:val="24"/>
              </w:rPr>
              <w:t>2015-10-16</w:t>
            </w:r>
          </w:p>
        </w:tc>
        <w:tc>
          <w:tcPr>
            <w:tcW w:w="1560" w:type="dxa"/>
            <w:vAlign w:val="center"/>
          </w:tcPr>
          <w:p w:rsidR="006E4BA5" w:rsidRDefault="00072BEF">
            <w:pPr>
              <w:jc w:val="center"/>
            </w:pPr>
            <w:r>
              <w:rPr>
                <w:rFonts w:hint="eastAsia"/>
                <w:sz w:val="24"/>
              </w:rPr>
              <w:t>-</w:t>
            </w:r>
          </w:p>
        </w:tc>
        <w:tc>
          <w:tcPr>
            <w:tcW w:w="992" w:type="dxa"/>
            <w:vAlign w:val="center"/>
          </w:tcPr>
          <w:p w:rsidR="006E4BA5" w:rsidRDefault="00072BEF">
            <w:pPr>
              <w:jc w:val="center"/>
            </w:pPr>
            <w:r>
              <w:rPr>
                <w:rFonts w:hint="eastAsia"/>
                <w:sz w:val="24"/>
              </w:rPr>
              <w:t>5</w:t>
            </w:r>
            <w:r>
              <w:rPr>
                <w:rFonts w:hint="eastAsia"/>
                <w:sz w:val="24"/>
              </w:rPr>
              <w:t>年</w:t>
            </w:r>
          </w:p>
        </w:tc>
        <w:tc>
          <w:tcPr>
            <w:tcW w:w="2477" w:type="dxa"/>
            <w:vAlign w:val="center"/>
          </w:tcPr>
          <w:p w:rsidR="006E4BA5" w:rsidRDefault="00072BEF">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w:t>
            </w:r>
            <w:r>
              <w:rPr>
                <w:rFonts w:hint="eastAsia"/>
                <w:sz w:val="24"/>
              </w:rPr>
              <w:t>基金经理。</w:t>
            </w:r>
          </w:p>
        </w:tc>
      </w:tr>
      <w:tr w:rsidR="006E4BA5">
        <w:tc>
          <w:tcPr>
            <w:tcW w:w="1134" w:type="dxa"/>
            <w:vAlign w:val="center"/>
          </w:tcPr>
          <w:p w:rsidR="006E4BA5" w:rsidRDefault="00072BEF">
            <w:pPr>
              <w:jc w:val="center"/>
            </w:pPr>
            <w:r>
              <w:rPr>
                <w:rFonts w:hint="eastAsia"/>
                <w:sz w:val="24"/>
              </w:rPr>
              <w:t>季参平</w:t>
            </w:r>
          </w:p>
        </w:tc>
        <w:tc>
          <w:tcPr>
            <w:tcW w:w="1134" w:type="dxa"/>
            <w:vAlign w:val="center"/>
          </w:tcPr>
          <w:p w:rsidR="006E4BA5" w:rsidRDefault="00072BEF">
            <w:pPr>
              <w:jc w:val="center"/>
            </w:pPr>
            <w:r>
              <w:rPr>
                <w:rFonts w:hint="eastAsia"/>
                <w:sz w:val="24"/>
              </w:rPr>
              <w:t>交银货币、交银理财</w:t>
            </w:r>
            <w:r>
              <w:rPr>
                <w:rFonts w:hint="eastAsia"/>
                <w:sz w:val="24"/>
              </w:rPr>
              <w:t>21</w:t>
            </w:r>
            <w:r>
              <w:rPr>
                <w:rFonts w:hint="eastAsia"/>
                <w:sz w:val="24"/>
              </w:rPr>
              <w:t>天债券、交银理财</w:t>
            </w:r>
            <w:r>
              <w:rPr>
                <w:rFonts w:hint="eastAsia"/>
                <w:sz w:val="24"/>
              </w:rPr>
              <w:t>60</w:t>
            </w:r>
            <w:r>
              <w:rPr>
                <w:rFonts w:hint="eastAsia"/>
                <w:sz w:val="24"/>
              </w:rPr>
              <w:t>天债券、交银现金宝货币、交银活期通货币、交银天利宝货币、交银裕隆纯债债券、交银天鑫宝货币、交银瑞鑫定期开放灵活配置混合、交银天益宝货币、交银天运宝货币的基金经理助理</w:t>
            </w:r>
          </w:p>
        </w:tc>
        <w:tc>
          <w:tcPr>
            <w:tcW w:w="1701" w:type="dxa"/>
            <w:vAlign w:val="center"/>
          </w:tcPr>
          <w:p w:rsidR="006E4BA5" w:rsidRDefault="00072BEF">
            <w:pPr>
              <w:jc w:val="center"/>
            </w:pPr>
            <w:r>
              <w:rPr>
                <w:rFonts w:hint="eastAsia"/>
                <w:sz w:val="24"/>
              </w:rPr>
              <w:t>2018-01-10</w:t>
            </w:r>
          </w:p>
        </w:tc>
        <w:tc>
          <w:tcPr>
            <w:tcW w:w="1560" w:type="dxa"/>
            <w:vAlign w:val="center"/>
          </w:tcPr>
          <w:p w:rsidR="006E4BA5" w:rsidRDefault="00072BEF">
            <w:pPr>
              <w:jc w:val="center"/>
            </w:pPr>
            <w:r>
              <w:rPr>
                <w:rFonts w:hint="eastAsia"/>
                <w:sz w:val="24"/>
              </w:rPr>
              <w:t>-</w:t>
            </w:r>
          </w:p>
        </w:tc>
        <w:tc>
          <w:tcPr>
            <w:tcW w:w="992" w:type="dxa"/>
            <w:vAlign w:val="center"/>
          </w:tcPr>
          <w:p w:rsidR="006E4BA5" w:rsidRDefault="00072BEF">
            <w:pPr>
              <w:jc w:val="center"/>
            </w:pPr>
            <w:r>
              <w:rPr>
                <w:rFonts w:hint="eastAsia"/>
                <w:sz w:val="24"/>
              </w:rPr>
              <w:t>6</w:t>
            </w:r>
            <w:r>
              <w:rPr>
                <w:rFonts w:hint="eastAsia"/>
                <w:sz w:val="24"/>
              </w:rPr>
              <w:t>年</w:t>
            </w:r>
          </w:p>
        </w:tc>
        <w:tc>
          <w:tcPr>
            <w:tcW w:w="2477" w:type="dxa"/>
            <w:vAlign w:val="center"/>
          </w:tcPr>
          <w:p w:rsidR="006E4BA5" w:rsidRDefault="00072BEF">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日担任交银施罗德瑞利定期开放灵活配置混合型证券投资基金的基金经理助理。</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16</w:t>
            </w:r>
            <w:r>
              <w:rPr>
                <w:rFonts w:hint="eastAsia"/>
                <w:sz w:val="24"/>
              </w:rPr>
              <w:t>日担任交银施罗德瑞景定期开放灵活配置混合型证券投资基金的基金经理助理。</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日至</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日担任交银施罗德卓越回报灵活配置混合型证券投资基金的基金经理助理。</w:t>
            </w:r>
          </w:p>
        </w:tc>
      </w:tr>
    </w:tbl>
    <w:p w:rsidR="006E4BA5" w:rsidRDefault="00072BEF">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6E4BA5" w:rsidRDefault="00072BEF">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6E4BA5" w:rsidRDefault="00072BEF">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w:t>
      </w:r>
      <w:r>
        <w:rPr>
          <w:rFonts w:hint="eastAsia"/>
          <w:color w:val="000000"/>
          <w:sz w:val="24"/>
        </w:rPr>
        <w:t>控制方法如下：</w:t>
      </w:r>
    </w:p>
    <w:p w:rsidR="006E4BA5" w:rsidRDefault="00072BEF">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6E4BA5" w:rsidRDefault="00072BEF">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w:t>
      </w:r>
      <w:r>
        <w:rPr>
          <w:rFonts w:hint="eastAsia"/>
          <w:color w:val="000000"/>
          <w:sz w:val="24"/>
        </w:rPr>
        <w:t>分配。</w:t>
      </w:r>
    </w:p>
    <w:p w:rsidR="006E4BA5" w:rsidRDefault="00072BEF">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6E4BA5" w:rsidRDefault="00072BEF">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w:t>
      </w:r>
      <w:r>
        <w:rPr>
          <w:rFonts w:hint="eastAsia"/>
          <w:color w:val="000000"/>
          <w:sz w:val="24"/>
        </w:rPr>
        <w:t>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6E4BA5" w:rsidRDefault="00072BEF">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本公司制定了严格的投资控制制度和公平交易监控制度来保证旗下基金运作的公平，旗下所管理的所有资产组合，包括证券投资基金和特</w:t>
      </w:r>
      <w:r>
        <w:rPr>
          <w:rFonts w:hint="eastAsia"/>
          <w:color w:val="000000"/>
          <w:sz w:val="24"/>
        </w:rPr>
        <w:t>定客户资产管理专户均严格遵循制度进行公平交易。</w:t>
      </w:r>
    </w:p>
    <w:p w:rsidR="006E4BA5" w:rsidRDefault="00072BEF">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6E4BA5" w:rsidRDefault="00072BEF">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公司中央交易室和风险管理部进行日常投资交易行为监控，风险管理部负责对各账户</w:t>
      </w:r>
      <w:r>
        <w:rPr>
          <w:rFonts w:hint="eastAsia"/>
          <w:color w:val="000000"/>
          <w:sz w:val="24"/>
        </w:rPr>
        <w:t>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报告期内本公司严格执行公平交易制度，公平对待旗下各投资组合，未发现任何违反公平交易的行为。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6E4BA5" w:rsidRDefault="00072BEF">
      <w:pPr>
        <w:spacing w:before="29" w:line="288" w:lineRule="auto"/>
        <w:ind w:firstLineChars="200" w:firstLine="480"/>
        <w:rPr>
          <w:color w:val="000000"/>
          <w:sz w:val="24"/>
        </w:rPr>
      </w:pPr>
      <w:r>
        <w:rPr>
          <w:rFonts w:hint="eastAsia"/>
          <w:color w:val="000000"/>
          <w:sz w:val="24"/>
        </w:rPr>
        <w:t>2018</w:t>
      </w:r>
      <w:r>
        <w:rPr>
          <w:rFonts w:hint="eastAsia"/>
          <w:color w:val="000000"/>
          <w:sz w:val="24"/>
        </w:rPr>
        <w:t>年，主要受到中美贸易战冲击、表外融资规模收缩以及基建投资大幅下滑的影响，国内经济增速放缓，且下半年下行压力逐渐加大。</w:t>
      </w:r>
      <w:r>
        <w:rPr>
          <w:rFonts w:hint="eastAsia"/>
          <w:color w:val="000000"/>
          <w:sz w:val="24"/>
        </w:rPr>
        <w:t>2018</w:t>
      </w:r>
      <w:r>
        <w:rPr>
          <w:rFonts w:hint="eastAsia"/>
          <w:color w:val="000000"/>
          <w:sz w:val="24"/>
        </w:rPr>
        <w:t>年广义理财与银行同业业务的监管政策效应发酵，委贷与信托等表外融资大幅收缩，严重依赖表外融资的民企债务风险不断涌现。尽管在央行宽松货币政策护航下，商业银行加大表内信贷投放，但依然难以赶上表外融资收缩规模，</w:t>
      </w:r>
      <w:r>
        <w:rPr>
          <w:rFonts w:hint="eastAsia"/>
          <w:color w:val="000000"/>
          <w:sz w:val="24"/>
        </w:rPr>
        <w:t>2018</w:t>
      </w:r>
      <w:r>
        <w:rPr>
          <w:rFonts w:hint="eastAsia"/>
          <w:color w:val="000000"/>
          <w:sz w:val="24"/>
        </w:rPr>
        <w:t>年信贷利率持续高企。地方政府融资平台监管趋严，叠加表外融资收缩，从而导致</w:t>
      </w:r>
      <w:r>
        <w:rPr>
          <w:rFonts w:hint="eastAsia"/>
          <w:color w:val="000000"/>
          <w:sz w:val="24"/>
        </w:rPr>
        <w:t>2018</w:t>
      </w:r>
      <w:r>
        <w:rPr>
          <w:rFonts w:hint="eastAsia"/>
          <w:color w:val="000000"/>
          <w:sz w:val="24"/>
        </w:rPr>
        <w:t>年基建投资出现大幅下滑。同时中美贸易摩擦爆发，贸易战的外部冲击，不仅影响到我国的进出口，而</w:t>
      </w:r>
      <w:r>
        <w:rPr>
          <w:rFonts w:hint="eastAsia"/>
          <w:color w:val="000000"/>
          <w:sz w:val="24"/>
        </w:rPr>
        <w:t>且扰乱了经济参与者的预期。尽管受到“抢出口效应”影响，国内出口曾出现短暂冲高，但十一月起贸易战负面效应显现，出口已大幅下滑，十二月更是出现负增长。</w:t>
      </w:r>
    </w:p>
    <w:p w:rsidR="006E4BA5" w:rsidRDefault="00072BEF">
      <w:pPr>
        <w:spacing w:before="29" w:line="288" w:lineRule="auto"/>
        <w:ind w:firstLineChars="200" w:firstLine="480"/>
        <w:rPr>
          <w:color w:val="000000"/>
          <w:sz w:val="24"/>
        </w:rPr>
      </w:pPr>
      <w:r>
        <w:rPr>
          <w:rFonts w:hint="eastAsia"/>
          <w:color w:val="000000"/>
          <w:sz w:val="24"/>
        </w:rPr>
        <w:t>为应对表外融资收缩与中美贸易战带来的负面冲击，</w:t>
      </w:r>
      <w:r>
        <w:rPr>
          <w:rFonts w:hint="eastAsia"/>
          <w:color w:val="000000"/>
          <w:sz w:val="24"/>
        </w:rPr>
        <w:t>2018</w:t>
      </w:r>
      <w:r>
        <w:rPr>
          <w:rFonts w:hint="eastAsia"/>
          <w:color w:val="000000"/>
          <w:sz w:val="24"/>
        </w:rPr>
        <w:t>年央行货币政策转向了中性偏松，通过多次降准释放了充沛的流动性。</w:t>
      </w:r>
      <w:r>
        <w:rPr>
          <w:rFonts w:hint="eastAsia"/>
          <w:color w:val="000000"/>
          <w:sz w:val="24"/>
        </w:rPr>
        <w:t>2018</w:t>
      </w:r>
      <w:r>
        <w:rPr>
          <w:rFonts w:hint="eastAsia"/>
          <w:color w:val="000000"/>
          <w:sz w:val="24"/>
        </w:rPr>
        <w:t>年一季度通过定向降准落地以及“临时准备金动用安排”释放了大量流动性。</w:t>
      </w:r>
      <w:r>
        <w:rPr>
          <w:rFonts w:hint="eastAsia"/>
          <w:color w:val="000000"/>
          <w:sz w:val="24"/>
        </w:rPr>
        <w:t>2018</w:t>
      </w:r>
      <w:r>
        <w:rPr>
          <w:rFonts w:hint="eastAsia"/>
          <w:color w:val="000000"/>
          <w:sz w:val="24"/>
        </w:rPr>
        <w:t>年二季度央行两次宣布降准，释放增量资金约</w:t>
      </w:r>
      <w:r>
        <w:rPr>
          <w:rFonts w:hint="eastAsia"/>
          <w:color w:val="000000"/>
          <w:sz w:val="24"/>
        </w:rPr>
        <w:t>1.1</w:t>
      </w:r>
      <w:r>
        <w:rPr>
          <w:rFonts w:hint="eastAsia"/>
          <w:color w:val="000000"/>
          <w:sz w:val="24"/>
        </w:rPr>
        <w:t>万亿。</w:t>
      </w:r>
      <w:r>
        <w:rPr>
          <w:rFonts w:hint="eastAsia"/>
          <w:color w:val="000000"/>
          <w:sz w:val="24"/>
        </w:rPr>
        <w:t>2018</w:t>
      </w:r>
      <w:r>
        <w:rPr>
          <w:rFonts w:hint="eastAsia"/>
          <w:color w:val="000000"/>
          <w:sz w:val="24"/>
        </w:rPr>
        <w:t>年下半年央行主要通过公开市场逆回购与</w:t>
      </w:r>
      <w:r>
        <w:rPr>
          <w:rFonts w:hint="eastAsia"/>
          <w:color w:val="000000"/>
          <w:sz w:val="24"/>
        </w:rPr>
        <w:t>MLF</w:t>
      </w:r>
      <w:r>
        <w:rPr>
          <w:rFonts w:hint="eastAsia"/>
          <w:color w:val="000000"/>
          <w:sz w:val="24"/>
        </w:rPr>
        <w:t>操作维持货币市场资金面宽松，同时努力疏通货币传导机制，引导宽松</w:t>
      </w:r>
      <w:r>
        <w:rPr>
          <w:rFonts w:hint="eastAsia"/>
          <w:color w:val="000000"/>
          <w:sz w:val="24"/>
        </w:rPr>
        <w:t>的货币市场流动性进入实体企业，但民企融资难与贵的问题短期内依然比较突出。</w:t>
      </w:r>
    </w:p>
    <w:p w:rsidR="006E4BA5" w:rsidRDefault="00072BEF">
      <w:pPr>
        <w:spacing w:before="29" w:line="288" w:lineRule="auto"/>
        <w:ind w:firstLineChars="200" w:firstLine="480"/>
        <w:rPr>
          <w:color w:val="000000"/>
          <w:sz w:val="24"/>
        </w:rPr>
      </w:pPr>
      <w:r>
        <w:rPr>
          <w:rFonts w:hint="eastAsia"/>
          <w:color w:val="000000"/>
          <w:sz w:val="24"/>
        </w:rPr>
        <w:t>资金面上，受央行持续降准影响，</w:t>
      </w:r>
      <w:r>
        <w:rPr>
          <w:rFonts w:hint="eastAsia"/>
          <w:color w:val="000000"/>
          <w:sz w:val="24"/>
        </w:rPr>
        <w:t>2018</w:t>
      </w:r>
      <w:r>
        <w:rPr>
          <w:rFonts w:hint="eastAsia"/>
          <w:color w:val="000000"/>
          <w:sz w:val="24"/>
        </w:rPr>
        <w:t>年货币市场资金面非常宽松。十二月底</w:t>
      </w:r>
      <w:r>
        <w:rPr>
          <w:rFonts w:hint="eastAsia"/>
          <w:color w:val="000000"/>
          <w:sz w:val="24"/>
        </w:rPr>
        <w:t>R001</w:t>
      </w:r>
      <w:r>
        <w:rPr>
          <w:rFonts w:hint="eastAsia"/>
          <w:color w:val="000000"/>
          <w:sz w:val="24"/>
        </w:rPr>
        <w:t>较</w:t>
      </w:r>
      <w:r>
        <w:rPr>
          <w:rFonts w:hint="eastAsia"/>
          <w:color w:val="000000"/>
          <w:sz w:val="24"/>
        </w:rPr>
        <w:t>2017</w:t>
      </w:r>
      <w:r>
        <w:rPr>
          <w:rFonts w:hint="eastAsia"/>
          <w:color w:val="000000"/>
          <w:sz w:val="24"/>
        </w:rPr>
        <w:t>年底下降</w:t>
      </w:r>
      <w:r>
        <w:rPr>
          <w:rFonts w:hint="eastAsia"/>
          <w:color w:val="000000"/>
          <w:sz w:val="24"/>
        </w:rPr>
        <w:t>106BP</w:t>
      </w:r>
      <w:r>
        <w:rPr>
          <w:rFonts w:hint="eastAsia"/>
          <w:color w:val="000000"/>
          <w:sz w:val="24"/>
        </w:rPr>
        <w:t>以上。受资金持续宽松及银行同业投资规模收缩等影响，同业存款及存单利率大幅下行，且全年大部分时间内同业存款利率更低。十二月底股份制银行存单利率较</w:t>
      </w:r>
      <w:r>
        <w:rPr>
          <w:rFonts w:hint="eastAsia"/>
          <w:color w:val="000000"/>
          <w:sz w:val="24"/>
        </w:rPr>
        <w:t>2017</w:t>
      </w:r>
      <w:r>
        <w:rPr>
          <w:rFonts w:hint="eastAsia"/>
          <w:color w:val="000000"/>
          <w:sz w:val="24"/>
        </w:rPr>
        <w:t>年底下降</w:t>
      </w:r>
      <w:r>
        <w:rPr>
          <w:rFonts w:hint="eastAsia"/>
          <w:color w:val="000000"/>
          <w:sz w:val="24"/>
        </w:rPr>
        <w:t>230BP</w:t>
      </w:r>
      <w:r>
        <w:rPr>
          <w:rFonts w:hint="eastAsia"/>
          <w:color w:val="000000"/>
          <w:sz w:val="24"/>
        </w:rPr>
        <w:t>以上。受货币政策转向、资金面宽松叠加中美贸易战导致经济悲观预期加深等因素影响，</w:t>
      </w:r>
      <w:r>
        <w:rPr>
          <w:rFonts w:hint="eastAsia"/>
          <w:color w:val="000000"/>
          <w:sz w:val="24"/>
        </w:rPr>
        <w:t>2018</w:t>
      </w:r>
      <w:r>
        <w:rPr>
          <w:rFonts w:hint="eastAsia"/>
          <w:color w:val="000000"/>
          <w:sz w:val="24"/>
        </w:rPr>
        <w:t>年债市在年初回调至高位后，迎来了大涨行情。十二月底十年期国开债</w:t>
      </w:r>
      <w:r>
        <w:rPr>
          <w:rFonts w:hint="eastAsia"/>
          <w:color w:val="000000"/>
          <w:sz w:val="24"/>
        </w:rPr>
        <w:t>YTM</w:t>
      </w:r>
      <w:r>
        <w:rPr>
          <w:rFonts w:hint="eastAsia"/>
          <w:color w:val="000000"/>
          <w:sz w:val="24"/>
        </w:rPr>
        <w:t>较</w:t>
      </w:r>
      <w:r>
        <w:rPr>
          <w:rFonts w:hint="eastAsia"/>
          <w:color w:val="000000"/>
          <w:sz w:val="24"/>
        </w:rPr>
        <w:t>201</w:t>
      </w:r>
      <w:r>
        <w:rPr>
          <w:rFonts w:hint="eastAsia"/>
          <w:color w:val="000000"/>
          <w:sz w:val="24"/>
        </w:rPr>
        <w:t>7</w:t>
      </w:r>
      <w:r>
        <w:rPr>
          <w:rFonts w:hint="eastAsia"/>
          <w:color w:val="000000"/>
          <w:sz w:val="24"/>
        </w:rPr>
        <w:t>年底回落</w:t>
      </w:r>
      <w:r>
        <w:rPr>
          <w:rFonts w:hint="eastAsia"/>
          <w:color w:val="000000"/>
          <w:sz w:val="24"/>
        </w:rPr>
        <w:t>117BP</w:t>
      </w:r>
      <w:r>
        <w:rPr>
          <w:rFonts w:hint="eastAsia"/>
          <w:color w:val="000000"/>
          <w:sz w:val="24"/>
        </w:rPr>
        <w:t>以上，三年期</w:t>
      </w:r>
      <w:r>
        <w:rPr>
          <w:rFonts w:hint="eastAsia"/>
          <w:color w:val="000000"/>
          <w:sz w:val="24"/>
        </w:rPr>
        <w:t>AAA</w:t>
      </w:r>
      <w:r>
        <w:rPr>
          <w:rFonts w:hint="eastAsia"/>
          <w:color w:val="000000"/>
          <w:sz w:val="24"/>
        </w:rPr>
        <w:t>中票</w:t>
      </w:r>
      <w:r>
        <w:rPr>
          <w:rFonts w:hint="eastAsia"/>
          <w:color w:val="000000"/>
          <w:sz w:val="24"/>
        </w:rPr>
        <w:t>YTM</w:t>
      </w:r>
      <w:r>
        <w:rPr>
          <w:rFonts w:hint="eastAsia"/>
          <w:color w:val="000000"/>
          <w:sz w:val="24"/>
        </w:rPr>
        <w:t>较</w:t>
      </w:r>
      <w:r>
        <w:rPr>
          <w:rFonts w:hint="eastAsia"/>
          <w:color w:val="000000"/>
          <w:sz w:val="24"/>
        </w:rPr>
        <w:t>2017</w:t>
      </w:r>
      <w:r>
        <w:rPr>
          <w:rFonts w:hint="eastAsia"/>
          <w:color w:val="000000"/>
          <w:sz w:val="24"/>
        </w:rPr>
        <w:t>年底回落</w:t>
      </w:r>
      <w:r>
        <w:rPr>
          <w:rFonts w:hint="eastAsia"/>
          <w:color w:val="000000"/>
          <w:sz w:val="24"/>
        </w:rPr>
        <w:t>147BP</w:t>
      </w:r>
      <w:r>
        <w:rPr>
          <w:rFonts w:hint="eastAsia"/>
          <w:color w:val="000000"/>
          <w:sz w:val="24"/>
        </w:rPr>
        <w:t>以上。</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基金操作方面，报告期内本基金保持适度的流动性以期满足基金份额持有人潜在赎回需求，同时严格管控信用风险，择机提升组合杠杆与久期。在资产配置上，择机加大存单、短融与存款等投资品种的配置力度。根据市场情况灵活调整存款、存单及债券配置比例，为持有人创造稳健的回报。</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本基金（各类）份额净值及业绩表现请见“</w:t>
      </w:r>
      <w:r w:rsidRPr="00C64C58">
        <w:rPr>
          <w:rFonts w:hint="eastAsia"/>
          <w:color w:val="000000"/>
          <w:sz w:val="24"/>
        </w:rPr>
        <w:t>3.1</w:t>
      </w:r>
      <w:r w:rsidRPr="00C64C58">
        <w:rPr>
          <w:rFonts w:hint="eastAsia"/>
          <w:color w:val="000000"/>
          <w:sz w:val="24"/>
        </w:rPr>
        <w:t>主要会计数据和财务指标”</w:t>
      </w:r>
      <w:r w:rsidRPr="00C64C58">
        <w:rPr>
          <w:rFonts w:hint="eastAsia"/>
          <w:color w:val="000000"/>
          <w:sz w:val="24"/>
        </w:rPr>
        <w:t xml:space="preserve"> </w:t>
      </w:r>
      <w:r w:rsidRPr="00C64C58">
        <w:rPr>
          <w:rFonts w:hint="eastAsia"/>
          <w:color w:val="000000"/>
          <w:sz w:val="24"/>
        </w:rPr>
        <w:t>及“</w:t>
      </w:r>
      <w:r w:rsidRPr="00C64C58">
        <w:rPr>
          <w:rFonts w:hint="eastAsia"/>
          <w:color w:val="000000"/>
          <w:sz w:val="24"/>
        </w:rPr>
        <w:t>3.2.1</w:t>
      </w:r>
      <w:r w:rsidRPr="00C64C58">
        <w:rPr>
          <w:rFonts w:hint="eastAsia"/>
          <w:color w:val="000000"/>
          <w:sz w:val="24"/>
        </w:rPr>
        <w:t>基金份额净值增长率及其与同期业绩比较基准收益率的比较”部分披露。</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0"/>
      <w:bookmarkEnd w:id="1"/>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展望</w:t>
      </w:r>
      <w:r w:rsidRPr="00C64C58">
        <w:rPr>
          <w:rFonts w:hint="eastAsia"/>
          <w:color w:val="000000"/>
          <w:sz w:val="24"/>
        </w:rPr>
        <w:t>2019</w:t>
      </w:r>
      <w:r w:rsidRPr="00C64C58">
        <w:rPr>
          <w:rFonts w:hint="eastAsia"/>
          <w:color w:val="000000"/>
          <w:sz w:val="24"/>
        </w:rPr>
        <w:t>年，尽管中美重启贸易磋商预示着</w:t>
      </w:r>
      <w:r w:rsidRPr="00C64C58">
        <w:rPr>
          <w:rFonts w:hint="eastAsia"/>
          <w:color w:val="000000"/>
          <w:sz w:val="24"/>
        </w:rPr>
        <w:t>2019</w:t>
      </w:r>
      <w:r w:rsidRPr="00C64C58">
        <w:rPr>
          <w:rFonts w:hint="eastAsia"/>
          <w:color w:val="000000"/>
          <w:sz w:val="24"/>
        </w:rPr>
        <w:t>年一季度的中美贸易谈判有望朝着向好的方向进展，但是</w:t>
      </w:r>
      <w:r w:rsidRPr="00C64C58">
        <w:rPr>
          <w:rFonts w:hint="eastAsia"/>
          <w:color w:val="000000"/>
          <w:sz w:val="24"/>
        </w:rPr>
        <w:t>2018</w:t>
      </w:r>
      <w:r w:rsidRPr="00C64C58">
        <w:rPr>
          <w:rFonts w:hint="eastAsia"/>
          <w:color w:val="000000"/>
          <w:sz w:val="24"/>
        </w:rPr>
        <w:t>年贸易战带来的负面冲击短期仍难消除，而且美欧实体经济也在走弱，因此出口对国内经济增长的拖累估计短期内难以逆转。政策层面上，中央经济政策托底工作进一步增强。十二月中央经济工作会议提出要加大积极财政政策力度，解决好民企融资问题，加快经济体制改革等措施。十二月央行四季度货币政策例会指出“加大逆周期调节的力度”，并且已在</w:t>
      </w:r>
      <w:r w:rsidRPr="00C64C58">
        <w:rPr>
          <w:rFonts w:hint="eastAsia"/>
          <w:color w:val="000000"/>
          <w:sz w:val="24"/>
        </w:rPr>
        <w:t>2019</w:t>
      </w:r>
      <w:r w:rsidRPr="00C64C58">
        <w:rPr>
          <w:rFonts w:hint="eastAsia"/>
          <w:color w:val="000000"/>
          <w:sz w:val="24"/>
        </w:rPr>
        <w:t>年初宣布全面降准一个百分点。预计短期内经济惯性下行压力依然较大，年内经济下探寻底将与稳增长政策加码赛跑。预计央行可能维持宽松货币政策，发挥逆周期调节作用。我们将密切关注中美贸易谈判的进展、政府经济政策动态以及美欧经济走势。组合管理方面，本基金将密切跟踪研判宏观经济走势与央行货币政策操作，保持较好的流动性，把握市场机会，同时严格控制风险，努力为投资者创造稳健的回报。</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2"/>
      <w:bookmarkEnd w:id="3"/>
      <w:bookmarkEnd w:id="4"/>
    </w:p>
    <w:p w:rsidR="006E4BA5" w:rsidRDefault="00072BEF">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E4BA5" w:rsidRDefault="00072BEF">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5"/>
      <w:bookmarkEnd w:id="6"/>
      <w:bookmarkEnd w:id="7"/>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遵照法律法规及基金合同的约定，本基金每日分配收益，按运作期结转份额。本基金本报告期内利润分配情况参见</w:t>
      </w:r>
      <w:r w:rsidR="00072BEF">
        <w:rPr>
          <w:rFonts w:hint="eastAsia"/>
          <w:color w:val="000000"/>
          <w:sz w:val="24"/>
        </w:rPr>
        <w:t>年度报告正文</w:t>
      </w:r>
      <w:r w:rsidRPr="00C64C58">
        <w:rPr>
          <w:rFonts w:hint="eastAsia"/>
          <w:color w:val="000000"/>
          <w:sz w:val="24"/>
        </w:rPr>
        <w:t>7.4.7.10</w:t>
      </w:r>
      <w:r w:rsidRPr="00C64C58">
        <w:rPr>
          <w:rFonts w:hint="eastAsia"/>
          <w:color w:val="000000"/>
          <w:sz w:val="24"/>
        </w:rPr>
        <w:t>。</w:t>
      </w:r>
      <w:bookmarkStart w:id="8" w:name="_GoBack"/>
      <w:bookmarkEnd w:id="8"/>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6E4BA5" w:rsidRDefault="00072BEF">
      <w:pPr>
        <w:spacing w:before="29" w:line="288" w:lineRule="auto"/>
        <w:ind w:firstLineChars="200" w:firstLine="480"/>
        <w:rPr>
          <w:color w:val="000000"/>
          <w:sz w:val="24"/>
        </w:rPr>
      </w:pPr>
      <w:r>
        <w:rPr>
          <w:rFonts w:hint="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报告期内，本基金实施利润分配的金额为</w:t>
      </w:r>
      <w:r w:rsidRPr="00C64C58">
        <w:rPr>
          <w:rFonts w:hint="eastAsia"/>
          <w:color w:val="000000"/>
          <w:sz w:val="24"/>
        </w:rPr>
        <w:t>A</w:t>
      </w:r>
      <w:r w:rsidRPr="00C64C58">
        <w:rPr>
          <w:rFonts w:hint="eastAsia"/>
          <w:color w:val="000000"/>
          <w:sz w:val="24"/>
        </w:rPr>
        <w:t>类</w:t>
      </w:r>
      <w:r w:rsidRPr="00C64C58">
        <w:rPr>
          <w:rFonts w:hint="eastAsia"/>
          <w:color w:val="000000"/>
          <w:sz w:val="24"/>
        </w:rPr>
        <w:t>392,490.36</w:t>
      </w:r>
      <w:r w:rsidRPr="00C64C58">
        <w:rPr>
          <w:rFonts w:hint="eastAsia"/>
          <w:color w:val="000000"/>
          <w:sz w:val="24"/>
        </w:rPr>
        <w:t>元，</w:t>
      </w:r>
      <w:r w:rsidRPr="00C64C58">
        <w:rPr>
          <w:rFonts w:hint="eastAsia"/>
          <w:color w:val="000000"/>
          <w:sz w:val="24"/>
        </w:rPr>
        <w:t>B</w:t>
      </w:r>
      <w:r w:rsidRPr="00C64C58">
        <w:rPr>
          <w:rFonts w:hint="eastAsia"/>
          <w:color w:val="000000"/>
          <w:sz w:val="24"/>
        </w:rPr>
        <w:t>类</w:t>
      </w:r>
      <w:r w:rsidRPr="00C64C58">
        <w:rPr>
          <w:rFonts w:hint="eastAsia"/>
          <w:color w:val="000000"/>
          <w:sz w:val="24"/>
        </w:rPr>
        <w:t>563,352,364.35</w:t>
      </w:r>
      <w:r w:rsidRPr="00C64C58">
        <w:rPr>
          <w:rFonts w:hint="eastAsia"/>
          <w:color w:val="000000"/>
          <w:sz w:val="24"/>
        </w:rPr>
        <w:t>元。</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本托管人复核审查了本报告中的财务指标、净值表现、利润分配情况、财务会计报告、投资组合报告等内容，保证复核内容不存在虚假记载、误导性陈述或者重大遗漏。</w:t>
      </w:r>
    </w:p>
    <w:p w:rsidR="009C46E0" w:rsidRPr="00C64C58" w:rsidRDefault="009C46E0" w:rsidP="00C64C58">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交银施罗德理财</w:t>
      </w:r>
      <w:r w:rsidRPr="003C6BFD">
        <w:rPr>
          <w:color w:val="000000"/>
          <w:sz w:val="24"/>
        </w:rPr>
        <w:t>60</w:t>
      </w:r>
      <w:r w:rsidRPr="003C6BFD">
        <w:rPr>
          <w:color w:val="000000"/>
          <w:sz w:val="24"/>
        </w:rPr>
        <w:t>天债券型证券投资基金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21564</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会计主体：交银施罗德理财</w:t>
      </w:r>
      <w:r w:rsidRPr="00E67124">
        <w:rPr>
          <w:rFonts w:hint="eastAsia"/>
          <w:color w:val="000000"/>
          <w:sz w:val="24"/>
        </w:rPr>
        <w:t>60</w:t>
      </w:r>
      <w:r w:rsidRPr="00E67124">
        <w:rPr>
          <w:rFonts w:hint="eastAsia"/>
          <w:color w:val="000000"/>
          <w:sz w:val="24"/>
        </w:rPr>
        <w:t>天债券型证券投资基金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2018</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2018</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2017</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1,971,037,495.79</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2,265,719,176.14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10,455,260,807.92</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3,400,828,485.89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10,383,305,807.92</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3,400,828,485.89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71,955,000.00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37,898,499.03</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18,328,586.03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80,000.00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12,464,196,802.74</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5,684,956,248.06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2018</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2017</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645,259,032.10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716,143,653.61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2,015,111.79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564,658.75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806,044.75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225,863.47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103,293.78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30,265.88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71,460.06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54,336.03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221,320.72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537,126.43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306,767.46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46,067,803.39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10,480,732.30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299,300.00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239,300.00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695,380,493.02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728,045,577.50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11,768,816,309.72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4,956,910,670.56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11,768,816,309.72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4,956,910,670.56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12,464,196,802.74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5,684,956,248.06</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223DFB" w:rsidRPr="005124D4">
        <w:rPr>
          <w:rFonts w:hint="eastAsia"/>
          <w:kern w:val="0"/>
          <w:sz w:val="24"/>
        </w:rPr>
        <w:t>报告截止日</w:t>
      </w:r>
      <w:r w:rsidR="00223DFB" w:rsidRPr="005124D4">
        <w:rPr>
          <w:rFonts w:hint="eastAsia"/>
          <w:kern w:val="0"/>
          <w:sz w:val="24"/>
        </w:rPr>
        <w:t>2018</w:t>
      </w:r>
      <w:r w:rsidR="00223DFB" w:rsidRPr="005124D4">
        <w:rPr>
          <w:rFonts w:hint="eastAsia"/>
          <w:kern w:val="0"/>
          <w:sz w:val="24"/>
        </w:rPr>
        <w:t>年</w:t>
      </w:r>
      <w:r w:rsidR="00223DFB" w:rsidRPr="005124D4">
        <w:rPr>
          <w:rFonts w:hint="eastAsia"/>
          <w:kern w:val="0"/>
          <w:sz w:val="24"/>
        </w:rPr>
        <w:t>12</w:t>
      </w:r>
      <w:r w:rsidR="00223DFB" w:rsidRPr="005124D4">
        <w:rPr>
          <w:rFonts w:hint="eastAsia"/>
          <w:kern w:val="0"/>
          <w:sz w:val="24"/>
        </w:rPr>
        <w:t>月</w:t>
      </w:r>
      <w:r w:rsidR="00223DFB" w:rsidRPr="005124D4">
        <w:rPr>
          <w:rFonts w:hint="eastAsia"/>
          <w:kern w:val="0"/>
          <w:sz w:val="24"/>
        </w:rPr>
        <w:t>31</w:t>
      </w:r>
      <w:r w:rsidR="00223DFB" w:rsidRPr="005124D4">
        <w:rPr>
          <w:rFonts w:hint="eastAsia"/>
          <w:kern w:val="0"/>
          <w:sz w:val="24"/>
        </w:rPr>
        <w:t>日，基金份额净值</w:t>
      </w:r>
      <w:r w:rsidR="00223DFB" w:rsidRPr="005124D4">
        <w:rPr>
          <w:rFonts w:hint="eastAsia"/>
          <w:kern w:val="0"/>
          <w:sz w:val="24"/>
        </w:rPr>
        <w:t>1.0000</w:t>
      </w:r>
      <w:r w:rsidR="00223DFB" w:rsidRPr="005124D4">
        <w:rPr>
          <w:rFonts w:hint="eastAsia"/>
          <w:kern w:val="0"/>
          <w:sz w:val="24"/>
        </w:rPr>
        <w:t>元，基金份额总额</w:t>
      </w:r>
      <w:r w:rsidR="00223DFB" w:rsidRPr="005124D4">
        <w:rPr>
          <w:rFonts w:hint="eastAsia"/>
          <w:kern w:val="0"/>
          <w:sz w:val="24"/>
        </w:rPr>
        <w:t>11,768,816,309.72</w:t>
      </w:r>
      <w:r w:rsidR="00223DFB" w:rsidRPr="005124D4">
        <w:rPr>
          <w:rFonts w:hint="eastAsia"/>
          <w:kern w:val="0"/>
          <w:sz w:val="24"/>
        </w:rPr>
        <w:t>份，其中</w:t>
      </w:r>
      <w:r w:rsidR="00223DFB" w:rsidRPr="005124D4">
        <w:rPr>
          <w:rFonts w:hint="eastAsia"/>
          <w:kern w:val="0"/>
          <w:sz w:val="24"/>
        </w:rPr>
        <w:t>A</w:t>
      </w:r>
      <w:r w:rsidR="00223DFB" w:rsidRPr="005124D4">
        <w:rPr>
          <w:rFonts w:hint="eastAsia"/>
          <w:kern w:val="0"/>
          <w:sz w:val="24"/>
        </w:rPr>
        <w:t>类基金份额：</w:t>
      </w:r>
      <w:r w:rsidR="00223DFB" w:rsidRPr="005124D4">
        <w:rPr>
          <w:rFonts w:hint="eastAsia"/>
          <w:kern w:val="0"/>
          <w:sz w:val="24"/>
        </w:rPr>
        <w:t>8,956,638.90</w:t>
      </w:r>
      <w:r w:rsidR="00223DFB" w:rsidRPr="005124D4">
        <w:rPr>
          <w:rFonts w:hint="eastAsia"/>
          <w:kern w:val="0"/>
          <w:sz w:val="24"/>
        </w:rPr>
        <w:t>份，</w:t>
      </w:r>
      <w:r w:rsidR="00223DFB" w:rsidRPr="005124D4">
        <w:rPr>
          <w:rFonts w:hint="eastAsia"/>
          <w:kern w:val="0"/>
          <w:sz w:val="24"/>
        </w:rPr>
        <w:t>B</w:t>
      </w:r>
      <w:r w:rsidR="00223DFB" w:rsidRPr="005124D4">
        <w:rPr>
          <w:rFonts w:hint="eastAsia"/>
          <w:kern w:val="0"/>
          <w:sz w:val="24"/>
        </w:rPr>
        <w:t>类基金份额：</w:t>
      </w:r>
      <w:r w:rsidR="00223DFB" w:rsidRPr="005124D4">
        <w:rPr>
          <w:rFonts w:hint="eastAsia"/>
          <w:kern w:val="0"/>
          <w:sz w:val="24"/>
        </w:rPr>
        <w:t>11,759,859,670.82</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会计主体：交银施罗德理财</w:t>
      </w:r>
      <w:r w:rsidRPr="007172E2">
        <w:rPr>
          <w:rFonts w:hint="eastAsia"/>
          <w:color w:val="000000"/>
          <w:sz w:val="24"/>
        </w:rPr>
        <w:t>60</w:t>
      </w:r>
      <w:r w:rsidRPr="007172E2">
        <w:rPr>
          <w:rFonts w:hint="eastAsia"/>
          <w:color w:val="000000"/>
          <w:sz w:val="24"/>
        </w:rPr>
        <w:t>天债券型证券投资基金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2018</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2018</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2018</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2018</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629,682,505.97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123,255,657.24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624,514,368.23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123,246,101.76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180,653,216.97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12,063,714.69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436,811,395.52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100,405,432.91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3,414,986.42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3,634,769.32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10,776,954.16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5,168,137.74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9,555.48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5,168,137.74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9,555.48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65,937,651.26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14,607,021.99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26,135,359.01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5,074,769.90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10,454,143.61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2,029,908.06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1,335,210.20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277,927.41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27,443,248.37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6,911,317.12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27,443,248.37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6,911,317.12</w:t>
            </w:r>
          </w:p>
        </w:tc>
      </w:tr>
      <w:tr w:rsidR="00F360A0" w:rsidRPr="00CB1276" w:rsidTr="00FB106F">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2D33D4" w:rsidRDefault="00F360A0" w:rsidP="00492C4B">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4F6A57">
              <w:rPr>
                <w:rFonts w:hint="eastAsia"/>
                <w:color w:val="000000"/>
                <w:sz w:val="24"/>
              </w:rPr>
              <w:t>税金及附加</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2D33D4" w:rsidRDefault="00F360A0" w:rsidP="00492C4B">
            <w:pPr>
              <w:pStyle w:val="af6"/>
              <w:jc w:val="center"/>
              <w:rPr>
                <w:rFonts w:ascii="Times New Roman" w:eastAsiaTheme="minorEastAsia" w:hAnsi="Times New Roman"/>
                <w:color w:val="000000"/>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F360A0" w:rsidRPr="002D33D4" w:rsidRDefault="00F360A0" w:rsidP="00492C4B">
            <w:pPr>
              <w:jc w:val="right"/>
              <w:rPr>
                <w:rFonts w:eastAsiaTheme="minorEastAsia"/>
                <w:color w:val="000000"/>
                <w:sz w:val="24"/>
              </w:rPr>
            </w:pPr>
            <w:r w:rsidRPr="002D33D4">
              <w:rPr>
                <w:rFonts w:eastAsiaTheme="minorEastAsia"/>
                <w:color w:val="000000"/>
                <w:sz w:val="24"/>
              </w:rPr>
              <w:t>151,984.81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F360A0" w:rsidRPr="002D33D4" w:rsidRDefault="00F360A0" w:rsidP="00492C4B">
            <w:pPr>
              <w:jc w:val="right"/>
              <w:rPr>
                <w:rFonts w:eastAsiaTheme="minorEastAsia"/>
                <w:color w:val="000000"/>
                <w:sz w:val="24"/>
              </w:rPr>
            </w:pPr>
            <w:r w:rsidRPr="002D33D4">
              <w:rPr>
                <w:rFonts w:eastAsiaTheme="minorEastAsia"/>
                <w:color w:val="000000"/>
                <w:sz w:val="24"/>
              </w:rPr>
              <w:t>-</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D615D4" w:rsidRDefault="00F360A0" w:rsidP="00D615D4">
            <w:pPr>
              <w:spacing w:before="29" w:line="288" w:lineRule="auto"/>
              <w:rPr>
                <w:color w:val="000000"/>
                <w:sz w:val="24"/>
              </w:rPr>
            </w:pPr>
            <w:r>
              <w:rPr>
                <w:rFonts w:hint="eastAsia"/>
                <w:color w:val="000000"/>
                <w:sz w:val="24"/>
              </w:rPr>
              <w:t>7</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417,705.26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313,099.50</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D615D4">
            <w:pPr>
              <w:spacing w:before="29" w:line="288" w:lineRule="auto"/>
              <w:rPr>
                <w:b/>
                <w:color w:val="000000"/>
                <w:sz w:val="24"/>
              </w:rPr>
            </w:pPr>
            <w:r w:rsidRPr="00764A68">
              <w:rPr>
                <w:rFonts w:hint="eastAsia"/>
                <w:b/>
                <w:color w:val="000000"/>
                <w:sz w:val="24"/>
              </w:rPr>
              <w:t>三、利润总额（亏损总额以</w:t>
            </w:r>
            <w:r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563,744,854.71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108,648,635.25</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D615D4" w:rsidRDefault="00F360A0"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D615D4">
            <w:pPr>
              <w:spacing w:before="29" w:line="288" w:lineRule="auto"/>
              <w:rPr>
                <w:b/>
                <w:color w:val="000000"/>
                <w:sz w:val="24"/>
              </w:rPr>
            </w:pPr>
            <w:r w:rsidRPr="00764A68">
              <w:rPr>
                <w:rFonts w:hint="eastAsia"/>
                <w:b/>
                <w:color w:val="000000"/>
                <w:sz w:val="24"/>
              </w:rPr>
              <w:t>四、净利润（净亏损以</w:t>
            </w:r>
            <w:r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563,744,854.71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108,648,635.25</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会计主体：交银施罗德理财</w:t>
      </w:r>
      <w:r w:rsidRPr="000452E1">
        <w:rPr>
          <w:rFonts w:hint="eastAsia"/>
          <w:sz w:val="24"/>
        </w:rPr>
        <w:t>60</w:t>
      </w:r>
      <w:r w:rsidRPr="000452E1">
        <w:rPr>
          <w:rFonts w:hint="eastAsia"/>
          <w:sz w:val="24"/>
        </w:rPr>
        <w:t>天债券型证券投资基金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2018</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2018</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2018</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2018</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4,956,910,670.56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4,956,910,670.56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563,744,854.71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563,744,854.71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6,811,905,639.16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6,811,905,639.16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18,874,132,274.63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18,874,132,274.63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-12,062,226,635.47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-12,062,226,635.47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-563,744,854.71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-563,744,854.71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11,768,816,309.72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11,768,816,309.72</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2017</w:t>
            </w:r>
            <w:r w:rsidRPr="00A96CD0">
              <w:rPr>
                <w:rFonts w:ascii="Times New Roman" w:hAnsi="Times New Roman" w:hint="eastAsia"/>
                <w:b/>
                <w:kern w:val="2"/>
              </w:rPr>
              <w:t>年</w:t>
            </w:r>
            <w:r w:rsidRPr="00A96CD0">
              <w:rPr>
                <w:rFonts w:ascii="Times New Roman" w:hAnsi="Times New Roman" w:hint="eastAsia"/>
                <w:b/>
                <w:kern w:val="2"/>
              </w:rPr>
              <w:t>1</w:t>
            </w:r>
            <w:r w:rsidRPr="00A96CD0">
              <w:rPr>
                <w:rFonts w:ascii="Times New Roman" w:hAnsi="Times New Roman" w:hint="eastAsia"/>
                <w:b/>
                <w:kern w:val="2"/>
              </w:rPr>
              <w:t>月</w:t>
            </w:r>
            <w:r w:rsidRPr="00A96CD0">
              <w:rPr>
                <w:rFonts w:ascii="Times New Roman" w:hAnsi="Times New Roman" w:hint="eastAsia"/>
                <w:b/>
                <w:kern w:val="2"/>
              </w:rPr>
              <w:t>1</w:t>
            </w:r>
            <w:r w:rsidRPr="00A96CD0">
              <w:rPr>
                <w:rFonts w:ascii="Times New Roman" w:hAnsi="Times New Roman" w:hint="eastAsia"/>
                <w:b/>
                <w:kern w:val="2"/>
              </w:rPr>
              <w:t>日至</w:t>
            </w:r>
            <w:r w:rsidRPr="00A96CD0">
              <w:rPr>
                <w:rFonts w:ascii="Times New Roman" w:hAnsi="Times New Roman" w:hint="eastAsia"/>
                <w:b/>
                <w:kern w:val="2"/>
              </w:rPr>
              <w:t>2017</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2,008,857,763.36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2,008,857,763.36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108,648,635.25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108,648,635.25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2,948,052,907.20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2,948,052,907.20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3,053,770,186.64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3,053,770,186.64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-105,717,279.44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-105,717,279.44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-108,648,635.25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-108,648,635.25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4,956,910,670.56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4,956,910,670.56</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负责人：谢卫，主管会计工作负责人：夏华龙，会计机构负责人：单江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9" w:name="_Toc331410100"/>
      <w:bookmarkStart w:id="10"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9"/>
      <w:bookmarkEnd w:id="10"/>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6E4BA5" w:rsidRDefault="00072BEF">
      <w:pPr>
        <w:spacing w:before="29" w:line="288" w:lineRule="auto"/>
        <w:ind w:firstLineChars="200" w:firstLine="480"/>
        <w:rPr>
          <w:color w:val="000000"/>
          <w:sz w:val="24"/>
        </w:rPr>
      </w:pPr>
      <w:r>
        <w:rPr>
          <w:rFonts w:hint="eastAsia"/>
          <w:color w:val="000000"/>
          <w:sz w:val="24"/>
        </w:rPr>
        <w:t>交银施罗德理财</w:t>
      </w:r>
      <w:r>
        <w:rPr>
          <w:rFonts w:hint="eastAsia"/>
          <w:color w:val="000000"/>
          <w:sz w:val="24"/>
        </w:rPr>
        <w:t>60</w:t>
      </w:r>
      <w:r>
        <w:rPr>
          <w:rFonts w:hint="eastAsia"/>
          <w:color w:val="000000"/>
          <w:sz w:val="24"/>
        </w:rPr>
        <w:t>天债券型证券投资基金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[2012]1768</w:t>
      </w:r>
      <w:r>
        <w:rPr>
          <w:rFonts w:hint="eastAsia"/>
          <w:color w:val="000000"/>
          <w:sz w:val="24"/>
        </w:rPr>
        <w:t>号《关于核准交银施罗德理财</w:t>
      </w:r>
      <w:r>
        <w:rPr>
          <w:rFonts w:hint="eastAsia"/>
          <w:color w:val="000000"/>
          <w:sz w:val="24"/>
        </w:rPr>
        <w:t>60</w:t>
      </w:r>
      <w:r>
        <w:rPr>
          <w:rFonts w:hint="eastAsia"/>
          <w:color w:val="000000"/>
          <w:sz w:val="24"/>
        </w:rPr>
        <w:t>天债券型证券投资基金募集的批复》核准，由交银施罗德基金管理有限公司依照《中华人民共和国证券投资基金法》和《交银施罗德理财</w:t>
      </w:r>
      <w:r>
        <w:rPr>
          <w:rFonts w:hint="eastAsia"/>
          <w:color w:val="000000"/>
          <w:sz w:val="24"/>
        </w:rPr>
        <w:t>60</w:t>
      </w:r>
      <w:r>
        <w:rPr>
          <w:rFonts w:hint="eastAsia"/>
          <w:color w:val="000000"/>
          <w:sz w:val="24"/>
        </w:rPr>
        <w:t>天债券型证券投资基金基金合同》负责公开募集。本基金为契约型开放式证券投资基金，存续期限不定。首次设立募集不包括认购资金利息共募集人民币</w:t>
      </w:r>
      <w:r>
        <w:rPr>
          <w:rFonts w:hint="eastAsia"/>
          <w:color w:val="000000"/>
          <w:sz w:val="24"/>
        </w:rPr>
        <w:t>777,735,040.55</w:t>
      </w:r>
      <w:r>
        <w:rPr>
          <w:rFonts w:hint="eastAsia"/>
          <w:color w:val="000000"/>
          <w:sz w:val="24"/>
        </w:rPr>
        <w:t>元，业经普华永道中天会计师事务所有限公司普华永道中天验字</w:t>
      </w:r>
      <w:r>
        <w:rPr>
          <w:rFonts w:hint="eastAsia"/>
          <w:color w:val="000000"/>
          <w:sz w:val="24"/>
        </w:rPr>
        <w:t>(</w:t>
      </w:r>
      <w:r>
        <w:rPr>
          <w:rFonts w:hint="eastAsia"/>
          <w:color w:val="000000"/>
          <w:sz w:val="24"/>
        </w:rPr>
        <w:t>2013)</w:t>
      </w:r>
      <w:r>
        <w:rPr>
          <w:rFonts w:hint="eastAsia"/>
          <w:color w:val="000000"/>
          <w:sz w:val="24"/>
        </w:rPr>
        <w:t>第</w:t>
      </w:r>
      <w:r>
        <w:rPr>
          <w:rFonts w:hint="eastAsia"/>
          <w:color w:val="000000"/>
          <w:sz w:val="24"/>
        </w:rPr>
        <w:t>131</w:t>
      </w:r>
      <w:r>
        <w:rPr>
          <w:rFonts w:hint="eastAsia"/>
          <w:color w:val="000000"/>
          <w:sz w:val="24"/>
        </w:rPr>
        <w:t>号验资报告予以验证。经向中国证监会备案，《交银施罗德理财</w:t>
      </w:r>
      <w:r>
        <w:rPr>
          <w:rFonts w:hint="eastAsia"/>
          <w:color w:val="000000"/>
          <w:sz w:val="24"/>
        </w:rPr>
        <w:t>60</w:t>
      </w:r>
      <w:r>
        <w:rPr>
          <w:rFonts w:hint="eastAsia"/>
          <w:color w:val="000000"/>
          <w:sz w:val="24"/>
        </w:rPr>
        <w:t>天债券型证券投资基金基金合同》于</w:t>
      </w:r>
      <w:r>
        <w:rPr>
          <w:rFonts w:hint="eastAsia"/>
          <w:color w:val="000000"/>
          <w:sz w:val="24"/>
        </w:rPr>
        <w:t>2013</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13</w:t>
      </w:r>
      <w:r>
        <w:rPr>
          <w:rFonts w:hint="eastAsia"/>
          <w:color w:val="000000"/>
          <w:sz w:val="24"/>
        </w:rPr>
        <w:t>日正式生效，基金合同生效日的基金份额总额为</w:t>
      </w:r>
      <w:r>
        <w:rPr>
          <w:rFonts w:hint="eastAsia"/>
          <w:color w:val="000000"/>
          <w:sz w:val="24"/>
        </w:rPr>
        <w:t>777,917,201.14</w:t>
      </w:r>
      <w:r>
        <w:rPr>
          <w:rFonts w:hint="eastAsia"/>
          <w:color w:val="000000"/>
          <w:sz w:val="24"/>
        </w:rPr>
        <w:t>份基金份额，其中认购资金利息折合</w:t>
      </w:r>
      <w:r>
        <w:rPr>
          <w:rFonts w:hint="eastAsia"/>
          <w:color w:val="000000"/>
          <w:sz w:val="24"/>
        </w:rPr>
        <w:t>182,160.59</w:t>
      </w:r>
      <w:r>
        <w:rPr>
          <w:rFonts w:hint="eastAsia"/>
          <w:color w:val="000000"/>
          <w:sz w:val="24"/>
        </w:rPr>
        <w:t>份基金份额。本基金的基金管理人为交银施罗德基金管理有限公司，基金托管人为中国建设银行股份有限公司。</w:t>
      </w:r>
    </w:p>
    <w:p w:rsidR="006E4BA5" w:rsidRDefault="00072BEF">
      <w:pPr>
        <w:spacing w:before="29" w:line="288" w:lineRule="auto"/>
        <w:ind w:firstLineChars="200" w:firstLine="480"/>
        <w:rPr>
          <w:color w:val="000000"/>
          <w:sz w:val="24"/>
        </w:rPr>
      </w:pPr>
      <w:r>
        <w:rPr>
          <w:rFonts w:hint="eastAsia"/>
          <w:color w:val="000000"/>
          <w:sz w:val="24"/>
        </w:rPr>
        <w:t>根据《交银施罗德理财</w:t>
      </w:r>
      <w:r>
        <w:rPr>
          <w:rFonts w:hint="eastAsia"/>
          <w:color w:val="000000"/>
          <w:sz w:val="24"/>
        </w:rPr>
        <w:t>60</w:t>
      </w:r>
      <w:r>
        <w:rPr>
          <w:rFonts w:hint="eastAsia"/>
          <w:color w:val="000000"/>
          <w:sz w:val="24"/>
        </w:rPr>
        <w:t>天债券型证券投资基金基金合同》和《交银施罗德理财</w:t>
      </w:r>
      <w:r>
        <w:rPr>
          <w:rFonts w:hint="eastAsia"/>
          <w:color w:val="000000"/>
          <w:sz w:val="24"/>
        </w:rPr>
        <w:t>60</w:t>
      </w:r>
      <w:r>
        <w:rPr>
          <w:rFonts w:hint="eastAsia"/>
          <w:color w:val="000000"/>
          <w:sz w:val="24"/>
        </w:rPr>
        <w:t>天债券型证券投资基金招募说明书》，本基金根据投资人持有本基金的份额数量，对投资人持有的</w:t>
      </w:r>
      <w:r>
        <w:rPr>
          <w:rFonts w:hint="eastAsia"/>
          <w:color w:val="000000"/>
          <w:sz w:val="24"/>
        </w:rPr>
        <w:t>基金份额按照不同的费率计提销售服务费用，因此形成</w:t>
      </w:r>
      <w:r>
        <w:rPr>
          <w:rFonts w:hint="eastAsia"/>
          <w:color w:val="000000"/>
          <w:sz w:val="24"/>
        </w:rPr>
        <w:t>A</w:t>
      </w:r>
      <w:r>
        <w:rPr>
          <w:rFonts w:hint="eastAsia"/>
          <w:color w:val="000000"/>
          <w:sz w:val="24"/>
        </w:rPr>
        <w:t>类和</w:t>
      </w:r>
      <w:r>
        <w:rPr>
          <w:rFonts w:hint="eastAsia"/>
          <w:color w:val="000000"/>
          <w:sz w:val="24"/>
        </w:rPr>
        <w:t>B</w:t>
      </w:r>
      <w:r>
        <w:rPr>
          <w:rFonts w:hint="eastAsia"/>
          <w:color w:val="000000"/>
          <w:sz w:val="24"/>
        </w:rPr>
        <w:t>类两类基金份额。两类基金份额分别公布每万份基金净收益和七日年化收益率。</w:t>
      </w:r>
    </w:p>
    <w:p w:rsidR="006E4BA5" w:rsidRDefault="00072BEF">
      <w:pPr>
        <w:spacing w:before="29" w:line="288" w:lineRule="auto"/>
        <w:ind w:firstLineChars="200" w:firstLine="480"/>
        <w:rPr>
          <w:color w:val="000000"/>
          <w:sz w:val="24"/>
        </w:rPr>
      </w:pPr>
      <w:r>
        <w:rPr>
          <w:rFonts w:hint="eastAsia"/>
          <w:color w:val="000000"/>
          <w:sz w:val="24"/>
        </w:rPr>
        <w:t>根据《中华人民共和国证券投资基金法》和《交银施罗德理财</w:t>
      </w:r>
      <w:r>
        <w:rPr>
          <w:rFonts w:hint="eastAsia"/>
          <w:color w:val="000000"/>
          <w:sz w:val="24"/>
        </w:rPr>
        <w:t>60</w:t>
      </w:r>
      <w:r>
        <w:rPr>
          <w:rFonts w:hint="eastAsia"/>
          <w:color w:val="000000"/>
          <w:sz w:val="24"/>
        </w:rPr>
        <w:t>天债券型证券投资基金基金合同》的有关规定，本基金的投资范围为具有良好流动性的金融工具，包括现金，通知存款，一年以内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的银行定期存款和大额存单，剩余期限</w:t>
      </w:r>
      <w:r>
        <w:rPr>
          <w:rFonts w:hint="eastAsia"/>
          <w:color w:val="000000"/>
          <w:sz w:val="24"/>
        </w:rPr>
        <w:t>(</w:t>
      </w:r>
      <w:r>
        <w:rPr>
          <w:rFonts w:hint="eastAsia"/>
          <w:color w:val="000000"/>
          <w:sz w:val="24"/>
        </w:rPr>
        <w:t>或回售期限</w:t>
      </w:r>
      <w:r>
        <w:rPr>
          <w:rFonts w:hint="eastAsia"/>
          <w:color w:val="000000"/>
          <w:sz w:val="24"/>
        </w:rPr>
        <w:t>)</w:t>
      </w:r>
      <w:r>
        <w:rPr>
          <w:rFonts w:hint="eastAsia"/>
          <w:color w:val="000000"/>
          <w:sz w:val="24"/>
        </w:rPr>
        <w:t>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的债券、资产支持证券和中期票据，期限在一年以内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的债券回购，期限在一年以内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的中央银行票据和短期融资券，以及法</w:t>
      </w:r>
      <w:r>
        <w:rPr>
          <w:rFonts w:hint="eastAsia"/>
          <w:color w:val="000000"/>
          <w:sz w:val="24"/>
        </w:rPr>
        <w:t>律法规或中国证监会允许本基金投资的其他固定收益类金融工具及相关衍生工具</w:t>
      </w:r>
      <w:r>
        <w:rPr>
          <w:rFonts w:hint="eastAsia"/>
          <w:color w:val="000000"/>
          <w:sz w:val="24"/>
        </w:rPr>
        <w:t>(</w:t>
      </w:r>
      <w:r>
        <w:rPr>
          <w:rFonts w:hint="eastAsia"/>
          <w:color w:val="000000"/>
          <w:sz w:val="24"/>
        </w:rPr>
        <w:t>但须符合中国证监会相关规定</w:t>
      </w:r>
      <w:r>
        <w:rPr>
          <w:rFonts w:hint="eastAsia"/>
          <w:color w:val="000000"/>
          <w:sz w:val="24"/>
        </w:rPr>
        <w:t>)</w:t>
      </w:r>
      <w:r>
        <w:rPr>
          <w:rFonts w:hint="eastAsia"/>
          <w:color w:val="00000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2019</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25</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6E4BA5" w:rsidRDefault="00072BEF">
      <w:pPr>
        <w:spacing w:before="29" w:line="288" w:lineRule="auto"/>
        <w:ind w:firstLineChars="200" w:firstLine="480"/>
        <w:rPr>
          <w:color w:val="000000"/>
          <w:sz w:val="24"/>
        </w:rPr>
      </w:pPr>
      <w:r>
        <w:rPr>
          <w:rFonts w:hint="eastAsia"/>
          <w:color w:val="000000"/>
          <w:sz w:val="24"/>
        </w:rPr>
        <w:t>本基金的财务报表按照财政部于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日及以后期间颁布的《企业会计准则－基本准则》、</w:t>
      </w:r>
      <w:r>
        <w:rPr>
          <w:rFonts w:hint="eastAsia"/>
          <w:color w:val="000000"/>
          <w:sz w:val="24"/>
        </w:rPr>
        <w:t>各项具体会计准则及相关规定</w:t>
      </w:r>
      <w:r>
        <w:rPr>
          <w:rFonts w:hint="eastAsia"/>
          <w:color w:val="000000"/>
          <w:sz w:val="24"/>
        </w:rPr>
        <w:t>(</w:t>
      </w:r>
      <w:r>
        <w:rPr>
          <w:rFonts w:hint="eastAsia"/>
          <w:color w:val="000000"/>
          <w:sz w:val="24"/>
        </w:rPr>
        <w:t>以下合称“企业会计准则”</w:t>
      </w:r>
      <w:r>
        <w:rPr>
          <w:rFonts w:hint="eastAsia"/>
          <w:color w:val="000000"/>
          <w:sz w:val="24"/>
        </w:rPr>
        <w:t>)</w:t>
      </w:r>
      <w:r>
        <w:rPr>
          <w:rFonts w:hint="eastAsia"/>
          <w:color w:val="000000"/>
          <w:sz w:val="24"/>
        </w:rPr>
        <w:t>、中国证监会颁布的《证券投资基金信息披露</w:t>
      </w:r>
      <w:r>
        <w:rPr>
          <w:rFonts w:hint="eastAsia"/>
          <w:color w:val="000000"/>
          <w:sz w:val="24"/>
        </w:rPr>
        <w:t>XBRL</w:t>
      </w:r>
      <w:r>
        <w:rPr>
          <w:rFonts w:hint="eastAsia"/>
          <w:color w:val="000000"/>
          <w:sz w:val="24"/>
        </w:rPr>
        <w:t>模板第</w:t>
      </w:r>
      <w:r>
        <w:rPr>
          <w:rFonts w:hint="eastAsia"/>
          <w:color w:val="000000"/>
          <w:sz w:val="24"/>
        </w:rPr>
        <w:t>3</w:t>
      </w:r>
      <w:r>
        <w:rPr>
          <w:rFonts w:hint="eastAsia"/>
          <w:color w:val="000000"/>
          <w:sz w:val="24"/>
        </w:rPr>
        <w:t>号</w:t>
      </w:r>
      <w:r>
        <w:rPr>
          <w:rFonts w:hint="eastAsia"/>
          <w:color w:val="000000"/>
          <w:sz w:val="24"/>
        </w:rPr>
        <w:t>&lt;</w:t>
      </w:r>
      <w:r>
        <w:rPr>
          <w:rFonts w:hint="eastAsia"/>
          <w:color w:val="000000"/>
          <w:sz w:val="24"/>
        </w:rPr>
        <w:t>年度报告和半年度报告</w:t>
      </w:r>
      <w:r>
        <w:rPr>
          <w:rFonts w:hint="eastAsia"/>
          <w:color w:val="000000"/>
          <w:sz w:val="24"/>
        </w:rPr>
        <w:t>&gt;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颁布的《证券投资基金会计核算业务指引》、《交银施罗德理财</w:t>
      </w:r>
      <w:r>
        <w:rPr>
          <w:rFonts w:hint="eastAsia"/>
          <w:color w:val="000000"/>
          <w:sz w:val="24"/>
        </w:rPr>
        <w:t>60</w:t>
      </w:r>
      <w:r>
        <w:rPr>
          <w:rFonts w:hint="eastAsia"/>
          <w:color w:val="000000"/>
          <w:sz w:val="24"/>
        </w:rPr>
        <w:t>天债券型证券投资基金基金合同》和在财务报表附注</w:t>
      </w:r>
      <w:r>
        <w:rPr>
          <w:rFonts w:hint="eastAsia"/>
          <w:color w:val="000000"/>
          <w:sz w:val="24"/>
        </w:rPr>
        <w:t>7.4.4</w:t>
      </w:r>
      <w:r>
        <w:rPr>
          <w:rFonts w:hint="eastAsia"/>
          <w:color w:val="000000"/>
          <w:sz w:val="24"/>
        </w:rPr>
        <w:t>所列示的中国证监会、中国基金业协会发布的有关规定及允许的基金行业实务操作编制。</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本财务报表以持续经营为基础编制。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2018</w:t>
      </w:r>
      <w:r w:rsidRPr="00FE0F8A">
        <w:rPr>
          <w:rFonts w:hint="eastAsia"/>
          <w:color w:val="000000"/>
          <w:sz w:val="24"/>
        </w:rPr>
        <w:t>年度财务报表符合企业会计准则的要求，真实、完整地反映了本基金</w:t>
      </w:r>
      <w:r w:rsidRPr="00FE0F8A">
        <w:rPr>
          <w:rFonts w:hint="eastAsia"/>
          <w:color w:val="000000"/>
          <w:sz w:val="24"/>
        </w:rPr>
        <w:t>2018</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2018</w:t>
      </w:r>
      <w:r w:rsidRPr="00FE0F8A">
        <w:rPr>
          <w:rFonts w:hint="eastAsia"/>
          <w:color w:val="000000"/>
          <w:sz w:val="24"/>
        </w:rPr>
        <w:t>年度的经营成果和基金净值变动情况等有关信息。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223DFB" w:rsidRDefault="00223DFB" w:rsidP="00FE0F8A">
      <w:pPr>
        <w:spacing w:before="29" w:line="288" w:lineRule="auto"/>
        <w:ind w:firstLineChars="200" w:firstLine="480"/>
        <w:rPr>
          <w:color w:val="000000"/>
          <w:sz w:val="24"/>
        </w:rPr>
      </w:pPr>
      <w:r w:rsidRPr="00FE0F8A">
        <w:rPr>
          <w:rFonts w:hint="eastAsia"/>
          <w:color w:val="000000"/>
          <w:sz w:val="24"/>
        </w:rPr>
        <w:t>本报告期所采用的会计政策、会计估计与最近一期年度报告相一致。</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本基金在本报告期间无须说明的会计差错更正。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6E4BA5" w:rsidRDefault="00072BEF">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号《关于金融机构同业往来等增值税政策的补充通知》、财税</w:t>
      </w:r>
      <w:r>
        <w:rPr>
          <w:rFonts w:hint="eastAsia"/>
          <w:color w:val="000000"/>
          <w:sz w:val="24"/>
        </w:rPr>
        <w:t>[2016]140</w:t>
      </w:r>
      <w:r>
        <w:rPr>
          <w:rFonts w:hint="eastAsia"/>
          <w:color w:val="000000"/>
          <w:sz w:val="24"/>
        </w:rPr>
        <w:t>号《关于明确金融</w:t>
      </w:r>
      <w:r>
        <w:rPr>
          <w:rFonts w:hint="eastAsia"/>
          <w:color w:val="000000"/>
          <w:sz w:val="24"/>
        </w:rPr>
        <w:t xml:space="preserve"> </w:t>
      </w:r>
      <w:r>
        <w:rPr>
          <w:rFonts w:hint="eastAsia"/>
          <w:color w:val="000000"/>
          <w:sz w:val="24"/>
        </w:rPr>
        <w:t>房地产开发</w:t>
      </w:r>
      <w:r>
        <w:rPr>
          <w:rFonts w:hint="eastAsia"/>
          <w:color w:val="000000"/>
          <w:sz w:val="24"/>
        </w:rPr>
        <w:t xml:space="preserve"> </w:t>
      </w:r>
      <w:r>
        <w:rPr>
          <w:rFonts w:hint="eastAsia"/>
          <w:color w:val="000000"/>
          <w:sz w:val="24"/>
        </w:rPr>
        <w:t>教育辅助服务等增值税政策的通知》、财税</w:t>
      </w:r>
      <w:r>
        <w:rPr>
          <w:rFonts w:hint="eastAsia"/>
          <w:color w:val="000000"/>
          <w:sz w:val="24"/>
        </w:rPr>
        <w:t>[2017]2</w:t>
      </w:r>
      <w:r>
        <w:rPr>
          <w:rFonts w:hint="eastAsia"/>
          <w:color w:val="000000"/>
          <w:sz w:val="24"/>
        </w:rPr>
        <w:t>号《关于资管产品增值税政策有关问题的补充通知》、</w:t>
      </w:r>
      <w:r>
        <w:rPr>
          <w:rFonts w:hint="eastAsia"/>
          <w:color w:val="000000"/>
          <w:sz w:val="24"/>
        </w:rPr>
        <w:t>财税</w:t>
      </w:r>
      <w:r>
        <w:rPr>
          <w:rFonts w:hint="eastAsia"/>
          <w:color w:val="000000"/>
          <w:sz w:val="24"/>
        </w:rPr>
        <w:t>[2017]56</w:t>
      </w:r>
      <w:r>
        <w:rPr>
          <w:rFonts w:hint="eastAsia"/>
          <w:color w:val="000000"/>
          <w:sz w:val="24"/>
        </w:rPr>
        <w:t>号《关于资管产品增值税有关问题的通知》、财税</w:t>
      </w:r>
      <w:r>
        <w:rPr>
          <w:rFonts w:hint="eastAsia"/>
          <w:color w:val="000000"/>
          <w:sz w:val="24"/>
        </w:rPr>
        <w:t>[2017]90</w:t>
      </w:r>
      <w:r>
        <w:rPr>
          <w:rFonts w:hint="eastAsia"/>
          <w:color w:val="000000"/>
          <w:sz w:val="24"/>
        </w:rPr>
        <w:t>号《关于租入固定资产进项税额抵扣等增值税政策的通知》及其他相关财税法规和实务操作，主要税项列示如下：</w:t>
      </w:r>
    </w:p>
    <w:p w:rsidR="006E4BA5" w:rsidRDefault="006E4BA5">
      <w:pPr>
        <w:spacing w:before="29" w:line="288" w:lineRule="auto"/>
        <w:ind w:firstLineChars="200" w:firstLine="480"/>
        <w:rPr>
          <w:color w:val="000000"/>
          <w:sz w:val="24"/>
        </w:rPr>
      </w:pPr>
    </w:p>
    <w:p w:rsidR="006E4BA5" w:rsidRDefault="00072BEF">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Pr>
          <w:rFonts w:hint="eastAsia"/>
          <w:color w:val="000000"/>
          <w:sz w:val="24"/>
        </w:rPr>
        <w:t>3%</w:t>
      </w:r>
      <w:r>
        <w:rPr>
          <w:rFonts w:hint="eastAsia"/>
          <w:color w:val="000000"/>
          <w:sz w:val="24"/>
        </w:rPr>
        <w:t>的征收率缴纳增值税。对资管产品在</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日前运营过程中发生的增值税应税行为，未缴纳增值税的，不再缴纳；已缴纳增值税的，已纳税额从资管产品管理人以后月份的增值税</w:t>
      </w:r>
      <w:r>
        <w:rPr>
          <w:rFonts w:hint="eastAsia"/>
          <w:color w:val="000000"/>
          <w:sz w:val="24"/>
        </w:rPr>
        <w:t>应纳税额中抵减。</w:t>
      </w:r>
    </w:p>
    <w:p w:rsidR="006E4BA5" w:rsidRDefault="006E4BA5">
      <w:pPr>
        <w:spacing w:before="29" w:line="288" w:lineRule="auto"/>
        <w:ind w:firstLineChars="200" w:firstLine="480"/>
        <w:rPr>
          <w:color w:val="000000"/>
          <w:sz w:val="24"/>
        </w:rPr>
      </w:pPr>
    </w:p>
    <w:p w:rsidR="006E4BA5" w:rsidRDefault="00072BEF">
      <w:pPr>
        <w:spacing w:before="29" w:line="288" w:lineRule="auto"/>
        <w:ind w:firstLineChars="200" w:firstLine="480"/>
        <w:rPr>
          <w:color w:val="000000"/>
          <w:sz w:val="24"/>
        </w:rPr>
      </w:pPr>
      <w:r>
        <w:rPr>
          <w:rFonts w:hint="eastAsia"/>
          <w:color w:val="000000"/>
          <w:sz w:val="24"/>
        </w:rPr>
        <w:t>对证券投资基金管理人运用基金买卖债券的转让收入免征增值税，对国债、地方政府债以及金融同业往来利息收入亦免征增值税。资管产品管理人运营资管产品提供的贷款服务，以</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日起产生的利息及利息性质的收入为销售额。</w:t>
      </w:r>
    </w:p>
    <w:p w:rsidR="006E4BA5" w:rsidRDefault="006E4BA5">
      <w:pPr>
        <w:spacing w:before="29" w:line="288" w:lineRule="auto"/>
        <w:ind w:firstLineChars="200" w:firstLine="480"/>
        <w:rPr>
          <w:color w:val="000000"/>
          <w:sz w:val="24"/>
        </w:rPr>
      </w:pPr>
    </w:p>
    <w:p w:rsidR="006E4BA5" w:rsidRDefault="00072BEF">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对基金从证券市场中取得的收入，包括买卖债券的差价收入，债券的利息收入及其他收入，暂不征收企业所得税。</w:t>
      </w:r>
    </w:p>
    <w:p w:rsidR="006E4BA5" w:rsidRDefault="006E4BA5">
      <w:pPr>
        <w:spacing w:before="29" w:line="288" w:lineRule="auto"/>
        <w:ind w:firstLineChars="200" w:firstLine="480"/>
        <w:rPr>
          <w:color w:val="000000"/>
          <w:sz w:val="24"/>
        </w:rPr>
      </w:pPr>
    </w:p>
    <w:p w:rsidR="006E4BA5" w:rsidRDefault="00072BEF">
      <w:pPr>
        <w:spacing w:before="29" w:line="288" w:lineRule="auto"/>
        <w:ind w:firstLineChars="200" w:firstLine="480"/>
        <w:rPr>
          <w:color w:val="000000"/>
          <w:sz w:val="24"/>
        </w:rPr>
      </w:pPr>
      <w:r>
        <w:rPr>
          <w:rFonts w:hint="eastAsia"/>
          <w:color w:val="000000"/>
          <w:sz w:val="24"/>
        </w:rPr>
        <w:t xml:space="preserve">(3) </w:t>
      </w:r>
      <w:r>
        <w:rPr>
          <w:rFonts w:hint="eastAsia"/>
          <w:color w:val="000000"/>
          <w:sz w:val="24"/>
        </w:rPr>
        <w:t>对基金取得的企业债券利息收入，应由发行债券的企业在向基金支付利息时代扣代缴</w:t>
      </w:r>
      <w:r>
        <w:rPr>
          <w:rFonts w:hint="eastAsia"/>
          <w:color w:val="000000"/>
          <w:sz w:val="24"/>
        </w:rPr>
        <w:t>20%</w:t>
      </w:r>
      <w:r>
        <w:rPr>
          <w:rFonts w:hint="eastAsia"/>
          <w:color w:val="000000"/>
          <w:sz w:val="24"/>
        </w:rPr>
        <w:t>的个人所得税。</w:t>
      </w:r>
    </w:p>
    <w:p w:rsidR="006E4BA5" w:rsidRDefault="006E4BA5">
      <w:pPr>
        <w:spacing w:before="29" w:line="288" w:lineRule="auto"/>
        <w:ind w:firstLineChars="200" w:firstLine="480"/>
        <w:rPr>
          <w:color w:val="000000"/>
          <w:sz w:val="24"/>
        </w:rPr>
      </w:pP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 xml:space="preserve">(4) </w:t>
      </w:r>
      <w:r w:rsidRPr="00FE0F8A">
        <w:rPr>
          <w:rFonts w:hint="eastAsia"/>
          <w:color w:val="000000"/>
          <w:sz w:val="24"/>
        </w:rPr>
        <w:t>本基金的城市维护建设税、教育费附加和地方教育费附加等税费按照实际缴纳增值税额的适用比例计算缴纳。</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6E4BA5">
        <w:tc>
          <w:tcPr>
            <w:tcW w:w="4499" w:type="dxa"/>
            <w:vAlign w:val="center"/>
          </w:tcPr>
          <w:p w:rsidR="006E4BA5" w:rsidRDefault="00072BEF">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6E4BA5" w:rsidRDefault="00072BEF">
            <w:pPr>
              <w:jc w:val="left"/>
            </w:pPr>
            <w:r>
              <w:rPr>
                <w:rFonts w:hint="eastAsia"/>
                <w:color w:val="000000"/>
                <w:sz w:val="24"/>
              </w:rPr>
              <w:t>基金管理人、基金销售机构</w:t>
            </w:r>
          </w:p>
        </w:tc>
      </w:tr>
      <w:tr w:rsidR="006E4BA5">
        <w:tc>
          <w:tcPr>
            <w:tcW w:w="4499" w:type="dxa"/>
            <w:vAlign w:val="center"/>
          </w:tcPr>
          <w:p w:rsidR="006E4BA5" w:rsidRDefault="00072BEF">
            <w:pPr>
              <w:jc w:val="left"/>
            </w:pPr>
            <w:r>
              <w:rPr>
                <w:rFonts w:hint="eastAsia"/>
                <w:color w:val="000000"/>
                <w:sz w:val="24"/>
              </w:rPr>
              <w:t>中国建设银行股份有限公司</w:t>
            </w:r>
            <w:r>
              <w:rPr>
                <w:rFonts w:hint="eastAsia"/>
                <w:color w:val="000000"/>
                <w:sz w:val="24"/>
              </w:rPr>
              <w:t>(</w:t>
            </w:r>
            <w:r>
              <w:rPr>
                <w:rFonts w:hint="eastAsia"/>
                <w:color w:val="000000"/>
                <w:sz w:val="24"/>
              </w:rPr>
              <w:t>“中国建设银行”</w:t>
            </w:r>
            <w:r>
              <w:rPr>
                <w:rFonts w:hint="eastAsia"/>
                <w:color w:val="000000"/>
                <w:sz w:val="24"/>
              </w:rPr>
              <w:t>)</w:t>
            </w:r>
          </w:p>
        </w:tc>
        <w:tc>
          <w:tcPr>
            <w:tcW w:w="4499" w:type="dxa"/>
            <w:vAlign w:val="center"/>
          </w:tcPr>
          <w:p w:rsidR="006E4BA5" w:rsidRDefault="00072BEF">
            <w:pPr>
              <w:jc w:val="left"/>
            </w:pPr>
            <w:r>
              <w:rPr>
                <w:rFonts w:hint="eastAsia"/>
                <w:color w:val="000000"/>
                <w:sz w:val="24"/>
              </w:rPr>
              <w:t>基金托管人、基金销售机构</w:t>
            </w:r>
          </w:p>
        </w:tc>
      </w:tr>
      <w:tr w:rsidR="006E4BA5">
        <w:tc>
          <w:tcPr>
            <w:tcW w:w="4499" w:type="dxa"/>
            <w:vAlign w:val="center"/>
          </w:tcPr>
          <w:p w:rsidR="006E4BA5" w:rsidRDefault="00072BEF">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6E4BA5" w:rsidRDefault="00072BEF">
            <w:pPr>
              <w:jc w:val="left"/>
            </w:pPr>
            <w:r>
              <w:rPr>
                <w:rFonts w:hint="eastAsia"/>
                <w:color w:val="000000"/>
                <w:sz w:val="24"/>
              </w:rPr>
              <w:t>基金管理人的股东、基金销售机构</w:t>
            </w:r>
          </w:p>
        </w:tc>
      </w:tr>
      <w:tr w:rsidR="006E4BA5">
        <w:tc>
          <w:tcPr>
            <w:tcW w:w="4499" w:type="dxa"/>
            <w:vAlign w:val="center"/>
          </w:tcPr>
          <w:p w:rsidR="006E4BA5" w:rsidRDefault="00072BEF">
            <w:pPr>
              <w:jc w:val="left"/>
            </w:pPr>
            <w:r>
              <w:rPr>
                <w:rFonts w:hint="eastAsia"/>
                <w:color w:val="000000"/>
                <w:sz w:val="24"/>
              </w:rPr>
              <w:t>施罗德投资管理有限公司</w:t>
            </w:r>
          </w:p>
        </w:tc>
        <w:tc>
          <w:tcPr>
            <w:tcW w:w="4499" w:type="dxa"/>
            <w:vAlign w:val="center"/>
          </w:tcPr>
          <w:p w:rsidR="006E4BA5" w:rsidRDefault="00072BEF">
            <w:pPr>
              <w:jc w:val="left"/>
            </w:pPr>
            <w:r>
              <w:rPr>
                <w:rFonts w:hint="eastAsia"/>
                <w:color w:val="000000"/>
                <w:sz w:val="24"/>
              </w:rPr>
              <w:t>基金管理人的股东</w:t>
            </w:r>
          </w:p>
        </w:tc>
      </w:tr>
      <w:tr w:rsidR="006E4BA5">
        <w:tc>
          <w:tcPr>
            <w:tcW w:w="4499" w:type="dxa"/>
            <w:vAlign w:val="center"/>
          </w:tcPr>
          <w:p w:rsidR="006E4BA5" w:rsidRDefault="00072BEF">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6E4BA5" w:rsidRDefault="00072BEF">
            <w:pPr>
              <w:jc w:val="left"/>
            </w:pPr>
            <w:r>
              <w:rPr>
                <w:rFonts w:hint="eastAsia"/>
                <w:color w:val="000000"/>
                <w:sz w:val="24"/>
              </w:rPr>
              <w:t>基金管理人的股东</w:t>
            </w:r>
          </w:p>
        </w:tc>
      </w:tr>
      <w:tr w:rsidR="006E4BA5">
        <w:tc>
          <w:tcPr>
            <w:tcW w:w="4499" w:type="dxa"/>
            <w:vAlign w:val="center"/>
          </w:tcPr>
          <w:p w:rsidR="006E4BA5" w:rsidRDefault="00072BEF">
            <w:pPr>
              <w:jc w:val="left"/>
            </w:pPr>
            <w:r>
              <w:rPr>
                <w:rFonts w:hint="eastAsia"/>
                <w:color w:val="000000"/>
                <w:sz w:val="24"/>
              </w:rPr>
              <w:t>交银施罗德资产管理有限公司</w:t>
            </w:r>
          </w:p>
        </w:tc>
        <w:tc>
          <w:tcPr>
            <w:tcW w:w="4499" w:type="dxa"/>
            <w:vAlign w:val="center"/>
          </w:tcPr>
          <w:p w:rsidR="006E4BA5" w:rsidRDefault="00072BEF">
            <w:pPr>
              <w:jc w:val="left"/>
            </w:pPr>
            <w:r>
              <w:rPr>
                <w:rFonts w:hint="eastAsia"/>
                <w:color w:val="000000"/>
                <w:sz w:val="24"/>
              </w:rPr>
              <w:t>基金管理人的子公司</w:t>
            </w:r>
          </w:p>
        </w:tc>
      </w:tr>
      <w:tr w:rsidR="006E4BA5">
        <w:tc>
          <w:tcPr>
            <w:tcW w:w="4499" w:type="dxa"/>
            <w:vAlign w:val="center"/>
          </w:tcPr>
          <w:p w:rsidR="006E4BA5" w:rsidRDefault="00072BEF">
            <w:pPr>
              <w:jc w:val="left"/>
            </w:pPr>
            <w:r>
              <w:rPr>
                <w:rFonts w:hint="eastAsia"/>
                <w:color w:val="000000"/>
                <w:sz w:val="24"/>
              </w:rPr>
              <w:t>上海直源投资管理有限公司</w:t>
            </w:r>
          </w:p>
        </w:tc>
        <w:tc>
          <w:tcPr>
            <w:tcW w:w="4499" w:type="dxa"/>
            <w:vAlign w:val="center"/>
          </w:tcPr>
          <w:p w:rsidR="006E4BA5" w:rsidRDefault="00072BEF">
            <w:pPr>
              <w:jc w:val="left"/>
            </w:pPr>
            <w:r>
              <w:rPr>
                <w:rFonts w:hint="eastAsia"/>
                <w:color w:val="000000"/>
                <w:sz w:val="24"/>
              </w:rPr>
              <w:t>受基金管理人控制的公司</w:t>
            </w:r>
          </w:p>
        </w:tc>
      </w:tr>
      <w:tr w:rsidR="006E4BA5">
        <w:tc>
          <w:tcPr>
            <w:tcW w:w="4499" w:type="dxa"/>
            <w:vAlign w:val="center"/>
          </w:tcPr>
          <w:p w:rsidR="006E4BA5" w:rsidRDefault="00072BEF">
            <w:pPr>
              <w:jc w:val="left"/>
            </w:pPr>
            <w:r>
              <w:rPr>
                <w:rFonts w:hint="eastAsia"/>
                <w:color w:val="000000"/>
                <w:sz w:val="24"/>
              </w:rPr>
              <w:t>交烨投资管理</w:t>
            </w:r>
            <w:r>
              <w:rPr>
                <w:rFonts w:hint="eastAsia"/>
                <w:color w:val="000000"/>
                <w:sz w:val="24"/>
              </w:rPr>
              <w:t>(</w:t>
            </w:r>
            <w:r>
              <w:rPr>
                <w:rFonts w:hint="eastAsia"/>
                <w:color w:val="000000"/>
                <w:sz w:val="24"/>
              </w:rPr>
              <w:t>上海</w:t>
            </w:r>
            <w:r>
              <w:rPr>
                <w:rFonts w:hint="eastAsia"/>
                <w:color w:val="000000"/>
                <w:sz w:val="24"/>
              </w:rPr>
              <w:t>)</w:t>
            </w:r>
            <w:r>
              <w:rPr>
                <w:rFonts w:hint="eastAsia"/>
                <w:color w:val="000000"/>
                <w:sz w:val="24"/>
              </w:rPr>
              <w:t>有限公司</w:t>
            </w:r>
          </w:p>
        </w:tc>
        <w:tc>
          <w:tcPr>
            <w:tcW w:w="4499" w:type="dxa"/>
            <w:vAlign w:val="center"/>
          </w:tcPr>
          <w:p w:rsidR="006E4BA5" w:rsidRDefault="00072BEF">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r w:rsidRPr="00A6019D">
        <w:rPr>
          <w:rFonts w:hint="eastAsia"/>
          <w:color w:val="000000"/>
          <w:sz w:val="24"/>
        </w:rPr>
        <w:t xml:space="preserve"> </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26,135,359.01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5,074,769.90</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7,825.78</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4,710.52</w:t>
            </w:r>
          </w:p>
        </w:tc>
      </w:tr>
    </w:tbl>
    <w:p w:rsidR="006E4BA5" w:rsidRDefault="00072BEF">
      <w:pPr>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0.20%</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日管理人报酬＝前一日基金资产净值×</w:t>
      </w:r>
      <w:r w:rsidRPr="005124D4">
        <w:rPr>
          <w:rFonts w:hint="eastAsia"/>
          <w:kern w:val="0"/>
          <w:sz w:val="24"/>
        </w:rPr>
        <w:t>0.20%</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10,454,143.61</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2,029,908.06</w:t>
            </w:r>
          </w:p>
        </w:tc>
      </w:tr>
    </w:tbl>
    <w:p w:rsidR="006E4BA5" w:rsidRDefault="00072BEF">
      <w:pPr>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0.08%</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日托管费＝前一日基金资产净值×</w:t>
      </w:r>
      <w:r w:rsidRPr="005124D4">
        <w:rPr>
          <w:rFonts w:hint="eastAsia"/>
          <w:kern w:val="0"/>
          <w:sz w:val="24"/>
        </w:rPr>
        <w:t>0.08%</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交银理财</w:t>
            </w:r>
            <w:r w:rsidRPr="008D3C85">
              <w:rPr>
                <w:sz w:val="24"/>
              </w:rPr>
              <w:t>60</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交银理财</w:t>
            </w:r>
            <w:r>
              <w:rPr>
                <w:sz w:val="24"/>
              </w:rPr>
              <w:t>60</w:t>
            </w:r>
            <w:r>
              <w:rPr>
                <w:sz w:val="24"/>
              </w:rPr>
              <w:t>天债券</w:t>
            </w:r>
            <w:r>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6E4BA5">
        <w:tc>
          <w:tcPr>
            <w:tcW w:w="2000" w:type="dxa"/>
            <w:vAlign w:val="center"/>
          </w:tcPr>
          <w:p w:rsidR="006E4BA5" w:rsidRDefault="00072BEF">
            <w:pPr>
              <w:jc w:val="left"/>
            </w:pPr>
            <w:r>
              <w:rPr>
                <w:sz w:val="24"/>
              </w:rPr>
              <w:t>交通银行</w:t>
            </w:r>
          </w:p>
        </w:tc>
        <w:tc>
          <w:tcPr>
            <w:tcW w:w="1766" w:type="dxa"/>
            <w:vAlign w:val="center"/>
          </w:tcPr>
          <w:p w:rsidR="006E4BA5" w:rsidRDefault="00072BEF">
            <w:pPr>
              <w:jc w:val="right"/>
            </w:pPr>
            <w:r>
              <w:rPr>
                <w:sz w:val="24"/>
              </w:rPr>
              <w:t>8,120.37</w:t>
            </w:r>
          </w:p>
        </w:tc>
        <w:tc>
          <w:tcPr>
            <w:tcW w:w="2162" w:type="dxa"/>
            <w:vAlign w:val="center"/>
          </w:tcPr>
          <w:p w:rsidR="006E4BA5" w:rsidRDefault="00072BEF">
            <w:pPr>
              <w:jc w:val="right"/>
            </w:pPr>
            <w:r>
              <w:rPr>
                <w:sz w:val="24"/>
              </w:rPr>
              <w:t>-</w:t>
            </w:r>
          </w:p>
        </w:tc>
        <w:tc>
          <w:tcPr>
            <w:tcW w:w="3070" w:type="dxa"/>
            <w:vAlign w:val="center"/>
          </w:tcPr>
          <w:p w:rsidR="006E4BA5" w:rsidRDefault="00072BEF">
            <w:pPr>
              <w:jc w:val="right"/>
            </w:pPr>
            <w:r>
              <w:rPr>
                <w:sz w:val="24"/>
              </w:rPr>
              <w:t>8,120.37</w:t>
            </w:r>
          </w:p>
        </w:tc>
      </w:tr>
      <w:tr w:rsidR="006E4BA5">
        <w:tc>
          <w:tcPr>
            <w:tcW w:w="2000" w:type="dxa"/>
            <w:vAlign w:val="center"/>
          </w:tcPr>
          <w:p w:rsidR="006E4BA5" w:rsidRDefault="00072BEF">
            <w:pPr>
              <w:jc w:val="left"/>
            </w:pPr>
            <w:r>
              <w:rPr>
                <w:sz w:val="24"/>
              </w:rPr>
              <w:t>中国建设银行</w:t>
            </w:r>
          </w:p>
        </w:tc>
        <w:tc>
          <w:tcPr>
            <w:tcW w:w="1766" w:type="dxa"/>
            <w:vAlign w:val="center"/>
          </w:tcPr>
          <w:p w:rsidR="006E4BA5" w:rsidRDefault="00072BEF">
            <w:pPr>
              <w:jc w:val="right"/>
            </w:pPr>
            <w:r>
              <w:rPr>
                <w:sz w:val="24"/>
              </w:rPr>
              <w:t>3,234.22</w:t>
            </w:r>
          </w:p>
        </w:tc>
        <w:tc>
          <w:tcPr>
            <w:tcW w:w="2162" w:type="dxa"/>
            <w:vAlign w:val="center"/>
          </w:tcPr>
          <w:p w:rsidR="006E4BA5" w:rsidRDefault="00072BEF">
            <w:pPr>
              <w:jc w:val="right"/>
            </w:pPr>
            <w:r>
              <w:rPr>
                <w:sz w:val="24"/>
              </w:rPr>
              <w:t>-</w:t>
            </w:r>
          </w:p>
        </w:tc>
        <w:tc>
          <w:tcPr>
            <w:tcW w:w="3070" w:type="dxa"/>
            <w:vAlign w:val="center"/>
          </w:tcPr>
          <w:p w:rsidR="006E4BA5" w:rsidRDefault="00072BEF">
            <w:pPr>
              <w:jc w:val="right"/>
            </w:pPr>
            <w:r>
              <w:rPr>
                <w:sz w:val="24"/>
              </w:rPr>
              <w:t>3,234.22</w:t>
            </w:r>
          </w:p>
        </w:tc>
      </w:tr>
      <w:tr w:rsidR="006E4BA5">
        <w:tc>
          <w:tcPr>
            <w:tcW w:w="2000" w:type="dxa"/>
            <w:vAlign w:val="center"/>
          </w:tcPr>
          <w:p w:rsidR="006E4BA5" w:rsidRDefault="00072BEF">
            <w:pPr>
              <w:jc w:val="left"/>
            </w:pPr>
            <w:r>
              <w:rPr>
                <w:sz w:val="24"/>
              </w:rPr>
              <w:t>交银施罗德基金公司</w:t>
            </w:r>
          </w:p>
        </w:tc>
        <w:tc>
          <w:tcPr>
            <w:tcW w:w="1766" w:type="dxa"/>
            <w:vAlign w:val="center"/>
          </w:tcPr>
          <w:p w:rsidR="006E4BA5" w:rsidRDefault="00072BEF">
            <w:pPr>
              <w:jc w:val="right"/>
            </w:pPr>
            <w:r>
              <w:rPr>
                <w:sz w:val="24"/>
              </w:rPr>
              <w:t>10,388.79</w:t>
            </w:r>
          </w:p>
        </w:tc>
        <w:tc>
          <w:tcPr>
            <w:tcW w:w="2162" w:type="dxa"/>
            <w:vAlign w:val="center"/>
          </w:tcPr>
          <w:p w:rsidR="006E4BA5" w:rsidRDefault="00072BEF">
            <w:pPr>
              <w:jc w:val="right"/>
            </w:pPr>
            <w:r>
              <w:rPr>
                <w:sz w:val="24"/>
              </w:rPr>
              <w:t>1,305,787.23</w:t>
            </w:r>
          </w:p>
        </w:tc>
        <w:tc>
          <w:tcPr>
            <w:tcW w:w="3070" w:type="dxa"/>
            <w:vAlign w:val="center"/>
          </w:tcPr>
          <w:p w:rsidR="006E4BA5" w:rsidRDefault="00072BEF">
            <w:pPr>
              <w:jc w:val="right"/>
            </w:pPr>
            <w:r>
              <w:rPr>
                <w:sz w:val="24"/>
              </w:rPr>
              <w:t>1,316,176.02</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21,743.38</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1,305,787.23</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1,327,530.61</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60</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交银理财</w:t>
            </w:r>
            <w:r>
              <w:rPr>
                <w:sz w:val="24"/>
              </w:rPr>
              <w:t>60</w:t>
            </w:r>
            <w:r>
              <w:rPr>
                <w:sz w:val="24"/>
              </w:rPr>
              <w:t>天债券</w:t>
            </w:r>
            <w:r>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6E4BA5">
        <w:tc>
          <w:tcPr>
            <w:tcW w:w="2000" w:type="dxa"/>
            <w:vAlign w:val="center"/>
          </w:tcPr>
          <w:p w:rsidR="006E4BA5" w:rsidRDefault="00072BEF">
            <w:pPr>
              <w:jc w:val="left"/>
            </w:pPr>
            <w:r>
              <w:rPr>
                <w:sz w:val="24"/>
              </w:rPr>
              <w:t>交通银行</w:t>
            </w:r>
          </w:p>
        </w:tc>
        <w:tc>
          <w:tcPr>
            <w:tcW w:w="1766" w:type="dxa"/>
            <w:vAlign w:val="center"/>
          </w:tcPr>
          <w:p w:rsidR="006E4BA5" w:rsidRDefault="00072BEF">
            <w:pPr>
              <w:jc w:val="right"/>
            </w:pPr>
            <w:r>
              <w:rPr>
                <w:sz w:val="24"/>
              </w:rPr>
              <w:t>4,764.04</w:t>
            </w:r>
          </w:p>
        </w:tc>
        <w:tc>
          <w:tcPr>
            <w:tcW w:w="2162" w:type="dxa"/>
            <w:vAlign w:val="center"/>
          </w:tcPr>
          <w:p w:rsidR="006E4BA5" w:rsidRDefault="00072BEF">
            <w:pPr>
              <w:jc w:val="right"/>
            </w:pPr>
            <w:r>
              <w:rPr>
                <w:sz w:val="24"/>
              </w:rPr>
              <w:t>-</w:t>
            </w:r>
          </w:p>
        </w:tc>
        <w:tc>
          <w:tcPr>
            <w:tcW w:w="3070" w:type="dxa"/>
            <w:vAlign w:val="center"/>
          </w:tcPr>
          <w:p w:rsidR="006E4BA5" w:rsidRDefault="00072BEF">
            <w:pPr>
              <w:jc w:val="right"/>
            </w:pPr>
            <w:r>
              <w:rPr>
                <w:sz w:val="24"/>
              </w:rPr>
              <w:t>4,764.04</w:t>
            </w:r>
          </w:p>
        </w:tc>
      </w:tr>
      <w:tr w:rsidR="006E4BA5">
        <w:tc>
          <w:tcPr>
            <w:tcW w:w="2000" w:type="dxa"/>
            <w:vAlign w:val="center"/>
          </w:tcPr>
          <w:p w:rsidR="006E4BA5" w:rsidRDefault="00072BEF">
            <w:pPr>
              <w:jc w:val="left"/>
            </w:pPr>
            <w:r>
              <w:rPr>
                <w:sz w:val="24"/>
              </w:rPr>
              <w:t>中国建设银行</w:t>
            </w:r>
          </w:p>
        </w:tc>
        <w:tc>
          <w:tcPr>
            <w:tcW w:w="1766" w:type="dxa"/>
            <w:vAlign w:val="center"/>
          </w:tcPr>
          <w:p w:rsidR="006E4BA5" w:rsidRDefault="00072BEF">
            <w:pPr>
              <w:jc w:val="right"/>
            </w:pPr>
            <w:r>
              <w:rPr>
                <w:sz w:val="24"/>
              </w:rPr>
              <w:t>6,115.75</w:t>
            </w:r>
          </w:p>
        </w:tc>
        <w:tc>
          <w:tcPr>
            <w:tcW w:w="2162" w:type="dxa"/>
            <w:vAlign w:val="center"/>
          </w:tcPr>
          <w:p w:rsidR="006E4BA5" w:rsidRDefault="00072BEF">
            <w:pPr>
              <w:jc w:val="right"/>
            </w:pPr>
            <w:r>
              <w:rPr>
                <w:sz w:val="24"/>
              </w:rPr>
              <w:t>-</w:t>
            </w:r>
          </w:p>
        </w:tc>
        <w:tc>
          <w:tcPr>
            <w:tcW w:w="3070" w:type="dxa"/>
            <w:vAlign w:val="center"/>
          </w:tcPr>
          <w:p w:rsidR="006E4BA5" w:rsidRDefault="00072BEF">
            <w:pPr>
              <w:jc w:val="right"/>
            </w:pPr>
            <w:r>
              <w:rPr>
                <w:sz w:val="24"/>
              </w:rPr>
              <w:t>6,115.75</w:t>
            </w:r>
          </w:p>
        </w:tc>
      </w:tr>
      <w:tr w:rsidR="006E4BA5">
        <w:tc>
          <w:tcPr>
            <w:tcW w:w="2000" w:type="dxa"/>
            <w:vAlign w:val="center"/>
          </w:tcPr>
          <w:p w:rsidR="006E4BA5" w:rsidRDefault="00072BEF">
            <w:pPr>
              <w:jc w:val="left"/>
            </w:pPr>
            <w:r>
              <w:rPr>
                <w:sz w:val="24"/>
              </w:rPr>
              <w:t>交银施罗德基金公司</w:t>
            </w:r>
          </w:p>
        </w:tc>
        <w:tc>
          <w:tcPr>
            <w:tcW w:w="1766" w:type="dxa"/>
            <w:vAlign w:val="center"/>
          </w:tcPr>
          <w:p w:rsidR="006E4BA5" w:rsidRDefault="00072BEF">
            <w:pPr>
              <w:jc w:val="right"/>
            </w:pPr>
            <w:r>
              <w:rPr>
                <w:sz w:val="24"/>
              </w:rPr>
              <w:t>12,350.84</w:t>
            </w:r>
          </w:p>
        </w:tc>
        <w:tc>
          <w:tcPr>
            <w:tcW w:w="2162" w:type="dxa"/>
            <w:vAlign w:val="center"/>
          </w:tcPr>
          <w:p w:rsidR="006E4BA5" w:rsidRDefault="00072BEF">
            <w:pPr>
              <w:jc w:val="right"/>
            </w:pPr>
            <w:r>
              <w:rPr>
                <w:sz w:val="24"/>
              </w:rPr>
              <w:t>252,904.29</w:t>
            </w:r>
          </w:p>
        </w:tc>
        <w:tc>
          <w:tcPr>
            <w:tcW w:w="3070" w:type="dxa"/>
            <w:vAlign w:val="center"/>
          </w:tcPr>
          <w:p w:rsidR="006E4BA5" w:rsidRDefault="00072BEF">
            <w:pPr>
              <w:jc w:val="right"/>
            </w:pPr>
            <w:r>
              <w:rPr>
                <w:sz w:val="24"/>
              </w:rPr>
              <w:t>265,255.13</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23,230.63</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252,904.29</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276,134.92</w:t>
            </w:r>
          </w:p>
        </w:tc>
      </w:tr>
    </w:tbl>
    <w:p w:rsidR="006E4BA5" w:rsidRDefault="00072BEF">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6E4BA5" w:rsidRDefault="00072BEF">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296268" w:rsidRPr="006159B2" w:rsidRDefault="00296268" w:rsidP="00296268">
      <w:pPr>
        <w:tabs>
          <w:tab w:val="left" w:pos="426"/>
        </w:tabs>
        <w:spacing w:before="29" w:line="288" w:lineRule="auto"/>
        <w:jc w:val="left"/>
        <w:rPr>
          <w:kern w:val="0"/>
          <w:sz w:val="24"/>
        </w:rPr>
      </w:pPr>
      <w:r w:rsidRPr="006159B2">
        <w:rPr>
          <w:kern w:val="0"/>
          <w:sz w:val="24"/>
        </w:rPr>
        <w:t>B</w:t>
      </w:r>
      <w:r w:rsidRPr="006159B2">
        <w:rPr>
          <w:kern w:val="0"/>
          <w:sz w:val="24"/>
        </w:rPr>
        <w:t>类基金日销售服务费＝前一日</w:t>
      </w:r>
      <w:r w:rsidRPr="006159B2">
        <w:rPr>
          <w:kern w:val="0"/>
          <w:sz w:val="24"/>
        </w:rPr>
        <w:t>B</w:t>
      </w:r>
      <w:r w:rsidRPr="006159B2">
        <w:rPr>
          <w:kern w:val="0"/>
          <w:sz w:val="24"/>
        </w:rPr>
        <w:t>类基金份额对应的资产净值</w:t>
      </w:r>
      <w:r w:rsidRPr="006159B2">
        <w:rPr>
          <w:kern w:val="0"/>
          <w:sz w:val="24"/>
        </w:rPr>
        <w:t>×0.01%÷</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5124D4" w:rsidRDefault="00F601C7" w:rsidP="005124D4">
      <w:pPr>
        <w:spacing w:before="29" w:line="288" w:lineRule="auto"/>
        <w:jc w:val="left"/>
        <w:rPr>
          <w:kern w:val="0"/>
          <w:sz w:val="24"/>
        </w:rPr>
      </w:pPr>
      <w:r w:rsidRPr="005124D4">
        <w:rPr>
          <w:kern w:val="0"/>
          <w:sz w:val="24"/>
        </w:rPr>
        <w:t>本基金本报告期内及上年度可比期间未发生与关联方进行银行间同业市场的债券</w:t>
      </w:r>
      <w:r w:rsidRPr="005124D4">
        <w:rPr>
          <w:kern w:val="0"/>
          <w:sz w:val="24"/>
        </w:rPr>
        <w:t>(</w:t>
      </w:r>
      <w:r w:rsidRPr="005124D4">
        <w:rPr>
          <w:kern w:val="0"/>
          <w:sz w:val="24"/>
        </w:rPr>
        <w:t>含回购</w:t>
      </w:r>
      <w:r w:rsidRPr="005124D4">
        <w:rPr>
          <w:kern w:val="0"/>
          <w:sz w:val="24"/>
        </w:rPr>
        <w:t>)</w:t>
      </w:r>
      <w:r w:rsidRPr="005124D4">
        <w:rPr>
          <w:kern w:val="0"/>
          <w:sz w:val="24"/>
        </w:rPr>
        <w:t>交易。</w:t>
      </w:r>
    </w:p>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Pr="005124D4" w:rsidRDefault="006D141C" w:rsidP="005124D4">
      <w:pPr>
        <w:spacing w:before="29" w:line="288" w:lineRule="auto"/>
        <w:jc w:val="left"/>
        <w:rPr>
          <w:kern w:val="0"/>
          <w:sz w:val="24"/>
        </w:rPr>
      </w:pPr>
      <w:r w:rsidRPr="005124D4">
        <w:rPr>
          <w:rFonts w:hint="eastAsia"/>
          <w:kern w:val="0"/>
          <w:sz w:val="24"/>
        </w:rPr>
        <w:t>本报告期内及上年度可比期间未发生基金管理人运用固有资金投资本基金的情况。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604AF1" w:rsidRPr="007A2947" w:rsidRDefault="006D5CCC" w:rsidP="007A2947">
      <w:pPr>
        <w:spacing w:before="29" w:line="288" w:lineRule="auto"/>
        <w:rPr>
          <w:sz w:val="24"/>
        </w:rPr>
      </w:pPr>
      <w:r w:rsidRPr="007A2947">
        <w:rPr>
          <w:rFonts w:hint="eastAsia"/>
          <w:sz w:val="24"/>
        </w:rPr>
        <w:t>交银理财</w:t>
      </w:r>
      <w:r w:rsidRPr="007A2947">
        <w:rPr>
          <w:rFonts w:hint="eastAsia"/>
          <w:sz w:val="24"/>
        </w:rPr>
        <w:t>60</w:t>
      </w:r>
      <w:r w:rsidRPr="007A2947">
        <w:rPr>
          <w:rFonts w:hint="eastAsia"/>
          <w:sz w:val="24"/>
        </w:rPr>
        <w:t>天债券</w:t>
      </w:r>
      <w:r w:rsidRPr="007A2947">
        <w:rPr>
          <w:rFonts w:hint="eastAsia"/>
          <w:sz w:val="24"/>
        </w:rPr>
        <w:t>A</w:t>
      </w:r>
    </w:p>
    <w:p w:rsidR="00604AF1" w:rsidRDefault="00604AF1" w:rsidP="005124D4">
      <w:pPr>
        <w:spacing w:before="29" w:line="288" w:lineRule="auto"/>
        <w:jc w:val="left"/>
        <w:rPr>
          <w:kern w:val="0"/>
          <w:sz w:val="24"/>
        </w:rPr>
      </w:pPr>
      <w:r w:rsidRPr="005124D4">
        <w:rPr>
          <w:rFonts w:hint="eastAsia"/>
          <w:kern w:val="0"/>
          <w:sz w:val="24"/>
        </w:rPr>
        <w:t>本报告期末及上年度末除基金管理人之外的其他关联方未持有本基金。</w:t>
      </w:r>
    </w:p>
    <w:p w:rsidR="00C22FC1" w:rsidRPr="005124D4" w:rsidRDefault="00C22FC1" w:rsidP="005124D4">
      <w:pPr>
        <w:spacing w:before="29" w:line="288" w:lineRule="auto"/>
        <w:jc w:val="left"/>
        <w:rPr>
          <w:kern w:val="0"/>
          <w:sz w:val="24"/>
        </w:rPr>
      </w:pPr>
    </w:p>
    <w:p w:rsidR="006D5CCC" w:rsidRPr="00004EBE" w:rsidRDefault="004E65B4" w:rsidP="00004EBE">
      <w:pPr>
        <w:spacing w:before="29" w:line="288" w:lineRule="auto"/>
        <w:rPr>
          <w:sz w:val="24"/>
        </w:rPr>
      </w:pPr>
      <w:r>
        <w:rPr>
          <w:rFonts w:hint="eastAsia"/>
          <w:sz w:val="24"/>
        </w:rPr>
        <w:t>交银理财</w:t>
      </w:r>
      <w:r>
        <w:rPr>
          <w:rFonts w:hint="eastAsia"/>
          <w:sz w:val="24"/>
        </w:rPr>
        <w:t>60</w:t>
      </w:r>
      <w:r>
        <w:rPr>
          <w:rFonts w:hint="eastAsia"/>
          <w:sz w:val="24"/>
        </w:rPr>
        <w:t>天债券</w:t>
      </w:r>
      <w:r>
        <w:rPr>
          <w:rFonts w:hint="eastAsia"/>
          <w:sz w:val="24"/>
        </w:rPr>
        <w:t>B</w:t>
      </w:r>
    </w:p>
    <w:p w:rsidR="00487AB1" w:rsidRPr="006A1080" w:rsidRDefault="00487AB1" w:rsidP="006A1080">
      <w:pPr>
        <w:spacing w:before="29" w:line="288" w:lineRule="auto"/>
        <w:ind w:right="105"/>
        <w:jc w:val="right"/>
        <w:rPr>
          <w:color w:val="000000"/>
          <w:sz w:val="24"/>
        </w:rPr>
      </w:pPr>
      <w:r w:rsidRPr="006A1080">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9"/>
        <w:gridCol w:w="1799"/>
        <w:gridCol w:w="1800"/>
        <w:gridCol w:w="1800"/>
        <w:gridCol w:w="1800"/>
      </w:tblGrid>
      <w:tr w:rsidR="00604AF1" w:rsidRPr="00CB1276"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交银理财</w:t>
            </w:r>
            <w:r>
              <w:rPr>
                <w:rFonts w:hint="eastAsia"/>
                <w:bCs/>
                <w:color w:val="000000"/>
                <w:sz w:val="24"/>
              </w:rPr>
              <w:t>60</w:t>
            </w:r>
            <w:r>
              <w:rPr>
                <w:rFonts w:hint="eastAsia"/>
                <w:bCs/>
                <w:color w:val="000000"/>
                <w:sz w:val="24"/>
              </w:rPr>
              <w:t>天债券</w:t>
            </w:r>
            <w:r>
              <w:rPr>
                <w:rFonts w:hint="eastAsia"/>
                <w:bCs/>
                <w:color w:val="000000"/>
                <w:sz w:val="24"/>
              </w:rPr>
              <w:t>B</w:t>
            </w:r>
            <w:r w:rsidR="00604AF1" w:rsidRPr="00251664">
              <w:rPr>
                <w:rFonts w:hint="eastAsia"/>
                <w:bCs/>
                <w:color w:val="000000"/>
                <w:sz w:val="24"/>
              </w:rPr>
              <w:t>本期末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交银理财</w:t>
            </w:r>
            <w:r>
              <w:rPr>
                <w:rFonts w:hint="eastAsia"/>
                <w:bCs/>
                <w:color w:val="000000"/>
                <w:sz w:val="24"/>
              </w:rPr>
              <w:t>60</w:t>
            </w:r>
            <w:r>
              <w:rPr>
                <w:rFonts w:hint="eastAsia"/>
                <w:bCs/>
                <w:color w:val="000000"/>
                <w:sz w:val="24"/>
              </w:rPr>
              <w:t>天债券</w:t>
            </w:r>
            <w:r>
              <w:rPr>
                <w:rFonts w:hint="eastAsia"/>
                <w:bCs/>
                <w:color w:val="000000"/>
                <w:sz w:val="24"/>
              </w:rPr>
              <w:t>B</w:t>
            </w:r>
            <w:r w:rsidR="00604AF1" w:rsidRPr="00251664">
              <w:rPr>
                <w:rFonts w:hint="eastAsia"/>
                <w:bCs/>
                <w:color w:val="000000"/>
                <w:sz w:val="24"/>
              </w:rPr>
              <w:t>上年度末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bCs/>
                <w:color w:val="000000"/>
                <w:sz w:val="24"/>
              </w:rPr>
              <w:t>2017</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604AF1" w:rsidRPr="00CB1276"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r>
      <w:tr w:rsidR="006E4BA5">
        <w:tc>
          <w:tcPr>
            <w:tcW w:w="1799" w:type="dxa"/>
            <w:vAlign w:val="center"/>
          </w:tcPr>
          <w:p w:rsidR="006E4BA5" w:rsidRDefault="00072BEF">
            <w:pPr>
              <w:jc w:val="center"/>
            </w:pPr>
            <w:r>
              <w:rPr>
                <w:rFonts w:hint="eastAsia"/>
                <w:sz w:val="24"/>
              </w:rPr>
              <w:t>交银施罗德资产管理有限公司</w:t>
            </w:r>
          </w:p>
        </w:tc>
        <w:tc>
          <w:tcPr>
            <w:tcW w:w="1799" w:type="dxa"/>
            <w:vAlign w:val="center"/>
          </w:tcPr>
          <w:p w:rsidR="006E4BA5" w:rsidRDefault="00072BEF">
            <w:pPr>
              <w:jc w:val="center"/>
            </w:pPr>
            <w:r>
              <w:rPr>
                <w:rFonts w:hint="eastAsia"/>
                <w:sz w:val="24"/>
              </w:rPr>
              <w:t>302,207,561.13</w:t>
            </w:r>
          </w:p>
        </w:tc>
        <w:tc>
          <w:tcPr>
            <w:tcW w:w="1800" w:type="dxa"/>
            <w:vAlign w:val="center"/>
          </w:tcPr>
          <w:p w:rsidR="006E4BA5" w:rsidRDefault="00072BEF">
            <w:pPr>
              <w:jc w:val="center"/>
            </w:pPr>
            <w:r>
              <w:rPr>
                <w:rFonts w:hint="eastAsia"/>
                <w:sz w:val="24"/>
              </w:rPr>
              <w:t>2.57%</w:t>
            </w:r>
          </w:p>
        </w:tc>
        <w:tc>
          <w:tcPr>
            <w:tcW w:w="1800" w:type="dxa"/>
            <w:vAlign w:val="center"/>
          </w:tcPr>
          <w:p w:rsidR="006E4BA5" w:rsidRDefault="00072BEF">
            <w:pPr>
              <w:jc w:val="center"/>
            </w:pPr>
            <w:r>
              <w:rPr>
                <w:rFonts w:hint="eastAsia"/>
                <w:sz w:val="24"/>
              </w:rPr>
              <w:t>-</w:t>
            </w:r>
          </w:p>
        </w:tc>
        <w:tc>
          <w:tcPr>
            <w:tcW w:w="1800" w:type="dxa"/>
            <w:vAlign w:val="center"/>
          </w:tcPr>
          <w:p w:rsidR="006E4BA5" w:rsidRDefault="00072BEF">
            <w:pPr>
              <w:jc w:val="center"/>
            </w:pPr>
            <w:r>
              <w:rPr>
                <w:rFonts w:hint="eastAsia"/>
                <w:sz w:val="24"/>
              </w:rPr>
              <w:t>-</w:t>
            </w:r>
          </w:p>
        </w:tc>
      </w:tr>
      <w:tr w:rsidR="006E4BA5">
        <w:tc>
          <w:tcPr>
            <w:tcW w:w="1799" w:type="dxa"/>
            <w:vAlign w:val="center"/>
          </w:tcPr>
          <w:p w:rsidR="006E4BA5" w:rsidRDefault="00072BEF">
            <w:pPr>
              <w:jc w:val="center"/>
            </w:pPr>
            <w:r>
              <w:rPr>
                <w:rFonts w:hint="eastAsia"/>
                <w:sz w:val="24"/>
              </w:rPr>
              <w:t>上海直源投资管理有限公司</w:t>
            </w:r>
          </w:p>
        </w:tc>
        <w:tc>
          <w:tcPr>
            <w:tcW w:w="1799" w:type="dxa"/>
            <w:vAlign w:val="center"/>
          </w:tcPr>
          <w:p w:rsidR="006E4BA5" w:rsidRDefault="00072BEF">
            <w:pPr>
              <w:jc w:val="center"/>
            </w:pPr>
            <w:r>
              <w:rPr>
                <w:rFonts w:hint="eastAsia"/>
                <w:sz w:val="24"/>
              </w:rPr>
              <w:t>7,335,018.45</w:t>
            </w:r>
          </w:p>
        </w:tc>
        <w:tc>
          <w:tcPr>
            <w:tcW w:w="1800" w:type="dxa"/>
            <w:vAlign w:val="center"/>
          </w:tcPr>
          <w:p w:rsidR="006E4BA5" w:rsidRDefault="00072BEF">
            <w:pPr>
              <w:jc w:val="center"/>
            </w:pPr>
            <w:r>
              <w:rPr>
                <w:rFonts w:hint="eastAsia"/>
                <w:sz w:val="24"/>
              </w:rPr>
              <w:t>0.06%</w:t>
            </w:r>
          </w:p>
        </w:tc>
        <w:tc>
          <w:tcPr>
            <w:tcW w:w="1800" w:type="dxa"/>
            <w:vAlign w:val="center"/>
          </w:tcPr>
          <w:p w:rsidR="006E4BA5" w:rsidRDefault="00072BEF">
            <w:pPr>
              <w:jc w:val="center"/>
            </w:pPr>
            <w:r>
              <w:rPr>
                <w:rFonts w:hint="eastAsia"/>
                <w:sz w:val="24"/>
              </w:rPr>
              <w:t>-</w:t>
            </w:r>
          </w:p>
        </w:tc>
        <w:tc>
          <w:tcPr>
            <w:tcW w:w="1800" w:type="dxa"/>
            <w:vAlign w:val="center"/>
          </w:tcPr>
          <w:p w:rsidR="006E4BA5" w:rsidRDefault="00072BEF">
            <w:pPr>
              <w:jc w:val="center"/>
            </w:pPr>
            <w:r>
              <w:rPr>
                <w:rFonts w:hint="eastAsia"/>
                <w:sz w:val="24"/>
              </w:rPr>
              <w:t>-</w:t>
            </w:r>
          </w:p>
        </w:tc>
      </w:tr>
      <w:tr w:rsidR="006E4BA5">
        <w:tc>
          <w:tcPr>
            <w:tcW w:w="1799" w:type="dxa"/>
            <w:vAlign w:val="center"/>
          </w:tcPr>
          <w:p w:rsidR="006E4BA5" w:rsidRDefault="00072BEF">
            <w:pPr>
              <w:jc w:val="center"/>
            </w:pPr>
            <w:r>
              <w:rPr>
                <w:rFonts w:hint="eastAsia"/>
                <w:sz w:val="24"/>
              </w:rPr>
              <w:t>交通银行股份有限公司</w:t>
            </w:r>
          </w:p>
        </w:tc>
        <w:tc>
          <w:tcPr>
            <w:tcW w:w="1799" w:type="dxa"/>
            <w:vAlign w:val="center"/>
          </w:tcPr>
          <w:p w:rsidR="006E4BA5" w:rsidRDefault="00072BEF">
            <w:pPr>
              <w:jc w:val="center"/>
            </w:pPr>
            <w:r>
              <w:rPr>
                <w:rFonts w:hint="eastAsia"/>
                <w:sz w:val="24"/>
              </w:rPr>
              <w:t>16,044,082.18</w:t>
            </w:r>
          </w:p>
        </w:tc>
        <w:tc>
          <w:tcPr>
            <w:tcW w:w="1800" w:type="dxa"/>
            <w:vAlign w:val="center"/>
          </w:tcPr>
          <w:p w:rsidR="006E4BA5" w:rsidRDefault="00072BEF">
            <w:pPr>
              <w:jc w:val="center"/>
            </w:pPr>
            <w:r>
              <w:rPr>
                <w:rFonts w:hint="eastAsia"/>
                <w:sz w:val="24"/>
              </w:rPr>
              <w:t>0.14%</w:t>
            </w:r>
          </w:p>
        </w:tc>
        <w:tc>
          <w:tcPr>
            <w:tcW w:w="1800" w:type="dxa"/>
            <w:vAlign w:val="center"/>
          </w:tcPr>
          <w:p w:rsidR="006E4BA5" w:rsidRDefault="00072BEF">
            <w:pPr>
              <w:jc w:val="center"/>
            </w:pPr>
            <w:r>
              <w:rPr>
                <w:rFonts w:hint="eastAsia"/>
                <w:sz w:val="24"/>
              </w:rPr>
              <w:t>-</w:t>
            </w:r>
          </w:p>
        </w:tc>
        <w:tc>
          <w:tcPr>
            <w:tcW w:w="1800" w:type="dxa"/>
            <w:vAlign w:val="center"/>
          </w:tcPr>
          <w:p w:rsidR="006E4BA5" w:rsidRDefault="00072BEF">
            <w:pPr>
              <w:jc w:val="center"/>
            </w:pPr>
            <w:r>
              <w:rPr>
                <w:rFonts w:hint="eastAsia"/>
                <w:sz w:val="24"/>
              </w:rPr>
              <w:t>-</w:t>
            </w:r>
          </w:p>
        </w:tc>
      </w:tr>
    </w:tbl>
    <w:p w:rsidR="00604AF1" w:rsidRPr="005124D4" w:rsidRDefault="004E65B4" w:rsidP="005124D4">
      <w:pPr>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6D141C" w:rsidRPr="00F35CA1" w:rsidRDefault="006D141C" w:rsidP="004B36C2">
      <w:pPr>
        <w:spacing w:line="360" w:lineRule="auto"/>
        <w:rPr>
          <w:rFonts w:asciiTheme="minorEastAsia" w:eastAsiaTheme="minorEastAsia" w:hAnsiTheme="minorEastAsia"/>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2018</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2018</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6E4BA5">
        <w:tc>
          <w:tcPr>
            <w:tcW w:w="1799" w:type="dxa"/>
            <w:vAlign w:val="center"/>
          </w:tcPr>
          <w:p w:rsidR="006E4BA5" w:rsidRDefault="00072BEF">
            <w:pPr>
              <w:jc w:val="center"/>
            </w:pPr>
            <w:r>
              <w:rPr>
                <w:rFonts w:hint="eastAsia"/>
                <w:szCs w:val="21"/>
              </w:rPr>
              <w:t>中国建设银行</w:t>
            </w:r>
          </w:p>
        </w:tc>
        <w:tc>
          <w:tcPr>
            <w:tcW w:w="1799" w:type="dxa"/>
            <w:vAlign w:val="center"/>
          </w:tcPr>
          <w:p w:rsidR="006E4BA5" w:rsidRDefault="00072BEF">
            <w:pPr>
              <w:jc w:val="center"/>
            </w:pPr>
            <w:r>
              <w:rPr>
                <w:rFonts w:hint="eastAsia"/>
                <w:szCs w:val="21"/>
              </w:rPr>
              <w:t>1,037,495.79</w:t>
            </w:r>
          </w:p>
        </w:tc>
        <w:tc>
          <w:tcPr>
            <w:tcW w:w="1800" w:type="dxa"/>
            <w:vAlign w:val="center"/>
          </w:tcPr>
          <w:p w:rsidR="006E4BA5" w:rsidRDefault="00072BEF">
            <w:pPr>
              <w:jc w:val="center"/>
            </w:pPr>
            <w:r>
              <w:rPr>
                <w:rFonts w:hint="eastAsia"/>
                <w:szCs w:val="21"/>
              </w:rPr>
              <w:t>90,761.46</w:t>
            </w:r>
          </w:p>
        </w:tc>
        <w:tc>
          <w:tcPr>
            <w:tcW w:w="1800" w:type="dxa"/>
            <w:vAlign w:val="center"/>
          </w:tcPr>
          <w:p w:rsidR="006E4BA5" w:rsidRDefault="00072BEF">
            <w:pPr>
              <w:jc w:val="center"/>
            </w:pPr>
            <w:r>
              <w:rPr>
                <w:rFonts w:hint="eastAsia"/>
                <w:szCs w:val="21"/>
              </w:rPr>
              <w:t>5,719,176.14</w:t>
            </w:r>
          </w:p>
        </w:tc>
        <w:tc>
          <w:tcPr>
            <w:tcW w:w="1800" w:type="dxa"/>
            <w:vAlign w:val="center"/>
          </w:tcPr>
          <w:p w:rsidR="006E4BA5" w:rsidRDefault="00072BEF">
            <w:pPr>
              <w:jc w:val="center"/>
            </w:pPr>
            <w:r>
              <w:rPr>
                <w:rFonts w:hint="eastAsia"/>
                <w:szCs w:val="21"/>
              </w:rPr>
              <w:t>131,503.92</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注：本基金的银行存款由基金托管人保管，按银行同业利率计息。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本基金本报告期内及上年度可比期间未在承销期内参与关联方承销的证券。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2018</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Pr="005124D4" w:rsidRDefault="007A07D1" w:rsidP="005124D4">
      <w:pPr>
        <w:spacing w:before="29" w:line="288" w:lineRule="auto"/>
        <w:jc w:val="left"/>
        <w:rPr>
          <w:kern w:val="0"/>
          <w:sz w:val="24"/>
        </w:rPr>
      </w:pPr>
      <w:r w:rsidRPr="005124D4">
        <w:rPr>
          <w:rFonts w:hint="eastAsia"/>
          <w:kern w:val="0"/>
          <w:sz w:val="24"/>
        </w:rPr>
        <w:t>本基金本期末无因认购新发</w:t>
      </w:r>
      <w:r w:rsidRPr="005124D4">
        <w:rPr>
          <w:rFonts w:hint="eastAsia"/>
          <w:kern w:val="0"/>
          <w:sz w:val="24"/>
        </w:rPr>
        <w:t>/</w:t>
      </w:r>
      <w:r w:rsidRPr="005124D4">
        <w:rPr>
          <w:rFonts w:hint="eastAsia"/>
          <w:kern w:val="0"/>
          <w:sz w:val="24"/>
        </w:rPr>
        <w:t>增发证券而于期末持有的流通受限证券。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Pr="005124D4" w:rsidRDefault="006D141C" w:rsidP="005124D4">
      <w:pPr>
        <w:spacing w:before="29" w:line="288" w:lineRule="auto"/>
        <w:jc w:val="left"/>
        <w:rPr>
          <w:kern w:val="0"/>
          <w:sz w:val="24"/>
        </w:rPr>
      </w:pPr>
      <w:r w:rsidRPr="005124D4">
        <w:rPr>
          <w:rFonts w:hint="eastAsia"/>
          <w:kern w:val="0"/>
          <w:sz w:val="24"/>
        </w:rPr>
        <w:t>本基金本期末未持有暂时停牌等流通受限股票。</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银行间市场债券正回购</w:t>
      </w:r>
    </w:p>
    <w:p w:rsidR="006D141C" w:rsidRPr="002D470E" w:rsidRDefault="006D141C" w:rsidP="002D470E">
      <w:pPr>
        <w:spacing w:before="29" w:line="288" w:lineRule="auto"/>
        <w:ind w:firstLineChars="200" w:firstLine="480"/>
        <w:rPr>
          <w:color w:val="000000"/>
          <w:sz w:val="24"/>
        </w:rPr>
      </w:pPr>
      <w:r w:rsidRPr="002D470E">
        <w:rPr>
          <w:rFonts w:hint="eastAsia"/>
          <w:color w:val="000000"/>
          <w:sz w:val="24"/>
        </w:rPr>
        <w:t>截至本报告期末</w:t>
      </w:r>
      <w:r w:rsidRPr="002D470E">
        <w:rPr>
          <w:rFonts w:hint="eastAsia"/>
          <w:color w:val="000000"/>
          <w:sz w:val="24"/>
        </w:rPr>
        <w:t>2018</w:t>
      </w:r>
      <w:r w:rsidRPr="002D470E">
        <w:rPr>
          <w:rFonts w:hint="eastAsia"/>
          <w:color w:val="000000"/>
          <w:sz w:val="24"/>
        </w:rPr>
        <w:t>年</w:t>
      </w:r>
      <w:r w:rsidRPr="002D470E">
        <w:rPr>
          <w:rFonts w:hint="eastAsia"/>
          <w:color w:val="000000"/>
          <w:sz w:val="24"/>
        </w:rPr>
        <w:t>12</w:t>
      </w:r>
      <w:r w:rsidRPr="002D470E">
        <w:rPr>
          <w:rFonts w:hint="eastAsia"/>
          <w:color w:val="000000"/>
          <w:sz w:val="24"/>
        </w:rPr>
        <w:t>月</w:t>
      </w:r>
      <w:r w:rsidRPr="002D470E">
        <w:rPr>
          <w:rFonts w:hint="eastAsia"/>
          <w:color w:val="000000"/>
          <w:sz w:val="24"/>
        </w:rPr>
        <w:t>31</w:t>
      </w:r>
      <w:r w:rsidRPr="002D470E">
        <w:rPr>
          <w:rFonts w:hint="eastAsia"/>
          <w:color w:val="000000"/>
          <w:sz w:val="24"/>
        </w:rPr>
        <w:t>日止，本基金从事银行间市场债券正回购交易形成的卖出回购证券款余额</w:t>
      </w:r>
      <w:r w:rsidRPr="002D470E">
        <w:rPr>
          <w:rFonts w:hint="eastAsia"/>
          <w:color w:val="000000"/>
          <w:sz w:val="24"/>
        </w:rPr>
        <w:t>645,259,032.10</w:t>
      </w:r>
      <w:r w:rsidRPr="002D470E">
        <w:rPr>
          <w:rFonts w:hint="eastAsia"/>
          <w:color w:val="000000"/>
          <w:sz w:val="24"/>
        </w:rPr>
        <w:t>元，是以如下债券作为抵押：</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CB1276"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期末估值总额</w:t>
            </w:r>
          </w:p>
        </w:tc>
      </w:tr>
      <w:tr w:rsidR="006E4BA5">
        <w:tc>
          <w:tcPr>
            <w:tcW w:w="1500" w:type="dxa"/>
            <w:vAlign w:val="center"/>
          </w:tcPr>
          <w:p w:rsidR="006E4BA5" w:rsidRDefault="00072BEF">
            <w:pPr>
              <w:jc w:val="center"/>
            </w:pPr>
            <w:r>
              <w:rPr>
                <w:rFonts w:hint="eastAsia"/>
                <w:sz w:val="24"/>
              </w:rPr>
              <w:t>180404</w:t>
            </w:r>
          </w:p>
        </w:tc>
        <w:tc>
          <w:tcPr>
            <w:tcW w:w="1500" w:type="dxa"/>
            <w:vAlign w:val="center"/>
          </w:tcPr>
          <w:p w:rsidR="006E4BA5" w:rsidRDefault="00072BEF">
            <w:pPr>
              <w:jc w:val="center"/>
            </w:pPr>
            <w:r>
              <w:rPr>
                <w:rFonts w:hint="eastAsia"/>
                <w:sz w:val="24"/>
              </w:rPr>
              <w:t>18</w:t>
            </w:r>
            <w:r>
              <w:rPr>
                <w:rFonts w:hint="eastAsia"/>
                <w:sz w:val="24"/>
              </w:rPr>
              <w:t>农发</w:t>
            </w:r>
            <w:r>
              <w:rPr>
                <w:rFonts w:hint="eastAsia"/>
                <w:sz w:val="24"/>
              </w:rPr>
              <w:t>04</w:t>
            </w:r>
          </w:p>
        </w:tc>
        <w:tc>
          <w:tcPr>
            <w:tcW w:w="1500" w:type="dxa"/>
            <w:vAlign w:val="center"/>
          </w:tcPr>
          <w:p w:rsidR="006E4BA5" w:rsidRDefault="00072BEF">
            <w:pPr>
              <w:jc w:val="center"/>
            </w:pPr>
            <w:r>
              <w:rPr>
                <w:rFonts w:hint="eastAsia"/>
                <w:sz w:val="24"/>
              </w:rPr>
              <w:t>2019-01-02</w:t>
            </w:r>
          </w:p>
        </w:tc>
        <w:tc>
          <w:tcPr>
            <w:tcW w:w="1260" w:type="dxa"/>
            <w:vAlign w:val="center"/>
          </w:tcPr>
          <w:p w:rsidR="006E4BA5" w:rsidRDefault="00072BEF">
            <w:pPr>
              <w:jc w:val="right"/>
            </w:pPr>
            <w:r>
              <w:rPr>
                <w:rFonts w:hint="eastAsia"/>
                <w:sz w:val="24"/>
              </w:rPr>
              <w:t>100.12</w:t>
            </w:r>
          </w:p>
        </w:tc>
        <w:tc>
          <w:tcPr>
            <w:tcW w:w="1440" w:type="dxa"/>
            <w:vAlign w:val="center"/>
          </w:tcPr>
          <w:p w:rsidR="006E4BA5" w:rsidRDefault="00072BEF">
            <w:pPr>
              <w:jc w:val="right"/>
            </w:pPr>
            <w:r>
              <w:rPr>
                <w:rFonts w:hint="eastAsia"/>
                <w:sz w:val="24"/>
              </w:rPr>
              <w:t>1,490,000</w:t>
            </w:r>
          </w:p>
        </w:tc>
        <w:tc>
          <w:tcPr>
            <w:tcW w:w="1836" w:type="dxa"/>
            <w:vAlign w:val="center"/>
          </w:tcPr>
          <w:p w:rsidR="006E4BA5" w:rsidRDefault="00072BEF">
            <w:pPr>
              <w:jc w:val="right"/>
            </w:pPr>
            <w:r>
              <w:rPr>
                <w:rFonts w:hint="eastAsia"/>
                <w:sz w:val="24"/>
              </w:rPr>
              <w:t>149,183,020.41</w:t>
            </w:r>
          </w:p>
        </w:tc>
      </w:tr>
      <w:tr w:rsidR="006E4BA5">
        <w:tc>
          <w:tcPr>
            <w:tcW w:w="1500" w:type="dxa"/>
            <w:vAlign w:val="center"/>
          </w:tcPr>
          <w:p w:rsidR="006E4BA5" w:rsidRDefault="00072BEF">
            <w:pPr>
              <w:jc w:val="center"/>
            </w:pPr>
            <w:r>
              <w:rPr>
                <w:rFonts w:hint="eastAsia"/>
                <w:sz w:val="24"/>
              </w:rPr>
              <w:t>180201</w:t>
            </w:r>
          </w:p>
        </w:tc>
        <w:tc>
          <w:tcPr>
            <w:tcW w:w="1500" w:type="dxa"/>
            <w:vAlign w:val="center"/>
          </w:tcPr>
          <w:p w:rsidR="006E4BA5" w:rsidRDefault="00072BEF">
            <w:pPr>
              <w:jc w:val="center"/>
            </w:pPr>
            <w:r>
              <w:rPr>
                <w:rFonts w:hint="eastAsia"/>
                <w:sz w:val="24"/>
              </w:rPr>
              <w:t>18</w:t>
            </w:r>
            <w:r>
              <w:rPr>
                <w:rFonts w:hint="eastAsia"/>
                <w:sz w:val="24"/>
              </w:rPr>
              <w:t>国开</w:t>
            </w:r>
            <w:r>
              <w:rPr>
                <w:rFonts w:hint="eastAsia"/>
                <w:sz w:val="24"/>
              </w:rPr>
              <w:t>01</w:t>
            </w:r>
          </w:p>
        </w:tc>
        <w:tc>
          <w:tcPr>
            <w:tcW w:w="1500" w:type="dxa"/>
            <w:vAlign w:val="center"/>
          </w:tcPr>
          <w:p w:rsidR="006E4BA5" w:rsidRDefault="00072BEF">
            <w:pPr>
              <w:jc w:val="center"/>
            </w:pPr>
            <w:r>
              <w:rPr>
                <w:rFonts w:hint="eastAsia"/>
                <w:sz w:val="24"/>
              </w:rPr>
              <w:t>2019-01-02</w:t>
            </w:r>
          </w:p>
        </w:tc>
        <w:tc>
          <w:tcPr>
            <w:tcW w:w="1260" w:type="dxa"/>
            <w:vAlign w:val="center"/>
          </w:tcPr>
          <w:p w:rsidR="006E4BA5" w:rsidRDefault="00072BEF">
            <w:pPr>
              <w:jc w:val="right"/>
            </w:pPr>
            <w:r>
              <w:rPr>
                <w:rFonts w:hint="eastAsia"/>
                <w:sz w:val="24"/>
              </w:rPr>
              <w:t>100.04</w:t>
            </w:r>
          </w:p>
        </w:tc>
        <w:tc>
          <w:tcPr>
            <w:tcW w:w="1440" w:type="dxa"/>
            <w:vAlign w:val="center"/>
          </w:tcPr>
          <w:p w:rsidR="006E4BA5" w:rsidRDefault="00072BEF">
            <w:pPr>
              <w:jc w:val="right"/>
            </w:pPr>
            <w:r>
              <w:rPr>
                <w:rFonts w:hint="eastAsia"/>
                <w:sz w:val="24"/>
              </w:rPr>
              <w:t>1,400,000</w:t>
            </w:r>
          </w:p>
        </w:tc>
        <w:tc>
          <w:tcPr>
            <w:tcW w:w="1836" w:type="dxa"/>
            <w:vAlign w:val="center"/>
          </w:tcPr>
          <w:p w:rsidR="006E4BA5" w:rsidRDefault="00072BEF">
            <w:pPr>
              <w:jc w:val="right"/>
            </w:pPr>
            <w:r>
              <w:rPr>
                <w:rFonts w:hint="eastAsia"/>
                <w:sz w:val="24"/>
              </w:rPr>
              <w:t>140,060,361.59</w:t>
            </w:r>
          </w:p>
        </w:tc>
      </w:tr>
      <w:tr w:rsidR="006E4BA5">
        <w:tc>
          <w:tcPr>
            <w:tcW w:w="1500" w:type="dxa"/>
            <w:vAlign w:val="center"/>
          </w:tcPr>
          <w:p w:rsidR="006E4BA5" w:rsidRDefault="00072BEF">
            <w:pPr>
              <w:jc w:val="center"/>
            </w:pPr>
            <w:r>
              <w:rPr>
                <w:rFonts w:hint="eastAsia"/>
                <w:sz w:val="24"/>
              </w:rPr>
              <w:t>180301</w:t>
            </w:r>
          </w:p>
        </w:tc>
        <w:tc>
          <w:tcPr>
            <w:tcW w:w="1500" w:type="dxa"/>
            <w:vAlign w:val="center"/>
          </w:tcPr>
          <w:p w:rsidR="006E4BA5" w:rsidRDefault="00072BEF">
            <w:pPr>
              <w:jc w:val="center"/>
            </w:pPr>
            <w:r>
              <w:rPr>
                <w:rFonts w:hint="eastAsia"/>
                <w:sz w:val="24"/>
              </w:rPr>
              <w:t>18</w:t>
            </w:r>
            <w:r>
              <w:rPr>
                <w:rFonts w:hint="eastAsia"/>
                <w:sz w:val="24"/>
              </w:rPr>
              <w:t>进出</w:t>
            </w:r>
            <w:r>
              <w:rPr>
                <w:rFonts w:hint="eastAsia"/>
                <w:sz w:val="24"/>
              </w:rPr>
              <w:t>01</w:t>
            </w:r>
          </w:p>
        </w:tc>
        <w:tc>
          <w:tcPr>
            <w:tcW w:w="1500" w:type="dxa"/>
            <w:vAlign w:val="center"/>
          </w:tcPr>
          <w:p w:rsidR="006E4BA5" w:rsidRDefault="00072BEF">
            <w:pPr>
              <w:jc w:val="center"/>
            </w:pPr>
            <w:r>
              <w:rPr>
                <w:rFonts w:hint="eastAsia"/>
                <w:sz w:val="24"/>
              </w:rPr>
              <w:t>2019-01-02</w:t>
            </w:r>
          </w:p>
        </w:tc>
        <w:tc>
          <w:tcPr>
            <w:tcW w:w="1260" w:type="dxa"/>
            <w:vAlign w:val="center"/>
          </w:tcPr>
          <w:p w:rsidR="006E4BA5" w:rsidRDefault="00072BEF">
            <w:pPr>
              <w:jc w:val="right"/>
            </w:pPr>
            <w:r>
              <w:rPr>
                <w:rFonts w:hint="eastAsia"/>
                <w:sz w:val="24"/>
              </w:rPr>
              <w:t>100.00</w:t>
            </w:r>
          </w:p>
        </w:tc>
        <w:tc>
          <w:tcPr>
            <w:tcW w:w="1440" w:type="dxa"/>
            <w:vAlign w:val="center"/>
          </w:tcPr>
          <w:p w:rsidR="006E4BA5" w:rsidRDefault="00072BEF">
            <w:pPr>
              <w:jc w:val="right"/>
            </w:pPr>
            <w:r>
              <w:rPr>
                <w:rFonts w:hint="eastAsia"/>
                <w:sz w:val="24"/>
              </w:rPr>
              <w:t>131,000</w:t>
            </w:r>
          </w:p>
        </w:tc>
        <w:tc>
          <w:tcPr>
            <w:tcW w:w="1836" w:type="dxa"/>
            <w:vAlign w:val="center"/>
          </w:tcPr>
          <w:p w:rsidR="006E4BA5" w:rsidRDefault="00072BEF">
            <w:pPr>
              <w:jc w:val="right"/>
            </w:pPr>
            <w:r>
              <w:rPr>
                <w:rFonts w:hint="eastAsia"/>
                <w:sz w:val="24"/>
              </w:rPr>
              <w:t>13,099,608.88</w:t>
            </w:r>
          </w:p>
        </w:tc>
      </w:tr>
      <w:tr w:rsidR="006E4BA5">
        <w:tc>
          <w:tcPr>
            <w:tcW w:w="1500" w:type="dxa"/>
            <w:vAlign w:val="center"/>
          </w:tcPr>
          <w:p w:rsidR="006E4BA5" w:rsidRDefault="00072BEF">
            <w:pPr>
              <w:jc w:val="center"/>
            </w:pPr>
            <w:r>
              <w:rPr>
                <w:rFonts w:hint="eastAsia"/>
                <w:sz w:val="24"/>
              </w:rPr>
              <w:t>111884502</w:t>
            </w:r>
          </w:p>
        </w:tc>
        <w:tc>
          <w:tcPr>
            <w:tcW w:w="1500" w:type="dxa"/>
            <w:vAlign w:val="center"/>
          </w:tcPr>
          <w:p w:rsidR="006E4BA5" w:rsidRDefault="00072BEF">
            <w:pPr>
              <w:jc w:val="center"/>
            </w:pPr>
            <w:r>
              <w:rPr>
                <w:rFonts w:hint="eastAsia"/>
                <w:sz w:val="24"/>
              </w:rPr>
              <w:t>18</w:t>
            </w:r>
            <w:r>
              <w:rPr>
                <w:rFonts w:hint="eastAsia"/>
                <w:sz w:val="24"/>
              </w:rPr>
              <w:t>昆山农村商行</w:t>
            </w:r>
            <w:r>
              <w:rPr>
                <w:rFonts w:hint="eastAsia"/>
                <w:sz w:val="24"/>
              </w:rPr>
              <w:t>CD027</w:t>
            </w:r>
          </w:p>
        </w:tc>
        <w:tc>
          <w:tcPr>
            <w:tcW w:w="1500" w:type="dxa"/>
            <w:vAlign w:val="center"/>
          </w:tcPr>
          <w:p w:rsidR="006E4BA5" w:rsidRDefault="00072BEF">
            <w:pPr>
              <w:jc w:val="center"/>
            </w:pPr>
            <w:r>
              <w:rPr>
                <w:rFonts w:hint="eastAsia"/>
                <w:sz w:val="24"/>
              </w:rPr>
              <w:t>2019-01-02</w:t>
            </w:r>
          </w:p>
        </w:tc>
        <w:tc>
          <w:tcPr>
            <w:tcW w:w="1260" w:type="dxa"/>
            <w:vAlign w:val="center"/>
          </w:tcPr>
          <w:p w:rsidR="006E4BA5" w:rsidRDefault="00072BEF">
            <w:pPr>
              <w:jc w:val="right"/>
            </w:pPr>
            <w:r>
              <w:rPr>
                <w:rFonts w:hint="eastAsia"/>
                <w:sz w:val="24"/>
              </w:rPr>
              <w:t>99.38</w:t>
            </w:r>
          </w:p>
        </w:tc>
        <w:tc>
          <w:tcPr>
            <w:tcW w:w="1440" w:type="dxa"/>
            <w:vAlign w:val="center"/>
          </w:tcPr>
          <w:p w:rsidR="006E4BA5" w:rsidRDefault="00072BEF">
            <w:pPr>
              <w:jc w:val="right"/>
            </w:pPr>
            <w:r>
              <w:rPr>
                <w:rFonts w:hint="eastAsia"/>
                <w:sz w:val="24"/>
              </w:rPr>
              <w:t>916,000</w:t>
            </w:r>
          </w:p>
        </w:tc>
        <w:tc>
          <w:tcPr>
            <w:tcW w:w="1836" w:type="dxa"/>
            <w:vAlign w:val="center"/>
          </w:tcPr>
          <w:p w:rsidR="006E4BA5" w:rsidRDefault="00072BEF">
            <w:pPr>
              <w:jc w:val="right"/>
            </w:pPr>
            <w:r>
              <w:rPr>
                <w:rFonts w:hint="eastAsia"/>
                <w:sz w:val="24"/>
              </w:rPr>
              <w:t>91,027,731.04</w:t>
            </w:r>
          </w:p>
        </w:tc>
      </w:tr>
      <w:tr w:rsidR="006E4BA5">
        <w:tc>
          <w:tcPr>
            <w:tcW w:w="1500" w:type="dxa"/>
            <w:vAlign w:val="center"/>
          </w:tcPr>
          <w:p w:rsidR="006E4BA5" w:rsidRDefault="00072BEF">
            <w:pPr>
              <w:jc w:val="center"/>
            </w:pPr>
            <w:r>
              <w:rPr>
                <w:rFonts w:hint="eastAsia"/>
                <w:sz w:val="24"/>
              </w:rPr>
              <w:t>189950</w:t>
            </w:r>
          </w:p>
        </w:tc>
        <w:tc>
          <w:tcPr>
            <w:tcW w:w="1500" w:type="dxa"/>
            <w:vAlign w:val="center"/>
          </w:tcPr>
          <w:p w:rsidR="006E4BA5" w:rsidRDefault="00072BEF">
            <w:pPr>
              <w:jc w:val="center"/>
            </w:pPr>
            <w:r>
              <w:rPr>
                <w:rFonts w:hint="eastAsia"/>
                <w:sz w:val="24"/>
              </w:rPr>
              <w:t>18</w:t>
            </w:r>
            <w:r>
              <w:rPr>
                <w:rFonts w:hint="eastAsia"/>
                <w:sz w:val="24"/>
              </w:rPr>
              <w:t>贴现国债</w:t>
            </w:r>
            <w:r>
              <w:rPr>
                <w:rFonts w:hint="eastAsia"/>
                <w:sz w:val="24"/>
              </w:rPr>
              <w:t>50</w:t>
            </w:r>
          </w:p>
        </w:tc>
        <w:tc>
          <w:tcPr>
            <w:tcW w:w="1500" w:type="dxa"/>
            <w:vAlign w:val="center"/>
          </w:tcPr>
          <w:p w:rsidR="006E4BA5" w:rsidRDefault="00072BEF">
            <w:pPr>
              <w:jc w:val="center"/>
            </w:pPr>
            <w:r>
              <w:rPr>
                <w:rFonts w:hint="eastAsia"/>
                <w:sz w:val="24"/>
              </w:rPr>
              <w:t>2019-01-02</w:t>
            </w:r>
          </w:p>
        </w:tc>
        <w:tc>
          <w:tcPr>
            <w:tcW w:w="1260" w:type="dxa"/>
            <w:vAlign w:val="center"/>
          </w:tcPr>
          <w:p w:rsidR="006E4BA5" w:rsidRDefault="00072BEF">
            <w:pPr>
              <w:jc w:val="right"/>
            </w:pPr>
            <w:r>
              <w:rPr>
                <w:rFonts w:hint="eastAsia"/>
                <w:sz w:val="24"/>
              </w:rPr>
              <w:t>99.77</w:t>
            </w:r>
          </w:p>
        </w:tc>
        <w:tc>
          <w:tcPr>
            <w:tcW w:w="1440" w:type="dxa"/>
            <w:vAlign w:val="center"/>
          </w:tcPr>
          <w:p w:rsidR="006E4BA5" w:rsidRDefault="00072BEF">
            <w:pPr>
              <w:jc w:val="right"/>
            </w:pPr>
            <w:r>
              <w:rPr>
                <w:rFonts w:hint="eastAsia"/>
                <w:sz w:val="24"/>
              </w:rPr>
              <w:t>1,062,000</w:t>
            </w:r>
          </w:p>
        </w:tc>
        <w:tc>
          <w:tcPr>
            <w:tcW w:w="1836" w:type="dxa"/>
            <w:vAlign w:val="center"/>
          </w:tcPr>
          <w:p w:rsidR="006E4BA5" w:rsidRDefault="00072BEF">
            <w:pPr>
              <w:jc w:val="right"/>
            </w:pPr>
            <w:r>
              <w:rPr>
                <w:rFonts w:hint="eastAsia"/>
                <w:sz w:val="24"/>
              </w:rPr>
              <w:t>105,959,883.30</w:t>
            </w:r>
          </w:p>
        </w:tc>
      </w:tr>
      <w:tr w:rsidR="006E4BA5">
        <w:tc>
          <w:tcPr>
            <w:tcW w:w="1500" w:type="dxa"/>
            <w:vAlign w:val="center"/>
          </w:tcPr>
          <w:p w:rsidR="006E4BA5" w:rsidRDefault="00072BEF">
            <w:pPr>
              <w:jc w:val="center"/>
            </w:pPr>
            <w:r>
              <w:rPr>
                <w:rFonts w:hint="eastAsia"/>
                <w:sz w:val="24"/>
              </w:rPr>
              <w:t>111814176</w:t>
            </w:r>
          </w:p>
        </w:tc>
        <w:tc>
          <w:tcPr>
            <w:tcW w:w="1500" w:type="dxa"/>
            <w:vAlign w:val="center"/>
          </w:tcPr>
          <w:p w:rsidR="006E4BA5" w:rsidRDefault="00072BEF">
            <w:pPr>
              <w:jc w:val="center"/>
            </w:pPr>
            <w:r>
              <w:rPr>
                <w:rFonts w:hint="eastAsia"/>
                <w:sz w:val="24"/>
              </w:rPr>
              <w:t>18</w:t>
            </w:r>
            <w:r>
              <w:rPr>
                <w:rFonts w:hint="eastAsia"/>
                <w:sz w:val="24"/>
              </w:rPr>
              <w:t>江苏银行</w:t>
            </w:r>
            <w:r>
              <w:rPr>
                <w:rFonts w:hint="eastAsia"/>
                <w:sz w:val="24"/>
              </w:rPr>
              <w:t>CD176</w:t>
            </w:r>
          </w:p>
        </w:tc>
        <w:tc>
          <w:tcPr>
            <w:tcW w:w="1500" w:type="dxa"/>
            <w:vAlign w:val="center"/>
          </w:tcPr>
          <w:p w:rsidR="006E4BA5" w:rsidRDefault="00072BEF">
            <w:pPr>
              <w:jc w:val="center"/>
            </w:pPr>
            <w:r>
              <w:rPr>
                <w:rFonts w:hint="eastAsia"/>
                <w:sz w:val="24"/>
              </w:rPr>
              <w:t>2019-01-02</w:t>
            </w:r>
          </w:p>
        </w:tc>
        <w:tc>
          <w:tcPr>
            <w:tcW w:w="1260" w:type="dxa"/>
            <w:vAlign w:val="center"/>
          </w:tcPr>
          <w:p w:rsidR="006E4BA5" w:rsidRDefault="00072BEF">
            <w:pPr>
              <w:jc w:val="right"/>
            </w:pPr>
            <w:r>
              <w:rPr>
                <w:rFonts w:hint="eastAsia"/>
                <w:sz w:val="24"/>
              </w:rPr>
              <w:t>98.48</w:t>
            </w:r>
          </w:p>
        </w:tc>
        <w:tc>
          <w:tcPr>
            <w:tcW w:w="1440" w:type="dxa"/>
            <w:vAlign w:val="center"/>
          </w:tcPr>
          <w:p w:rsidR="006E4BA5" w:rsidRDefault="00072BEF">
            <w:pPr>
              <w:jc w:val="right"/>
            </w:pPr>
            <w:r>
              <w:rPr>
                <w:rFonts w:hint="eastAsia"/>
                <w:sz w:val="24"/>
              </w:rPr>
              <w:t>422,000</w:t>
            </w:r>
          </w:p>
        </w:tc>
        <w:tc>
          <w:tcPr>
            <w:tcW w:w="1836" w:type="dxa"/>
            <w:vAlign w:val="center"/>
          </w:tcPr>
          <w:p w:rsidR="006E4BA5" w:rsidRDefault="00072BEF">
            <w:pPr>
              <w:jc w:val="right"/>
            </w:pPr>
            <w:r>
              <w:rPr>
                <w:rFonts w:hint="eastAsia"/>
                <w:sz w:val="24"/>
              </w:rPr>
              <w:t>41,556,824.51</w:t>
            </w:r>
          </w:p>
        </w:tc>
      </w:tr>
      <w:tr w:rsidR="006E4BA5">
        <w:tc>
          <w:tcPr>
            <w:tcW w:w="1500" w:type="dxa"/>
            <w:vAlign w:val="center"/>
          </w:tcPr>
          <w:p w:rsidR="006E4BA5" w:rsidRDefault="00072BEF">
            <w:pPr>
              <w:jc w:val="center"/>
            </w:pPr>
            <w:r>
              <w:rPr>
                <w:rFonts w:hint="eastAsia"/>
                <w:sz w:val="24"/>
              </w:rPr>
              <w:t>111814176</w:t>
            </w:r>
          </w:p>
        </w:tc>
        <w:tc>
          <w:tcPr>
            <w:tcW w:w="1500" w:type="dxa"/>
            <w:vAlign w:val="center"/>
          </w:tcPr>
          <w:p w:rsidR="006E4BA5" w:rsidRDefault="00072BEF">
            <w:pPr>
              <w:jc w:val="center"/>
            </w:pPr>
            <w:r>
              <w:rPr>
                <w:rFonts w:hint="eastAsia"/>
                <w:sz w:val="24"/>
              </w:rPr>
              <w:t>18</w:t>
            </w:r>
            <w:r>
              <w:rPr>
                <w:rFonts w:hint="eastAsia"/>
                <w:sz w:val="24"/>
              </w:rPr>
              <w:t>江苏银行</w:t>
            </w:r>
            <w:r>
              <w:rPr>
                <w:rFonts w:hint="eastAsia"/>
                <w:sz w:val="24"/>
              </w:rPr>
              <w:t>CD176</w:t>
            </w:r>
          </w:p>
        </w:tc>
        <w:tc>
          <w:tcPr>
            <w:tcW w:w="1500" w:type="dxa"/>
            <w:vAlign w:val="center"/>
          </w:tcPr>
          <w:p w:rsidR="006E4BA5" w:rsidRDefault="00072BEF">
            <w:pPr>
              <w:jc w:val="center"/>
            </w:pPr>
            <w:r>
              <w:rPr>
                <w:rFonts w:hint="eastAsia"/>
                <w:sz w:val="24"/>
              </w:rPr>
              <w:t>2019-01-02</w:t>
            </w:r>
          </w:p>
        </w:tc>
        <w:tc>
          <w:tcPr>
            <w:tcW w:w="1260" w:type="dxa"/>
            <w:vAlign w:val="center"/>
          </w:tcPr>
          <w:p w:rsidR="006E4BA5" w:rsidRDefault="00072BEF">
            <w:pPr>
              <w:jc w:val="right"/>
            </w:pPr>
            <w:r>
              <w:rPr>
                <w:rFonts w:hint="eastAsia"/>
                <w:sz w:val="24"/>
              </w:rPr>
              <w:t>98.48</w:t>
            </w:r>
          </w:p>
        </w:tc>
        <w:tc>
          <w:tcPr>
            <w:tcW w:w="1440" w:type="dxa"/>
            <w:vAlign w:val="center"/>
          </w:tcPr>
          <w:p w:rsidR="006E4BA5" w:rsidRDefault="00072BEF">
            <w:pPr>
              <w:jc w:val="right"/>
            </w:pPr>
            <w:r>
              <w:rPr>
                <w:rFonts w:hint="eastAsia"/>
                <w:sz w:val="24"/>
              </w:rPr>
              <w:t>207,000</w:t>
            </w:r>
          </w:p>
        </w:tc>
        <w:tc>
          <w:tcPr>
            <w:tcW w:w="1836" w:type="dxa"/>
            <w:vAlign w:val="center"/>
          </w:tcPr>
          <w:p w:rsidR="006E4BA5" w:rsidRDefault="00072BEF">
            <w:pPr>
              <w:jc w:val="right"/>
            </w:pPr>
            <w:r>
              <w:rPr>
                <w:rFonts w:hint="eastAsia"/>
                <w:sz w:val="24"/>
              </w:rPr>
              <w:t>20,384,508.70</w:t>
            </w:r>
          </w:p>
        </w:tc>
      </w:tr>
      <w:tr w:rsidR="006E4BA5">
        <w:tc>
          <w:tcPr>
            <w:tcW w:w="1500" w:type="dxa"/>
            <w:vAlign w:val="center"/>
          </w:tcPr>
          <w:p w:rsidR="006E4BA5" w:rsidRDefault="00072BEF">
            <w:pPr>
              <w:jc w:val="center"/>
            </w:pPr>
            <w:r>
              <w:rPr>
                <w:rFonts w:hint="eastAsia"/>
                <w:sz w:val="24"/>
              </w:rPr>
              <w:t>180301</w:t>
            </w:r>
          </w:p>
        </w:tc>
        <w:tc>
          <w:tcPr>
            <w:tcW w:w="1500" w:type="dxa"/>
            <w:vAlign w:val="center"/>
          </w:tcPr>
          <w:p w:rsidR="006E4BA5" w:rsidRDefault="00072BEF">
            <w:pPr>
              <w:jc w:val="center"/>
            </w:pPr>
            <w:r>
              <w:rPr>
                <w:rFonts w:hint="eastAsia"/>
                <w:sz w:val="24"/>
              </w:rPr>
              <w:t>18</w:t>
            </w:r>
            <w:r>
              <w:rPr>
                <w:rFonts w:hint="eastAsia"/>
                <w:sz w:val="24"/>
              </w:rPr>
              <w:t>进出</w:t>
            </w:r>
            <w:r>
              <w:rPr>
                <w:rFonts w:hint="eastAsia"/>
                <w:sz w:val="24"/>
              </w:rPr>
              <w:t>01</w:t>
            </w:r>
          </w:p>
        </w:tc>
        <w:tc>
          <w:tcPr>
            <w:tcW w:w="1500" w:type="dxa"/>
            <w:vAlign w:val="center"/>
          </w:tcPr>
          <w:p w:rsidR="006E4BA5" w:rsidRDefault="00072BEF">
            <w:pPr>
              <w:jc w:val="center"/>
            </w:pPr>
            <w:r>
              <w:rPr>
                <w:rFonts w:hint="eastAsia"/>
                <w:sz w:val="24"/>
              </w:rPr>
              <w:t>2019-01-04</w:t>
            </w:r>
          </w:p>
        </w:tc>
        <w:tc>
          <w:tcPr>
            <w:tcW w:w="1260" w:type="dxa"/>
            <w:vAlign w:val="center"/>
          </w:tcPr>
          <w:p w:rsidR="006E4BA5" w:rsidRDefault="00072BEF">
            <w:pPr>
              <w:jc w:val="right"/>
            </w:pPr>
            <w:r>
              <w:rPr>
                <w:rFonts w:hint="eastAsia"/>
                <w:sz w:val="24"/>
              </w:rPr>
              <w:t>100.00</w:t>
            </w:r>
          </w:p>
        </w:tc>
        <w:tc>
          <w:tcPr>
            <w:tcW w:w="1440" w:type="dxa"/>
            <w:vAlign w:val="center"/>
          </w:tcPr>
          <w:p w:rsidR="006E4BA5" w:rsidRDefault="00072BEF">
            <w:pPr>
              <w:jc w:val="right"/>
            </w:pPr>
            <w:r>
              <w:rPr>
                <w:rFonts w:hint="eastAsia"/>
                <w:sz w:val="24"/>
              </w:rPr>
              <w:t>53,000</w:t>
            </w:r>
          </w:p>
        </w:tc>
        <w:tc>
          <w:tcPr>
            <w:tcW w:w="1836" w:type="dxa"/>
            <w:vAlign w:val="center"/>
          </w:tcPr>
          <w:p w:rsidR="006E4BA5" w:rsidRDefault="00072BEF">
            <w:pPr>
              <w:jc w:val="right"/>
            </w:pPr>
            <w:r>
              <w:rPr>
                <w:rFonts w:hint="eastAsia"/>
                <w:sz w:val="24"/>
              </w:rPr>
              <w:t>5,299,841.76</w:t>
            </w:r>
          </w:p>
        </w:tc>
      </w:tr>
      <w:tr w:rsidR="006E4BA5">
        <w:tc>
          <w:tcPr>
            <w:tcW w:w="1500" w:type="dxa"/>
            <w:vAlign w:val="center"/>
          </w:tcPr>
          <w:p w:rsidR="006E4BA5" w:rsidRDefault="00072BEF">
            <w:pPr>
              <w:jc w:val="center"/>
            </w:pPr>
            <w:r>
              <w:rPr>
                <w:rFonts w:hint="eastAsia"/>
                <w:sz w:val="24"/>
              </w:rPr>
              <w:t>180404</w:t>
            </w:r>
          </w:p>
        </w:tc>
        <w:tc>
          <w:tcPr>
            <w:tcW w:w="1500" w:type="dxa"/>
            <w:vAlign w:val="center"/>
          </w:tcPr>
          <w:p w:rsidR="006E4BA5" w:rsidRDefault="00072BEF">
            <w:pPr>
              <w:jc w:val="center"/>
            </w:pPr>
            <w:r>
              <w:rPr>
                <w:rFonts w:hint="eastAsia"/>
                <w:sz w:val="24"/>
              </w:rPr>
              <w:t>18</w:t>
            </w:r>
            <w:r>
              <w:rPr>
                <w:rFonts w:hint="eastAsia"/>
                <w:sz w:val="24"/>
              </w:rPr>
              <w:t>农发</w:t>
            </w:r>
            <w:r>
              <w:rPr>
                <w:rFonts w:hint="eastAsia"/>
                <w:sz w:val="24"/>
              </w:rPr>
              <w:t>04</w:t>
            </w:r>
          </w:p>
        </w:tc>
        <w:tc>
          <w:tcPr>
            <w:tcW w:w="1500" w:type="dxa"/>
            <w:vAlign w:val="center"/>
          </w:tcPr>
          <w:p w:rsidR="006E4BA5" w:rsidRDefault="00072BEF">
            <w:pPr>
              <w:jc w:val="center"/>
            </w:pPr>
            <w:r>
              <w:rPr>
                <w:rFonts w:hint="eastAsia"/>
                <w:sz w:val="24"/>
              </w:rPr>
              <w:t>2019-01-04</w:t>
            </w:r>
          </w:p>
        </w:tc>
        <w:tc>
          <w:tcPr>
            <w:tcW w:w="1260" w:type="dxa"/>
            <w:vAlign w:val="center"/>
          </w:tcPr>
          <w:p w:rsidR="006E4BA5" w:rsidRDefault="00072BEF">
            <w:pPr>
              <w:jc w:val="right"/>
            </w:pPr>
            <w:r>
              <w:rPr>
                <w:rFonts w:hint="eastAsia"/>
                <w:sz w:val="24"/>
              </w:rPr>
              <w:t>100.12</w:t>
            </w:r>
          </w:p>
        </w:tc>
        <w:tc>
          <w:tcPr>
            <w:tcW w:w="1440" w:type="dxa"/>
            <w:vAlign w:val="center"/>
          </w:tcPr>
          <w:p w:rsidR="006E4BA5" w:rsidRDefault="00072BEF">
            <w:pPr>
              <w:jc w:val="right"/>
            </w:pPr>
            <w:r>
              <w:rPr>
                <w:rFonts w:hint="eastAsia"/>
                <w:sz w:val="24"/>
              </w:rPr>
              <w:t>1,000,000</w:t>
            </w:r>
          </w:p>
        </w:tc>
        <w:tc>
          <w:tcPr>
            <w:tcW w:w="1836" w:type="dxa"/>
            <w:vAlign w:val="center"/>
          </w:tcPr>
          <w:p w:rsidR="006E4BA5" w:rsidRDefault="00072BEF">
            <w:pPr>
              <w:jc w:val="right"/>
            </w:pPr>
            <w:r>
              <w:rPr>
                <w:rFonts w:hint="eastAsia"/>
                <w:sz w:val="24"/>
              </w:rPr>
              <w:t>100,122,832.49</w:t>
            </w:r>
          </w:p>
        </w:tc>
      </w:tr>
      <w:tr w:rsidR="002C233F" w:rsidRPr="00CB1276" w:rsidTr="00A4272D">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rPr>
                <w:sz w:val="24"/>
              </w:rPr>
            </w:pPr>
            <w:r w:rsidRPr="00A4272D">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26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6,681,000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666,694,612.68</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交易所市场债券正回购</w:t>
      </w:r>
    </w:p>
    <w:p w:rsidR="006D141C" w:rsidRPr="000A3DDA" w:rsidRDefault="006D141C" w:rsidP="000A3DDA">
      <w:pPr>
        <w:spacing w:before="29" w:line="288" w:lineRule="auto"/>
        <w:rPr>
          <w:color w:val="000000"/>
          <w:sz w:val="24"/>
        </w:rPr>
      </w:pPr>
      <w:r w:rsidRPr="000A3DDA">
        <w:rPr>
          <w:rFonts w:hint="eastAsia"/>
          <w:color w:val="000000"/>
          <w:sz w:val="24"/>
        </w:rPr>
        <w:t>本基金本报告期末无从事交易所债券正回购交易形成的卖出回购证券款余额。</w:t>
      </w:r>
    </w:p>
    <w:p w:rsidR="006D141C" w:rsidRPr="00CB1276" w:rsidRDefault="006D141C" w:rsidP="00CB1276">
      <w:pPr>
        <w:spacing w:line="360" w:lineRule="auto"/>
        <w:ind w:firstLineChars="200" w:firstLine="420"/>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6E4BA5" w:rsidRDefault="00072BEF">
      <w:pPr>
        <w:spacing w:before="29" w:line="288" w:lineRule="auto"/>
        <w:rPr>
          <w:color w:val="000000"/>
          <w:sz w:val="24"/>
        </w:rPr>
      </w:pPr>
      <w:r>
        <w:rPr>
          <w:rFonts w:hint="eastAsia"/>
          <w:color w:val="000000"/>
          <w:sz w:val="24"/>
        </w:rPr>
        <w:t>(1)</w:t>
      </w:r>
      <w:r>
        <w:rPr>
          <w:rFonts w:hint="eastAsia"/>
          <w:color w:val="000000"/>
          <w:sz w:val="24"/>
        </w:rPr>
        <w:t>公允价值</w:t>
      </w:r>
    </w:p>
    <w:p w:rsidR="006E4BA5" w:rsidRDefault="00072BEF">
      <w:pPr>
        <w:spacing w:before="29" w:line="288" w:lineRule="auto"/>
        <w:rPr>
          <w:color w:val="000000"/>
          <w:sz w:val="24"/>
        </w:rPr>
      </w:pPr>
      <w:r>
        <w:rPr>
          <w:rFonts w:hint="eastAsia"/>
          <w:color w:val="000000"/>
          <w:sz w:val="24"/>
        </w:rPr>
        <w:t>(a)</w:t>
      </w:r>
      <w:r>
        <w:rPr>
          <w:rFonts w:hint="eastAsia"/>
          <w:color w:val="000000"/>
          <w:sz w:val="24"/>
        </w:rPr>
        <w:t>金融工具公允价值计量的方法</w:t>
      </w:r>
    </w:p>
    <w:p w:rsidR="006E4BA5" w:rsidRDefault="00072BEF">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6E4BA5" w:rsidRDefault="00072BEF">
      <w:pPr>
        <w:spacing w:before="29" w:line="288" w:lineRule="auto"/>
        <w:rPr>
          <w:color w:val="000000"/>
          <w:sz w:val="24"/>
        </w:rPr>
      </w:pPr>
      <w:r>
        <w:rPr>
          <w:rFonts w:hint="eastAsia"/>
          <w:color w:val="000000"/>
          <w:sz w:val="24"/>
        </w:rPr>
        <w:t>第一层次：相同资产或负债在活跃市场上未经调整的报价。</w:t>
      </w:r>
    </w:p>
    <w:p w:rsidR="006E4BA5" w:rsidRDefault="00072BEF">
      <w:pPr>
        <w:spacing w:before="29" w:line="288" w:lineRule="auto"/>
        <w:rPr>
          <w:color w:val="000000"/>
          <w:sz w:val="24"/>
        </w:rPr>
      </w:pPr>
      <w:r>
        <w:rPr>
          <w:rFonts w:hint="eastAsia"/>
          <w:color w:val="000000"/>
          <w:sz w:val="24"/>
        </w:rPr>
        <w:t>第二层次：除第一层次输入值外相关资产或负债直接或间接可观察的输入值。</w:t>
      </w:r>
    </w:p>
    <w:p w:rsidR="006E4BA5" w:rsidRDefault="00072BEF">
      <w:pPr>
        <w:spacing w:before="29" w:line="288" w:lineRule="auto"/>
        <w:rPr>
          <w:color w:val="000000"/>
          <w:sz w:val="24"/>
        </w:rPr>
      </w:pPr>
      <w:r>
        <w:rPr>
          <w:rFonts w:hint="eastAsia"/>
          <w:color w:val="000000"/>
          <w:sz w:val="24"/>
        </w:rPr>
        <w:t>第三层次：相关资产或负债的不可观察输入值。</w:t>
      </w:r>
    </w:p>
    <w:p w:rsidR="006E4BA5" w:rsidRDefault="00072BEF">
      <w:pPr>
        <w:spacing w:before="29" w:line="288" w:lineRule="auto"/>
        <w:rPr>
          <w:color w:val="000000"/>
          <w:sz w:val="24"/>
        </w:rPr>
      </w:pPr>
      <w:r>
        <w:rPr>
          <w:rFonts w:hint="eastAsia"/>
          <w:color w:val="000000"/>
          <w:sz w:val="24"/>
        </w:rPr>
        <w:t xml:space="preserve"> (b)</w:t>
      </w:r>
      <w:r>
        <w:rPr>
          <w:rFonts w:hint="eastAsia"/>
          <w:color w:val="000000"/>
          <w:sz w:val="24"/>
        </w:rPr>
        <w:t>持续的以公允价值计量的金融工具</w:t>
      </w:r>
    </w:p>
    <w:p w:rsidR="006E4BA5" w:rsidRDefault="00072BEF">
      <w:pPr>
        <w:spacing w:before="29" w:line="288" w:lineRule="auto"/>
        <w:rPr>
          <w:color w:val="000000"/>
          <w:sz w:val="24"/>
        </w:rPr>
      </w:pPr>
      <w:r>
        <w:rPr>
          <w:rFonts w:hint="eastAsia"/>
          <w:color w:val="000000"/>
          <w:sz w:val="24"/>
        </w:rPr>
        <w:t>(i)</w:t>
      </w:r>
      <w:r>
        <w:rPr>
          <w:rFonts w:hint="eastAsia"/>
          <w:color w:val="000000"/>
          <w:sz w:val="24"/>
        </w:rPr>
        <w:t>各层次金融工具公允价值</w:t>
      </w:r>
    </w:p>
    <w:p w:rsidR="006E4BA5" w:rsidRDefault="00072BEF">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日，本基金持有的以公允价值计量且其变动计入当期损益的金融资产中属于第二层次的余额为</w:t>
      </w:r>
      <w:r>
        <w:rPr>
          <w:rFonts w:hint="eastAsia"/>
          <w:color w:val="000000"/>
          <w:sz w:val="24"/>
        </w:rPr>
        <w:t>10,383,305,807.92</w:t>
      </w:r>
      <w:r>
        <w:rPr>
          <w:rFonts w:hint="eastAsia"/>
          <w:color w:val="000000"/>
          <w:sz w:val="24"/>
        </w:rPr>
        <w:t>元，属于第三层级的余额为</w:t>
      </w:r>
      <w:r>
        <w:rPr>
          <w:rFonts w:hint="eastAsia"/>
          <w:color w:val="000000"/>
          <w:sz w:val="24"/>
        </w:rPr>
        <w:t>71,955,000.00</w:t>
      </w:r>
      <w:r>
        <w:rPr>
          <w:rFonts w:hint="eastAsia"/>
          <w:color w:val="000000"/>
          <w:sz w:val="24"/>
        </w:rPr>
        <w:t>元，无属于第一层次的余额</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3,400,828,485.89</w:t>
      </w:r>
      <w:r>
        <w:rPr>
          <w:rFonts w:hint="eastAsia"/>
          <w:color w:val="000000"/>
          <w:sz w:val="24"/>
        </w:rPr>
        <w:t>元，无第一层次或第三层次</w:t>
      </w:r>
      <w:r>
        <w:rPr>
          <w:rFonts w:hint="eastAsia"/>
          <w:color w:val="000000"/>
          <w:sz w:val="24"/>
        </w:rPr>
        <w:t>)</w:t>
      </w:r>
      <w:r>
        <w:rPr>
          <w:rFonts w:hint="eastAsia"/>
          <w:color w:val="000000"/>
          <w:sz w:val="24"/>
        </w:rPr>
        <w:t>。</w:t>
      </w:r>
    </w:p>
    <w:p w:rsidR="006E4BA5" w:rsidRDefault="00072BEF">
      <w:pPr>
        <w:spacing w:before="29" w:line="288" w:lineRule="auto"/>
        <w:rPr>
          <w:color w:val="000000"/>
          <w:sz w:val="24"/>
        </w:rPr>
      </w:pPr>
      <w:r>
        <w:rPr>
          <w:rFonts w:hint="eastAsia"/>
          <w:color w:val="000000"/>
          <w:sz w:val="24"/>
        </w:rPr>
        <w:t>(ii)</w:t>
      </w:r>
      <w:r>
        <w:rPr>
          <w:rFonts w:hint="eastAsia"/>
          <w:color w:val="000000"/>
          <w:sz w:val="24"/>
        </w:rPr>
        <w:t>公允价值所属层次间的重大变动</w:t>
      </w:r>
    </w:p>
    <w:p w:rsidR="006E4BA5" w:rsidRDefault="00072BEF">
      <w:pPr>
        <w:spacing w:before="29" w:line="288" w:lineRule="auto"/>
        <w:rPr>
          <w:color w:val="000000"/>
          <w:sz w:val="24"/>
        </w:rPr>
      </w:pPr>
      <w:r>
        <w:rPr>
          <w:rFonts w:hint="eastAsia"/>
          <w:color w:val="000000"/>
          <w:sz w:val="24"/>
        </w:rPr>
        <w:t>本基金以导致各层次之间转换的事项发生日为确认各层次之间转换的时点。</w:t>
      </w:r>
    </w:p>
    <w:p w:rsidR="006E4BA5" w:rsidRDefault="00072BEF">
      <w:pPr>
        <w:spacing w:before="29" w:line="288" w:lineRule="auto"/>
        <w:rPr>
          <w:color w:val="000000"/>
          <w:sz w:val="24"/>
        </w:rPr>
      </w:pPr>
      <w:r>
        <w:rPr>
          <w:rFonts w:hint="eastAsia"/>
          <w:color w:val="000000"/>
          <w:sz w:val="24"/>
        </w:rPr>
        <w:t>对于证券交易所上市的债券，若出现重大事项停牌、交易不活跃</w:t>
      </w:r>
      <w:r>
        <w:rPr>
          <w:rFonts w:hint="eastAsia"/>
          <w:color w:val="000000"/>
          <w:sz w:val="24"/>
        </w:rPr>
        <w:t>(</w:t>
      </w:r>
      <w:r>
        <w:rPr>
          <w:rFonts w:hint="eastAsia"/>
          <w:color w:val="000000"/>
          <w:sz w:val="24"/>
        </w:rPr>
        <w:t>包括涨跌停时的交易不活跃</w:t>
      </w:r>
      <w:r>
        <w:rPr>
          <w:rFonts w:hint="eastAsia"/>
          <w:color w:val="000000"/>
          <w:sz w:val="24"/>
        </w:rPr>
        <w:t>)</w:t>
      </w:r>
      <w:r>
        <w:rPr>
          <w:rFonts w:hint="eastAsia"/>
          <w:color w:val="000000"/>
          <w:sz w:val="24"/>
        </w:rPr>
        <w:t>、或属于非公开</w:t>
      </w:r>
      <w:r>
        <w:rPr>
          <w:rFonts w:hint="eastAsia"/>
          <w:color w:val="000000"/>
          <w:sz w:val="24"/>
        </w:rPr>
        <w:t>发行等情况，本基金不会于停牌日至交易恢复活跃日期间、交易不活跃期间及限售期间将相关债券的公允价值列入第一层次；并根据估值调整中采用的不可观察输入值对于公允价值的影响程度，确定相关债券公允价值应属第二层次还是第三层次。</w:t>
      </w:r>
    </w:p>
    <w:p w:rsidR="006E4BA5" w:rsidRDefault="00072BEF">
      <w:pPr>
        <w:spacing w:before="29" w:line="288" w:lineRule="auto"/>
        <w:rPr>
          <w:color w:val="000000"/>
          <w:sz w:val="24"/>
        </w:rPr>
      </w:pPr>
      <w:r>
        <w:rPr>
          <w:rFonts w:hint="eastAsia"/>
          <w:color w:val="000000"/>
          <w:sz w:val="24"/>
        </w:rPr>
        <w:t>(iii)</w:t>
      </w:r>
      <w:r>
        <w:rPr>
          <w:rFonts w:hint="eastAsia"/>
          <w:color w:val="000000"/>
          <w:sz w:val="24"/>
        </w:rPr>
        <w:t>第三层次公允价值余额和本期变动金额</w:t>
      </w:r>
    </w:p>
    <w:p w:rsidR="006E4BA5" w:rsidRDefault="00072BEF">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日，本基金持有公允价值归属于第三层次的金融工具为</w:t>
      </w:r>
      <w:r>
        <w:rPr>
          <w:rFonts w:hint="eastAsia"/>
          <w:color w:val="000000"/>
          <w:sz w:val="24"/>
        </w:rPr>
        <w:t>71,955,000.00</w:t>
      </w:r>
      <w:r>
        <w:rPr>
          <w:rFonts w:hint="eastAsia"/>
          <w:color w:val="000000"/>
          <w:sz w:val="24"/>
        </w:rPr>
        <w:t>元</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。本基金本期购买第三层次的金融工具的金额为</w:t>
      </w:r>
      <w:r>
        <w:rPr>
          <w:rFonts w:hint="eastAsia"/>
          <w:color w:val="000000"/>
          <w:sz w:val="24"/>
        </w:rPr>
        <w:t>90,000,000.00</w:t>
      </w:r>
      <w:r>
        <w:rPr>
          <w:rFonts w:hint="eastAsia"/>
          <w:color w:val="000000"/>
          <w:sz w:val="24"/>
        </w:rPr>
        <w:t>元</w:t>
      </w:r>
      <w:r>
        <w:rPr>
          <w:rFonts w:hint="eastAsia"/>
          <w:color w:val="000000"/>
          <w:sz w:val="24"/>
        </w:rPr>
        <w:t>(2017</w:t>
      </w:r>
      <w:r>
        <w:rPr>
          <w:rFonts w:hint="eastAsia"/>
          <w:color w:val="000000"/>
          <w:sz w:val="24"/>
        </w:rPr>
        <w:t>年度：无</w:t>
      </w:r>
      <w:r>
        <w:rPr>
          <w:rFonts w:hint="eastAsia"/>
          <w:color w:val="000000"/>
          <w:sz w:val="24"/>
        </w:rPr>
        <w:t>)</w:t>
      </w:r>
      <w:r>
        <w:rPr>
          <w:rFonts w:hint="eastAsia"/>
          <w:color w:val="000000"/>
          <w:sz w:val="24"/>
        </w:rPr>
        <w:t>，出售第三层次的金融工具的金额</w:t>
      </w:r>
      <w:r>
        <w:rPr>
          <w:rFonts w:hint="eastAsia"/>
          <w:color w:val="000000"/>
          <w:sz w:val="24"/>
        </w:rPr>
        <w:t>为</w:t>
      </w:r>
      <w:r>
        <w:rPr>
          <w:rFonts w:hint="eastAsia"/>
          <w:color w:val="000000"/>
          <w:sz w:val="24"/>
        </w:rPr>
        <w:t>18,045,000.00</w:t>
      </w:r>
      <w:r>
        <w:rPr>
          <w:rFonts w:hint="eastAsia"/>
          <w:color w:val="000000"/>
          <w:sz w:val="24"/>
        </w:rPr>
        <w:t>元</w:t>
      </w:r>
      <w:r>
        <w:rPr>
          <w:rFonts w:hint="eastAsia"/>
          <w:color w:val="000000"/>
          <w:sz w:val="24"/>
        </w:rPr>
        <w:t>(2017</w:t>
      </w:r>
      <w:r>
        <w:rPr>
          <w:rFonts w:hint="eastAsia"/>
          <w:color w:val="000000"/>
          <w:sz w:val="24"/>
        </w:rPr>
        <w:t>年度：无</w:t>
      </w:r>
      <w:r>
        <w:rPr>
          <w:rFonts w:hint="eastAsia"/>
          <w:color w:val="000000"/>
          <w:sz w:val="24"/>
        </w:rPr>
        <w:t>)</w:t>
      </w:r>
      <w:r>
        <w:rPr>
          <w:rFonts w:hint="eastAsia"/>
          <w:color w:val="000000"/>
          <w:sz w:val="24"/>
        </w:rPr>
        <w:t>，无计入损益的第三层次的金融工具公允价值变动</w:t>
      </w:r>
      <w:r>
        <w:rPr>
          <w:rFonts w:hint="eastAsia"/>
          <w:color w:val="000000"/>
          <w:sz w:val="24"/>
        </w:rPr>
        <w:t>(2017</w:t>
      </w:r>
      <w:r>
        <w:rPr>
          <w:rFonts w:hint="eastAsia"/>
          <w:color w:val="000000"/>
          <w:sz w:val="24"/>
        </w:rPr>
        <w:t>年度：无</w:t>
      </w:r>
      <w:r>
        <w:rPr>
          <w:rFonts w:hint="eastAsia"/>
          <w:color w:val="000000"/>
          <w:sz w:val="24"/>
        </w:rPr>
        <w:t>)</w:t>
      </w:r>
      <w:r>
        <w:rPr>
          <w:rFonts w:hint="eastAsia"/>
          <w:color w:val="000000"/>
          <w:sz w:val="24"/>
        </w:rPr>
        <w:t>。本基金于本期末仍持有的第三层次的金融工具无计入本年度损益的未实现利得或损失</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w:t>
      </w:r>
    </w:p>
    <w:p w:rsidR="006E4BA5" w:rsidRDefault="006E4BA5">
      <w:pPr>
        <w:spacing w:before="29" w:line="288" w:lineRule="auto"/>
        <w:rPr>
          <w:color w:val="000000"/>
          <w:sz w:val="24"/>
        </w:rPr>
      </w:pPr>
    </w:p>
    <w:p w:rsidR="006E4BA5" w:rsidRDefault="00072BEF">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日本基金持有的第三层次的交易性金融资产</w:t>
      </w:r>
      <w:r>
        <w:rPr>
          <w:rFonts w:hint="eastAsia"/>
          <w:color w:val="000000"/>
          <w:sz w:val="24"/>
        </w:rPr>
        <w:t>(</w:t>
      </w:r>
      <w:r>
        <w:rPr>
          <w:rFonts w:hint="eastAsia"/>
          <w:color w:val="000000"/>
          <w:sz w:val="24"/>
        </w:rPr>
        <w:t>均为交易所资产支持证券投资</w:t>
      </w:r>
      <w:r>
        <w:rPr>
          <w:rFonts w:hint="eastAsia"/>
          <w:color w:val="000000"/>
          <w:sz w:val="24"/>
        </w:rPr>
        <w:t>)</w:t>
      </w:r>
      <w:r>
        <w:rPr>
          <w:rFonts w:hint="eastAsia"/>
          <w:color w:val="000000"/>
          <w:sz w:val="24"/>
        </w:rPr>
        <w:t>公允价值为</w:t>
      </w:r>
      <w:r>
        <w:rPr>
          <w:rFonts w:hint="eastAsia"/>
          <w:color w:val="000000"/>
          <w:sz w:val="24"/>
        </w:rPr>
        <w:t>71,955,000.00</w:t>
      </w:r>
      <w:r>
        <w:rPr>
          <w:rFonts w:hint="eastAsia"/>
          <w:color w:val="000000"/>
          <w:sz w:val="24"/>
        </w:rPr>
        <w:t>元，采用现金流量折现法估值技术，不可观察输入值为折现率，与公允价值之间呈负相关关系</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w:t>
      </w:r>
    </w:p>
    <w:p w:rsidR="006E4BA5" w:rsidRDefault="00072BEF">
      <w:pPr>
        <w:spacing w:before="29" w:line="288" w:lineRule="auto"/>
        <w:rPr>
          <w:color w:val="000000"/>
          <w:sz w:val="24"/>
        </w:rPr>
      </w:pPr>
      <w:r>
        <w:rPr>
          <w:rFonts w:hint="eastAsia"/>
          <w:color w:val="000000"/>
          <w:sz w:val="24"/>
        </w:rPr>
        <w:t>(c)</w:t>
      </w:r>
      <w:r>
        <w:rPr>
          <w:rFonts w:hint="eastAsia"/>
          <w:color w:val="000000"/>
          <w:sz w:val="24"/>
        </w:rPr>
        <w:t>非持续的以公允价值计量的金融工具</w:t>
      </w:r>
    </w:p>
    <w:p w:rsidR="006E4BA5" w:rsidRDefault="00072BEF">
      <w:pPr>
        <w:spacing w:before="29" w:line="288" w:lineRule="auto"/>
        <w:rPr>
          <w:color w:val="000000"/>
          <w:sz w:val="24"/>
        </w:rPr>
      </w:pPr>
      <w:r>
        <w:rPr>
          <w:rFonts w:hint="eastAsia"/>
          <w:color w:val="000000"/>
          <w:sz w:val="24"/>
        </w:rPr>
        <w:t>于</w:t>
      </w:r>
      <w:r>
        <w:rPr>
          <w:rFonts w:hint="eastAsia"/>
          <w:color w:val="000000"/>
          <w:sz w:val="24"/>
        </w:rPr>
        <w:t>2</w:t>
      </w:r>
      <w:r>
        <w:rPr>
          <w:rFonts w:hint="eastAsia"/>
          <w:color w:val="000000"/>
          <w:sz w:val="24"/>
        </w:rPr>
        <w:t>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6E4BA5" w:rsidRDefault="00072BEF">
      <w:pPr>
        <w:spacing w:before="29" w:line="288" w:lineRule="auto"/>
        <w:rPr>
          <w:color w:val="000000"/>
          <w:sz w:val="24"/>
        </w:rPr>
      </w:pPr>
      <w:r>
        <w:rPr>
          <w:rFonts w:hint="eastAsia"/>
          <w:color w:val="000000"/>
          <w:sz w:val="24"/>
        </w:rPr>
        <w:t>(d)</w:t>
      </w:r>
      <w:r>
        <w:rPr>
          <w:rFonts w:hint="eastAsia"/>
          <w:color w:val="000000"/>
          <w:sz w:val="24"/>
        </w:rPr>
        <w:t>不以公允价值计量的金融工具</w:t>
      </w:r>
    </w:p>
    <w:p w:rsidR="006E4BA5" w:rsidRDefault="00072BEF">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6D141C" w:rsidRDefault="006D141C" w:rsidP="000A3DDA">
      <w:pPr>
        <w:spacing w:before="29" w:line="288" w:lineRule="auto"/>
        <w:rPr>
          <w:color w:val="000000"/>
          <w:sz w:val="24"/>
        </w:rPr>
      </w:pPr>
      <w:r w:rsidRPr="000A3DDA">
        <w:rPr>
          <w:rFonts w:hint="eastAsia"/>
          <w:color w:val="000000"/>
          <w:sz w:val="24"/>
        </w:rPr>
        <w:t>(2)</w:t>
      </w:r>
      <w:r w:rsidRPr="000A3DDA">
        <w:rPr>
          <w:rFonts w:hint="eastAsia"/>
          <w:color w:val="000000"/>
          <w:sz w:val="24"/>
        </w:rPr>
        <w:t>除公允价值外，截至资产负债表日本基金无需要说明的其他重要事项。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1"/>
      <w:bookmarkEnd w:id="12"/>
    </w:p>
    <w:p w:rsidR="006D141C" w:rsidRPr="00FB19E8" w:rsidRDefault="006D141C" w:rsidP="00FB19E8">
      <w:pPr>
        <w:pStyle w:val="20"/>
        <w:spacing w:before="29" w:after="0" w:line="288" w:lineRule="auto"/>
        <w:rPr>
          <w:rFonts w:ascii="Times New Roman" w:hAnsi="Times New Roman" w:cs="Times New Roman"/>
          <w:kern w:val="0"/>
          <w:szCs w:val="24"/>
        </w:rPr>
      </w:pPr>
      <w:bookmarkStart w:id="13" w:name="_Toc331410102"/>
      <w:bookmarkStart w:id="14"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3"/>
      <w:bookmarkEnd w:id="14"/>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10,455,260,807.92</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83.88</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10,383,305,807.92</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83.31</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71,955,000.00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0.58</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1,971,037,495.79</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15.81</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37,898,499.03</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0.30</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12,464,196,802.74</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5" w:name="_Toc331410103"/>
      <w:bookmarkStart w:id="16" w:name="_Toc225498274"/>
      <w:r w:rsidRPr="00FB19E8">
        <w:rPr>
          <w:rFonts w:ascii="Times New Roman" w:hAnsi="Times New Roman" w:cs="Times New Roman" w:hint="eastAsia"/>
          <w:kern w:val="0"/>
          <w:szCs w:val="24"/>
        </w:rPr>
        <w:t>8.2</w:t>
      </w:r>
      <w:bookmarkEnd w:id="15"/>
      <w:bookmarkEnd w:id="16"/>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6.99</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645,259,032.10</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5.48</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7" w:name="_Toc247957040"/>
      <w:bookmarkStart w:id="18"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7"/>
      <w:bookmarkEnd w:id="18"/>
    </w:p>
    <w:p w:rsidR="002313DE" w:rsidRPr="005124D4" w:rsidRDefault="00985B68" w:rsidP="005124D4">
      <w:pPr>
        <w:spacing w:before="29" w:line="288" w:lineRule="auto"/>
        <w:jc w:val="left"/>
        <w:rPr>
          <w:kern w:val="0"/>
          <w:sz w:val="24"/>
        </w:rPr>
      </w:pPr>
      <w:r w:rsidRPr="005124D4">
        <w:rPr>
          <w:rFonts w:hint="eastAsia"/>
          <w:kern w:val="0"/>
          <w:sz w:val="24"/>
        </w:rPr>
        <w:t>本基金合同约定：“本基金进入全国银行间同业市场进行债券回购的资金余额不得超过基金资产净值的</w:t>
      </w:r>
      <w:r w:rsidRPr="005124D4">
        <w:rPr>
          <w:rFonts w:hint="eastAsia"/>
          <w:kern w:val="0"/>
          <w:sz w:val="24"/>
        </w:rPr>
        <w:t>40%</w:t>
      </w:r>
      <w:r w:rsidRPr="005124D4">
        <w:rPr>
          <w:rFonts w:hint="eastAsia"/>
          <w:kern w:val="0"/>
          <w:sz w:val="24"/>
        </w:rPr>
        <w:t>”。本报告期内，本基金未发生超标情况。</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275523745"/>
      <w:r w:rsidRPr="00FB19E8">
        <w:rPr>
          <w:rFonts w:ascii="Times New Roman" w:hAnsi="Times New Roman" w:cs="Times New Roman" w:hint="eastAsia"/>
          <w:kern w:val="0"/>
          <w:szCs w:val="24"/>
        </w:rPr>
        <w:t>8.3</w:t>
      </w:r>
      <w:bookmarkEnd w:id="19"/>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113</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139</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86</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140036" w:rsidRPr="00157CB3" w:rsidRDefault="00157CB3"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r w:rsidRPr="00157CB3">
        <w:rPr>
          <w:kern w:val="0"/>
          <w:sz w:val="24"/>
        </w:rPr>
        <w:t>本基金合同约定：</w:t>
      </w:r>
      <w:r w:rsidRPr="00157CB3">
        <w:rPr>
          <w:kern w:val="0"/>
          <w:sz w:val="24"/>
        </w:rPr>
        <w:t>“</w:t>
      </w:r>
      <w:r w:rsidRPr="00157CB3">
        <w:rPr>
          <w:kern w:val="0"/>
          <w:sz w:val="24"/>
        </w:rPr>
        <w:t>本基金投资组合的平均剩余期限控制在</w:t>
      </w:r>
      <w:r w:rsidRPr="00157CB3">
        <w:rPr>
          <w:kern w:val="0"/>
          <w:sz w:val="24"/>
        </w:rPr>
        <w:t xml:space="preserve">180 </w:t>
      </w:r>
      <w:r w:rsidRPr="00157CB3">
        <w:rPr>
          <w:kern w:val="0"/>
          <w:sz w:val="24"/>
        </w:rPr>
        <w:t>天（含）以内。</w:t>
      </w:r>
      <w:r w:rsidRPr="00157CB3">
        <w:rPr>
          <w:kern w:val="0"/>
          <w:sz w:val="24"/>
        </w:rPr>
        <w:t>”</w:t>
      </w:r>
      <w:r w:rsidRPr="00157CB3">
        <w:rPr>
          <w:kern w:val="0"/>
          <w:sz w:val="24"/>
        </w:rPr>
        <w:t>本基金本报告期内投资组合平均剩余期限未超过</w:t>
      </w:r>
      <w:r w:rsidRPr="00157CB3">
        <w:rPr>
          <w:kern w:val="0"/>
          <w:sz w:val="24"/>
        </w:rPr>
        <w:t>180</w:t>
      </w:r>
      <w:r w:rsidRPr="00157CB3">
        <w:rPr>
          <w:kern w:val="0"/>
          <w:sz w:val="24"/>
        </w:rPr>
        <w:t>天。</w:t>
      </w: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3.24</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5.48</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6.86</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51.21</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4.44</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39.85</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105.59</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5.48</w:t>
            </w:r>
          </w:p>
        </w:tc>
      </w:tr>
    </w:tbl>
    <w:p w:rsidR="00157CB3" w:rsidRPr="005124D4" w:rsidRDefault="00157CB3" w:rsidP="005124D4">
      <w:pPr>
        <w:spacing w:before="29" w:line="288" w:lineRule="auto"/>
        <w:jc w:val="left"/>
        <w:rPr>
          <w:kern w:val="0"/>
          <w:sz w:val="24"/>
        </w:rPr>
      </w:pPr>
    </w:p>
    <w:p w:rsidR="00157CB3" w:rsidRPr="00157CB3" w:rsidRDefault="00157CB3" w:rsidP="00F360A0">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157CB3">
      <w:pPr>
        <w:spacing w:line="360" w:lineRule="auto"/>
        <w:ind w:firstLineChars="200" w:firstLine="480"/>
        <w:jc w:val="left"/>
        <w:rPr>
          <w:sz w:val="24"/>
        </w:rPr>
      </w:pPr>
      <w:r w:rsidRPr="00157CB3">
        <w:rPr>
          <w:rFonts w:hint="eastAsia"/>
          <w:sz w:val="24"/>
        </w:rPr>
        <w:t>本基金本报告期内投资组合平均剩余存续期未超过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0" w:name="_Toc331410106"/>
      <w:bookmarkStart w:id="21" w:name="_Toc234814104"/>
      <w:r w:rsidRPr="00FB19E8">
        <w:rPr>
          <w:rFonts w:ascii="Times New Roman" w:hAnsi="Times New Roman" w:cs="Times New Roman" w:hint="eastAsia"/>
          <w:kern w:val="0"/>
          <w:szCs w:val="24"/>
        </w:rPr>
        <w:t>8.5</w:t>
      </w:r>
      <w:r w:rsidRPr="00FB19E8">
        <w:rPr>
          <w:rFonts w:ascii="Times New Roman" w:hAnsi="Times New Roman" w:cs="Times New Roman" w:hint="eastAsia"/>
          <w:kern w:val="0"/>
          <w:szCs w:val="24"/>
        </w:rPr>
        <w:t>期末按债券品种分类的债券投资组合</w:t>
      </w:r>
      <w:bookmarkEnd w:id="20"/>
      <w:bookmarkEnd w:id="21"/>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109,751,291.55</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0.93</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570,710,545.24</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4.85</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570,710,545.24</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4.85</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1,314,801,605.02</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11.17</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8,388,042,366.11</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71.27</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10,383,305,807.92</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88.23</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7"/>
      <w:r w:rsidRPr="00FB19E8">
        <w:rPr>
          <w:rFonts w:ascii="Times New Roman" w:hAnsi="Times New Roman" w:cs="Times New Roman" w:hint="eastAsia"/>
          <w:kern w:val="0"/>
          <w:szCs w:val="24"/>
        </w:rPr>
        <w:t>8.6</w:t>
      </w:r>
      <w:bookmarkEnd w:id="22"/>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6E4BA5">
        <w:tc>
          <w:tcPr>
            <w:tcW w:w="1493" w:type="dxa"/>
            <w:vAlign w:val="center"/>
          </w:tcPr>
          <w:p w:rsidR="006E4BA5" w:rsidRDefault="00072BEF">
            <w:pPr>
              <w:jc w:val="center"/>
            </w:pPr>
            <w:r>
              <w:rPr>
                <w:rFonts w:hint="eastAsia"/>
                <w:sz w:val="24"/>
              </w:rPr>
              <w:t>1</w:t>
            </w:r>
          </w:p>
        </w:tc>
        <w:tc>
          <w:tcPr>
            <w:tcW w:w="1493" w:type="dxa"/>
            <w:vAlign w:val="center"/>
          </w:tcPr>
          <w:p w:rsidR="006E4BA5" w:rsidRDefault="00072BEF">
            <w:pPr>
              <w:jc w:val="center"/>
            </w:pPr>
            <w:r>
              <w:rPr>
                <w:rFonts w:hint="eastAsia"/>
                <w:sz w:val="24"/>
              </w:rPr>
              <w:t>111814176</w:t>
            </w:r>
          </w:p>
        </w:tc>
        <w:tc>
          <w:tcPr>
            <w:tcW w:w="1503" w:type="dxa"/>
            <w:vAlign w:val="center"/>
          </w:tcPr>
          <w:p w:rsidR="006E4BA5" w:rsidRDefault="00072BEF">
            <w:pPr>
              <w:jc w:val="center"/>
            </w:pPr>
            <w:r>
              <w:rPr>
                <w:rFonts w:hint="eastAsia"/>
                <w:sz w:val="24"/>
              </w:rPr>
              <w:t>18</w:t>
            </w:r>
            <w:r>
              <w:rPr>
                <w:rFonts w:hint="eastAsia"/>
                <w:sz w:val="24"/>
              </w:rPr>
              <w:t>江苏银行</w:t>
            </w:r>
            <w:r>
              <w:rPr>
                <w:rFonts w:hint="eastAsia"/>
                <w:sz w:val="24"/>
              </w:rPr>
              <w:t>CD176</w:t>
            </w:r>
          </w:p>
        </w:tc>
        <w:tc>
          <w:tcPr>
            <w:tcW w:w="1503" w:type="dxa"/>
            <w:vAlign w:val="center"/>
          </w:tcPr>
          <w:p w:rsidR="006E4BA5" w:rsidRDefault="00072BEF">
            <w:pPr>
              <w:jc w:val="center"/>
            </w:pPr>
            <w:r>
              <w:rPr>
                <w:rFonts w:hint="eastAsia"/>
                <w:sz w:val="24"/>
              </w:rPr>
              <w:t>5,000,000</w:t>
            </w:r>
          </w:p>
        </w:tc>
        <w:tc>
          <w:tcPr>
            <w:tcW w:w="1503" w:type="dxa"/>
            <w:vAlign w:val="center"/>
          </w:tcPr>
          <w:p w:rsidR="006E4BA5" w:rsidRDefault="00072BEF">
            <w:pPr>
              <w:jc w:val="center"/>
            </w:pPr>
            <w:r>
              <w:rPr>
                <w:rFonts w:hint="eastAsia"/>
                <w:sz w:val="24"/>
              </w:rPr>
              <w:t>492,379,437.29</w:t>
            </w:r>
          </w:p>
        </w:tc>
        <w:tc>
          <w:tcPr>
            <w:tcW w:w="1503" w:type="dxa"/>
            <w:vAlign w:val="center"/>
          </w:tcPr>
          <w:p w:rsidR="006E4BA5" w:rsidRDefault="00072BEF">
            <w:pPr>
              <w:jc w:val="center"/>
            </w:pPr>
            <w:r>
              <w:rPr>
                <w:rFonts w:hint="eastAsia"/>
                <w:sz w:val="24"/>
              </w:rPr>
              <w:t>4.18</w:t>
            </w:r>
          </w:p>
        </w:tc>
      </w:tr>
      <w:tr w:rsidR="006E4BA5">
        <w:tc>
          <w:tcPr>
            <w:tcW w:w="1493" w:type="dxa"/>
            <w:vAlign w:val="center"/>
          </w:tcPr>
          <w:p w:rsidR="006E4BA5" w:rsidRDefault="00072BEF">
            <w:pPr>
              <w:jc w:val="center"/>
            </w:pPr>
            <w:r>
              <w:rPr>
                <w:rFonts w:hint="eastAsia"/>
                <w:sz w:val="24"/>
              </w:rPr>
              <w:t>2</w:t>
            </w:r>
          </w:p>
        </w:tc>
        <w:tc>
          <w:tcPr>
            <w:tcW w:w="1493" w:type="dxa"/>
            <w:vAlign w:val="center"/>
          </w:tcPr>
          <w:p w:rsidR="006E4BA5" w:rsidRDefault="00072BEF">
            <w:pPr>
              <w:jc w:val="center"/>
            </w:pPr>
            <w:r>
              <w:rPr>
                <w:rFonts w:hint="eastAsia"/>
                <w:sz w:val="24"/>
              </w:rPr>
              <w:t>111812182</w:t>
            </w:r>
          </w:p>
        </w:tc>
        <w:tc>
          <w:tcPr>
            <w:tcW w:w="1503" w:type="dxa"/>
            <w:vAlign w:val="center"/>
          </w:tcPr>
          <w:p w:rsidR="006E4BA5" w:rsidRDefault="00072BEF">
            <w:pPr>
              <w:jc w:val="center"/>
            </w:pPr>
            <w:r>
              <w:rPr>
                <w:rFonts w:hint="eastAsia"/>
                <w:sz w:val="24"/>
              </w:rPr>
              <w:t>18</w:t>
            </w:r>
            <w:r>
              <w:rPr>
                <w:rFonts w:hint="eastAsia"/>
                <w:sz w:val="24"/>
              </w:rPr>
              <w:t>北京银行</w:t>
            </w:r>
            <w:r>
              <w:rPr>
                <w:rFonts w:hint="eastAsia"/>
                <w:sz w:val="24"/>
              </w:rPr>
              <w:t>CD182</w:t>
            </w:r>
          </w:p>
        </w:tc>
        <w:tc>
          <w:tcPr>
            <w:tcW w:w="1503" w:type="dxa"/>
            <w:vAlign w:val="center"/>
          </w:tcPr>
          <w:p w:rsidR="006E4BA5" w:rsidRDefault="00072BEF">
            <w:pPr>
              <w:jc w:val="center"/>
            </w:pPr>
            <w:r>
              <w:rPr>
                <w:rFonts w:hint="eastAsia"/>
                <w:sz w:val="24"/>
              </w:rPr>
              <w:t>3,500,000</w:t>
            </w:r>
          </w:p>
        </w:tc>
        <w:tc>
          <w:tcPr>
            <w:tcW w:w="1503" w:type="dxa"/>
            <w:vAlign w:val="center"/>
          </w:tcPr>
          <w:p w:rsidR="006E4BA5" w:rsidRDefault="00072BEF">
            <w:pPr>
              <w:jc w:val="center"/>
            </w:pPr>
            <w:r>
              <w:rPr>
                <w:rFonts w:hint="eastAsia"/>
                <w:sz w:val="24"/>
              </w:rPr>
              <w:t>344,665,606.07</w:t>
            </w:r>
          </w:p>
        </w:tc>
        <w:tc>
          <w:tcPr>
            <w:tcW w:w="1503" w:type="dxa"/>
            <w:vAlign w:val="center"/>
          </w:tcPr>
          <w:p w:rsidR="006E4BA5" w:rsidRDefault="00072BEF">
            <w:pPr>
              <w:jc w:val="center"/>
            </w:pPr>
            <w:r>
              <w:rPr>
                <w:rFonts w:hint="eastAsia"/>
                <w:sz w:val="24"/>
              </w:rPr>
              <w:t>2.93</w:t>
            </w:r>
          </w:p>
        </w:tc>
      </w:tr>
      <w:tr w:rsidR="006E4BA5">
        <w:tc>
          <w:tcPr>
            <w:tcW w:w="1493" w:type="dxa"/>
            <w:vAlign w:val="center"/>
          </w:tcPr>
          <w:p w:rsidR="006E4BA5" w:rsidRDefault="00072BEF">
            <w:pPr>
              <w:jc w:val="center"/>
            </w:pPr>
            <w:r>
              <w:rPr>
                <w:rFonts w:hint="eastAsia"/>
                <w:sz w:val="24"/>
              </w:rPr>
              <w:t>3</w:t>
            </w:r>
          </w:p>
        </w:tc>
        <w:tc>
          <w:tcPr>
            <w:tcW w:w="1493" w:type="dxa"/>
            <w:vAlign w:val="center"/>
          </w:tcPr>
          <w:p w:rsidR="006E4BA5" w:rsidRDefault="00072BEF">
            <w:pPr>
              <w:jc w:val="center"/>
            </w:pPr>
            <w:r>
              <w:rPr>
                <w:rFonts w:hint="eastAsia"/>
                <w:sz w:val="24"/>
              </w:rPr>
              <w:t>111899969</w:t>
            </w:r>
          </w:p>
        </w:tc>
        <w:tc>
          <w:tcPr>
            <w:tcW w:w="1503" w:type="dxa"/>
            <w:vAlign w:val="center"/>
          </w:tcPr>
          <w:p w:rsidR="006E4BA5" w:rsidRDefault="00072BEF">
            <w:pPr>
              <w:jc w:val="center"/>
            </w:pPr>
            <w:r>
              <w:rPr>
                <w:rFonts w:hint="eastAsia"/>
                <w:sz w:val="24"/>
              </w:rPr>
              <w:t>18</w:t>
            </w:r>
            <w:r>
              <w:rPr>
                <w:rFonts w:hint="eastAsia"/>
                <w:sz w:val="24"/>
              </w:rPr>
              <w:t>齐鲁银行</w:t>
            </w:r>
            <w:r>
              <w:rPr>
                <w:rFonts w:hint="eastAsia"/>
                <w:sz w:val="24"/>
              </w:rPr>
              <w:t>CD075</w:t>
            </w:r>
          </w:p>
        </w:tc>
        <w:tc>
          <w:tcPr>
            <w:tcW w:w="1503" w:type="dxa"/>
            <w:vAlign w:val="center"/>
          </w:tcPr>
          <w:p w:rsidR="006E4BA5" w:rsidRDefault="00072BEF">
            <w:pPr>
              <w:jc w:val="center"/>
            </w:pPr>
            <w:r>
              <w:rPr>
                <w:rFonts w:hint="eastAsia"/>
                <w:sz w:val="24"/>
              </w:rPr>
              <w:t>3,000,000</w:t>
            </w:r>
          </w:p>
        </w:tc>
        <w:tc>
          <w:tcPr>
            <w:tcW w:w="1503" w:type="dxa"/>
            <w:vAlign w:val="center"/>
          </w:tcPr>
          <w:p w:rsidR="006E4BA5" w:rsidRDefault="00072BEF">
            <w:pPr>
              <w:jc w:val="center"/>
            </w:pPr>
            <w:r>
              <w:rPr>
                <w:rFonts w:hint="eastAsia"/>
                <w:sz w:val="24"/>
              </w:rPr>
              <w:t>296,897,921.66</w:t>
            </w:r>
          </w:p>
        </w:tc>
        <w:tc>
          <w:tcPr>
            <w:tcW w:w="1503" w:type="dxa"/>
            <w:vAlign w:val="center"/>
          </w:tcPr>
          <w:p w:rsidR="006E4BA5" w:rsidRDefault="00072BEF">
            <w:pPr>
              <w:jc w:val="center"/>
            </w:pPr>
            <w:r>
              <w:rPr>
                <w:rFonts w:hint="eastAsia"/>
                <w:sz w:val="24"/>
              </w:rPr>
              <w:t>2.52</w:t>
            </w:r>
          </w:p>
        </w:tc>
      </w:tr>
      <w:tr w:rsidR="006E4BA5">
        <w:tc>
          <w:tcPr>
            <w:tcW w:w="1493" w:type="dxa"/>
            <w:vAlign w:val="center"/>
          </w:tcPr>
          <w:p w:rsidR="006E4BA5" w:rsidRDefault="00072BEF">
            <w:pPr>
              <w:jc w:val="center"/>
            </w:pPr>
            <w:r>
              <w:rPr>
                <w:rFonts w:hint="eastAsia"/>
                <w:sz w:val="24"/>
              </w:rPr>
              <w:t>4</w:t>
            </w:r>
          </w:p>
        </w:tc>
        <w:tc>
          <w:tcPr>
            <w:tcW w:w="1493" w:type="dxa"/>
            <w:vAlign w:val="center"/>
          </w:tcPr>
          <w:p w:rsidR="006E4BA5" w:rsidRDefault="00072BEF">
            <w:pPr>
              <w:jc w:val="center"/>
            </w:pPr>
            <w:r>
              <w:rPr>
                <w:rFonts w:hint="eastAsia"/>
                <w:sz w:val="24"/>
              </w:rPr>
              <w:t>111812185</w:t>
            </w:r>
          </w:p>
        </w:tc>
        <w:tc>
          <w:tcPr>
            <w:tcW w:w="1503" w:type="dxa"/>
            <w:vAlign w:val="center"/>
          </w:tcPr>
          <w:p w:rsidR="006E4BA5" w:rsidRDefault="00072BEF">
            <w:pPr>
              <w:jc w:val="center"/>
            </w:pPr>
            <w:r>
              <w:rPr>
                <w:rFonts w:hint="eastAsia"/>
                <w:sz w:val="24"/>
              </w:rPr>
              <w:t>18</w:t>
            </w:r>
            <w:r>
              <w:rPr>
                <w:rFonts w:hint="eastAsia"/>
                <w:sz w:val="24"/>
              </w:rPr>
              <w:t>北京银行</w:t>
            </w:r>
            <w:r>
              <w:rPr>
                <w:rFonts w:hint="eastAsia"/>
                <w:sz w:val="24"/>
              </w:rPr>
              <w:t>CD185</w:t>
            </w:r>
          </w:p>
        </w:tc>
        <w:tc>
          <w:tcPr>
            <w:tcW w:w="1503" w:type="dxa"/>
            <w:vAlign w:val="center"/>
          </w:tcPr>
          <w:p w:rsidR="006E4BA5" w:rsidRDefault="00072BEF">
            <w:pPr>
              <w:jc w:val="center"/>
            </w:pPr>
            <w:r>
              <w:rPr>
                <w:rFonts w:hint="eastAsia"/>
                <w:sz w:val="24"/>
              </w:rPr>
              <w:t>3,000,000</w:t>
            </w:r>
          </w:p>
        </w:tc>
        <w:tc>
          <w:tcPr>
            <w:tcW w:w="1503" w:type="dxa"/>
            <w:vAlign w:val="center"/>
          </w:tcPr>
          <w:p w:rsidR="006E4BA5" w:rsidRDefault="00072BEF">
            <w:pPr>
              <w:jc w:val="center"/>
            </w:pPr>
            <w:r>
              <w:rPr>
                <w:rFonts w:hint="eastAsia"/>
                <w:sz w:val="24"/>
              </w:rPr>
              <w:t>295,307,071.85</w:t>
            </w:r>
          </w:p>
        </w:tc>
        <w:tc>
          <w:tcPr>
            <w:tcW w:w="1503" w:type="dxa"/>
            <w:vAlign w:val="center"/>
          </w:tcPr>
          <w:p w:rsidR="006E4BA5" w:rsidRDefault="00072BEF">
            <w:pPr>
              <w:jc w:val="center"/>
            </w:pPr>
            <w:r>
              <w:rPr>
                <w:rFonts w:hint="eastAsia"/>
                <w:sz w:val="24"/>
              </w:rPr>
              <w:t>2.51</w:t>
            </w:r>
          </w:p>
        </w:tc>
      </w:tr>
      <w:tr w:rsidR="006E4BA5">
        <w:tc>
          <w:tcPr>
            <w:tcW w:w="1493" w:type="dxa"/>
            <w:vAlign w:val="center"/>
          </w:tcPr>
          <w:p w:rsidR="006E4BA5" w:rsidRDefault="00072BEF">
            <w:pPr>
              <w:jc w:val="center"/>
            </w:pPr>
            <w:r>
              <w:rPr>
                <w:rFonts w:hint="eastAsia"/>
                <w:sz w:val="24"/>
              </w:rPr>
              <w:t>5</w:t>
            </w:r>
          </w:p>
        </w:tc>
        <w:tc>
          <w:tcPr>
            <w:tcW w:w="1493" w:type="dxa"/>
            <w:vAlign w:val="center"/>
          </w:tcPr>
          <w:p w:rsidR="006E4BA5" w:rsidRDefault="00072BEF">
            <w:pPr>
              <w:jc w:val="center"/>
            </w:pPr>
            <w:r>
              <w:rPr>
                <w:rFonts w:hint="eastAsia"/>
                <w:sz w:val="24"/>
              </w:rPr>
              <w:t>111885322</w:t>
            </w:r>
          </w:p>
        </w:tc>
        <w:tc>
          <w:tcPr>
            <w:tcW w:w="1503" w:type="dxa"/>
            <w:vAlign w:val="center"/>
          </w:tcPr>
          <w:p w:rsidR="006E4BA5" w:rsidRDefault="00072BEF">
            <w:pPr>
              <w:jc w:val="center"/>
            </w:pPr>
            <w:r>
              <w:rPr>
                <w:rFonts w:hint="eastAsia"/>
                <w:sz w:val="24"/>
              </w:rPr>
              <w:t>18</w:t>
            </w:r>
            <w:r>
              <w:rPr>
                <w:rFonts w:hint="eastAsia"/>
                <w:sz w:val="24"/>
              </w:rPr>
              <w:t>贵州银行</w:t>
            </w:r>
            <w:r>
              <w:rPr>
                <w:rFonts w:hint="eastAsia"/>
                <w:sz w:val="24"/>
              </w:rPr>
              <w:t>CD033</w:t>
            </w:r>
          </w:p>
        </w:tc>
        <w:tc>
          <w:tcPr>
            <w:tcW w:w="1503" w:type="dxa"/>
            <w:vAlign w:val="center"/>
          </w:tcPr>
          <w:p w:rsidR="006E4BA5" w:rsidRDefault="00072BEF">
            <w:pPr>
              <w:jc w:val="center"/>
            </w:pPr>
            <w:r>
              <w:rPr>
                <w:rFonts w:hint="eastAsia"/>
                <w:sz w:val="24"/>
              </w:rPr>
              <w:t>3,000,000</w:t>
            </w:r>
          </w:p>
        </w:tc>
        <w:tc>
          <w:tcPr>
            <w:tcW w:w="1503" w:type="dxa"/>
            <w:vAlign w:val="center"/>
          </w:tcPr>
          <w:p w:rsidR="006E4BA5" w:rsidRDefault="00072BEF">
            <w:pPr>
              <w:jc w:val="center"/>
            </w:pPr>
            <w:r>
              <w:rPr>
                <w:rFonts w:hint="eastAsia"/>
                <w:sz w:val="24"/>
              </w:rPr>
              <w:t>294,804,435.51</w:t>
            </w:r>
          </w:p>
        </w:tc>
        <w:tc>
          <w:tcPr>
            <w:tcW w:w="1503" w:type="dxa"/>
            <w:vAlign w:val="center"/>
          </w:tcPr>
          <w:p w:rsidR="006E4BA5" w:rsidRDefault="00072BEF">
            <w:pPr>
              <w:jc w:val="center"/>
            </w:pPr>
            <w:r>
              <w:rPr>
                <w:rFonts w:hint="eastAsia"/>
                <w:sz w:val="24"/>
              </w:rPr>
              <w:t>2.50</w:t>
            </w:r>
          </w:p>
        </w:tc>
      </w:tr>
      <w:tr w:rsidR="006E4BA5">
        <w:tc>
          <w:tcPr>
            <w:tcW w:w="1493" w:type="dxa"/>
            <w:vAlign w:val="center"/>
          </w:tcPr>
          <w:p w:rsidR="006E4BA5" w:rsidRDefault="00072BEF">
            <w:pPr>
              <w:jc w:val="center"/>
            </w:pPr>
            <w:r>
              <w:rPr>
                <w:rFonts w:hint="eastAsia"/>
                <w:sz w:val="24"/>
              </w:rPr>
              <w:t>6</w:t>
            </w:r>
          </w:p>
        </w:tc>
        <w:tc>
          <w:tcPr>
            <w:tcW w:w="1493" w:type="dxa"/>
            <w:vAlign w:val="center"/>
          </w:tcPr>
          <w:p w:rsidR="006E4BA5" w:rsidRDefault="00072BEF">
            <w:pPr>
              <w:jc w:val="center"/>
            </w:pPr>
            <w:r>
              <w:rPr>
                <w:rFonts w:hint="eastAsia"/>
                <w:sz w:val="24"/>
              </w:rPr>
              <w:t>180404</w:t>
            </w:r>
          </w:p>
        </w:tc>
        <w:tc>
          <w:tcPr>
            <w:tcW w:w="1503" w:type="dxa"/>
            <w:vAlign w:val="center"/>
          </w:tcPr>
          <w:p w:rsidR="006E4BA5" w:rsidRDefault="00072BEF">
            <w:pPr>
              <w:jc w:val="center"/>
            </w:pPr>
            <w:r>
              <w:rPr>
                <w:rFonts w:hint="eastAsia"/>
                <w:sz w:val="24"/>
              </w:rPr>
              <w:t>18</w:t>
            </w:r>
            <w:r>
              <w:rPr>
                <w:rFonts w:hint="eastAsia"/>
                <w:sz w:val="24"/>
              </w:rPr>
              <w:t>农发</w:t>
            </w:r>
            <w:r>
              <w:rPr>
                <w:rFonts w:hint="eastAsia"/>
                <w:sz w:val="24"/>
              </w:rPr>
              <w:t>04</w:t>
            </w:r>
          </w:p>
        </w:tc>
        <w:tc>
          <w:tcPr>
            <w:tcW w:w="1503" w:type="dxa"/>
            <w:vAlign w:val="center"/>
          </w:tcPr>
          <w:p w:rsidR="006E4BA5" w:rsidRDefault="00072BEF">
            <w:pPr>
              <w:jc w:val="center"/>
            </w:pPr>
            <w:r>
              <w:rPr>
                <w:rFonts w:hint="eastAsia"/>
                <w:sz w:val="24"/>
              </w:rPr>
              <w:t>2,500,000</w:t>
            </w:r>
          </w:p>
        </w:tc>
        <w:tc>
          <w:tcPr>
            <w:tcW w:w="1503" w:type="dxa"/>
            <w:vAlign w:val="center"/>
          </w:tcPr>
          <w:p w:rsidR="006E4BA5" w:rsidRDefault="00072BEF">
            <w:pPr>
              <w:jc w:val="center"/>
            </w:pPr>
            <w:r>
              <w:rPr>
                <w:rFonts w:hint="eastAsia"/>
                <w:sz w:val="24"/>
              </w:rPr>
              <w:t>250,307,081.23</w:t>
            </w:r>
          </w:p>
        </w:tc>
        <w:tc>
          <w:tcPr>
            <w:tcW w:w="1503" w:type="dxa"/>
            <w:vAlign w:val="center"/>
          </w:tcPr>
          <w:p w:rsidR="006E4BA5" w:rsidRDefault="00072BEF">
            <w:pPr>
              <w:jc w:val="center"/>
            </w:pPr>
            <w:r>
              <w:rPr>
                <w:rFonts w:hint="eastAsia"/>
                <w:sz w:val="24"/>
              </w:rPr>
              <w:t>2.13</w:t>
            </w:r>
          </w:p>
        </w:tc>
      </w:tr>
      <w:tr w:rsidR="006E4BA5">
        <w:tc>
          <w:tcPr>
            <w:tcW w:w="1493" w:type="dxa"/>
            <w:vAlign w:val="center"/>
          </w:tcPr>
          <w:p w:rsidR="006E4BA5" w:rsidRDefault="00072BEF">
            <w:pPr>
              <w:jc w:val="center"/>
            </w:pPr>
            <w:r>
              <w:rPr>
                <w:rFonts w:hint="eastAsia"/>
                <w:sz w:val="24"/>
              </w:rPr>
              <w:t>7</w:t>
            </w:r>
          </w:p>
        </w:tc>
        <w:tc>
          <w:tcPr>
            <w:tcW w:w="1493" w:type="dxa"/>
            <w:vAlign w:val="center"/>
          </w:tcPr>
          <w:p w:rsidR="006E4BA5" w:rsidRDefault="00072BEF">
            <w:pPr>
              <w:jc w:val="center"/>
            </w:pPr>
            <w:r>
              <w:rPr>
                <w:rFonts w:hint="eastAsia"/>
                <w:sz w:val="24"/>
              </w:rPr>
              <w:t>111889507</w:t>
            </w:r>
          </w:p>
        </w:tc>
        <w:tc>
          <w:tcPr>
            <w:tcW w:w="1503" w:type="dxa"/>
            <w:vAlign w:val="center"/>
          </w:tcPr>
          <w:p w:rsidR="006E4BA5" w:rsidRDefault="00072BEF">
            <w:pPr>
              <w:jc w:val="center"/>
            </w:pPr>
            <w:r>
              <w:rPr>
                <w:rFonts w:hint="eastAsia"/>
                <w:sz w:val="24"/>
              </w:rPr>
              <w:t>18</w:t>
            </w:r>
            <w:r>
              <w:rPr>
                <w:rFonts w:hint="eastAsia"/>
                <w:sz w:val="24"/>
              </w:rPr>
              <w:t>邯郸银行</w:t>
            </w:r>
            <w:r>
              <w:rPr>
                <w:rFonts w:hint="eastAsia"/>
                <w:sz w:val="24"/>
              </w:rPr>
              <w:t>CD318</w:t>
            </w:r>
          </w:p>
        </w:tc>
        <w:tc>
          <w:tcPr>
            <w:tcW w:w="1503" w:type="dxa"/>
            <w:vAlign w:val="center"/>
          </w:tcPr>
          <w:p w:rsidR="006E4BA5" w:rsidRDefault="00072BEF">
            <w:pPr>
              <w:jc w:val="center"/>
            </w:pPr>
            <w:r>
              <w:rPr>
                <w:rFonts w:hint="eastAsia"/>
                <w:sz w:val="24"/>
              </w:rPr>
              <w:t>2,000,000</w:t>
            </w:r>
          </w:p>
        </w:tc>
        <w:tc>
          <w:tcPr>
            <w:tcW w:w="1503" w:type="dxa"/>
            <w:vAlign w:val="center"/>
          </w:tcPr>
          <w:p w:rsidR="006E4BA5" w:rsidRDefault="00072BEF">
            <w:pPr>
              <w:jc w:val="center"/>
            </w:pPr>
            <w:r>
              <w:rPr>
                <w:rFonts w:hint="eastAsia"/>
                <w:sz w:val="24"/>
              </w:rPr>
              <w:t>199,061,083.01</w:t>
            </w:r>
          </w:p>
        </w:tc>
        <w:tc>
          <w:tcPr>
            <w:tcW w:w="1503" w:type="dxa"/>
            <w:vAlign w:val="center"/>
          </w:tcPr>
          <w:p w:rsidR="006E4BA5" w:rsidRDefault="00072BEF">
            <w:pPr>
              <w:jc w:val="center"/>
            </w:pPr>
            <w:r>
              <w:rPr>
                <w:rFonts w:hint="eastAsia"/>
                <w:sz w:val="24"/>
              </w:rPr>
              <w:t>1.69</w:t>
            </w:r>
          </w:p>
        </w:tc>
      </w:tr>
      <w:tr w:rsidR="006E4BA5">
        <w:tc>
          <w:tcPr>
            <w:tcW w:w="1493" w:type="dxa"/>
            <w:vAlign w:val="center"/>
          </w:tcPr>
          <w:p w:rsidR="006E4BA5" w:rsidRDefault="00072BEF">
            <w:pPr>
              <w:jc w:val="center"/>
            </w:pPr>
            <w:r>
              <w:rPr>
                <w:rFonts w:hint="eastAsia"/>
                <w:sz w:val="24"/>
              </w:rPr>
              <w:t>8</w:t>
            </w:r>
          </w:p>
        </w:tc>
        <w:tc>
          <w:tcPr>
            <w:tcW w:w="1493" w:type="dxa"/>
            <w:vAlign w:val="center"/>
          </w:tcPr>
          <w:p w:rsidR="006E4BA5" w:rsidRDefault="00072BEF">
            <w:pPr>
              <w:jc w:val="center"/>
            </w:pPr>
            <w:r>
              <w:rPr>
                <w:rFonts w:hint="eastAsia"/>
                <w:sz w:val="24"/>
              </w:rPr>
              <w:t>111884799</w:t>
            </w:r>
          </w:p>
        </w:tc>
        <w:tc>
          <w:tcPr>
            <w:tcW w:w="1503" w:type="dxa"/>
            <w:vAlign w:val="center"/>
          </w:tcPr>
          <w:p w:rsidR="006E4BA5" w:rsidRDefault="00072BEF">
            <w:pPr>
              <w:jc w:val="center"/>
            </w:pPr>
            <w:r>
              <w:rPr>
                <w:rFonts w:hint="eastAsia"/>
                <w:sz w:val="24"/>
              </w:rPr>
              <w:t>18</w:t>
            </w:r>
            <w:r>
              <w:rPr>
                <w:rFonts w:hint="eastAsia"/>
                <w:sz w:val="24"/>
              </w:rPr>
              <w:t>大连银行</w:t>
            </w:r>
            <w:r>
              <w:rPr>
                <w:rFonts w:hint="eastAsia"/>
                <w:sz w:val="24"/>
              </w:rPr>
              <w:t>CD147</w:t>
            </w:r>
          </w:p>
        </w:tc>
        <w:tc>
          <w:tcPr>
            <w:tcW w:w="1503" w:type="dxa"/>
            <w:vAlign w:val="center"/>
          </w:tcPr>
          <w:p w:rsidR="006E4BA5" w:rsidRDefault="00072BEF">
            <w:pPr>
              <w:jc w:val="center"/>
            </w:pPr>
            <w:r>
              <w:rPr>
                <w:rFonts w:hint="eastAsia"/>
                <w:sz w:val="24"/>
              </w:rPr>
              <w:t>2,000,000</w:t>
            </w:r>
          </w:p>
        </w:tc>
        <w:tc>
          <w:tcPr>
            <w:tcW w:w="1503" w:type="dxa"/>
            <w:vAlign w:val="center"/>
          </w:tcPr>
          <w:p w:rsidR="006E4BA5" w:rsidRDefault="00072BEF">
            <w:pPr>
              <w:jc w:val="center"/>
            </w:pPr>
            <w:r>
              <w:rPr>
                <w:rFonts w:hint="eastAsia"/>
                <w:sz w:val="24"/>
              </w:rPr>
              <w:t>198,710,912.35</w:t>
            </w:r>
          </w:p>
        </w:tc>
        <w:tc>
          <w:tcPr>
            <w:tcW w:w="1503" w:type="dxa"/>
            <w:vAlign w:val="center"/>
          </w:tcPr>
          <w:p w:rsidR="006E4BA5" w:rsidRDefault="00072BEF">
            <w:pPr>
              <w:jc w:val="center"/>
            </w:pPr>
            <w:r>
              <w:rPr>
                <w:rFonts w:hint="eastAsia"/>
                <w:sz w:val="24"/>
              </w:rPr>
              <w:t>1.69</w:t>
            </w:r>
          </w:p>
        </w:tc>
      </w:tr>
      <w:tr w:rsidR="006E4BA5">
        <w:tc>
          <w:tcPr>
            <w:tcW w:w="1493" w:type="dxa"/>
            <w:vAlign w:val="center"/>
          </w:tcPr>
          <w:p w:rsidR="006E4BA5" w:rsidRDefault="00072BEF">
            <w:pPr>
              <w:jc w:val="center"/>
            </w:pPr>
            <w:r>
              <w:rPr>
                <w:rFonts w:hint="eastAsia"/>
                <w:sz w:val="24"/>
              </w:rPr>
              <w:t>9</w:t>
            </w:r>
          </w:p>
        </w:tc>
        <w:tc>
          <w:tcPr>
            <w:tcW w:w="1493" w:type="dxa"/>
            <w:vAlign w:val="center"/>
          </w:tcPr>
          <w:p w:rsidR="006E4BA5" w:rsidRDefault="00072BEF">
            <w:pPr>
              <w:jc w:val="center"/>
            </w:pPr>
            <w:r>
              <w:rPr>
                <w:rFonts w:hint="eastAsia"/>
                <w:sz w:val="24"/>
              </w:rPr>
              <w:t>111871653</w:t>
            </w:r>
          </w:p>
        </w:tc>
        <w:tc>
          <w:tcPr>
            <w:tcW w:w="1503" w:type="dxa"/>
            <w:vAlign w:val="center"/>
          </w:tcPr>
          <w:p w:rsidR="006E4BA5" w:rsidRDefault="00072BEF">
            <w:pPr>
              <w:jc w:val="center"/>
            </w:pPr>
            <w:r>
              <w:rPr>
                <w:rFonts w:hint="eastAsia"/>
                <w:sz w:val="24"/>
              </w:rPr>
              <w:t>18</w:t>
            </w:r>
            <w:r>
              <w:rPr>
                <w:rFonts w:hint="eastAsia"/>
                <w:sz w:val="24"/>
              </w:rPr>
              <w:t>武汉农商行</w:t>
            </w:r>
            <w:r>
              <w:rPr>
                <w:rFonts w:hint="eastAsia"/>
                <w:sz w:val="24"/>
              </w:rPr>
              <w:t>CD058</w:t>
            </w:r>
          </w:p>
        </w:tc>
        <w:tc>
          <w:tcPr>
            <w:tcW w:w="1503" w:type="dxa"/>
            <w:vAlign w:val="center"/>
          </w:tcPr>
          <w:p w:rsidR="006E4BA5" w:rsidRDefault="00072BEF">
            <w:pPr>
              <w:jc w:val="center"/>
            </w:pPr>
            <w:r>
              <w:rPr>
                <w:rFonts w:hint="eastAsia"/>
                <w:sz w:val="24"/>
              </w:rPr>
              <w:t>2,000,000</w:t>
            </w:r>
          </w:p>
        </w:tc>
        <w:tc>
          <w:tcPr>
            <w:tcW w:w="1503" w:type="dxa"/>
            <w:vAlign w:val="center"/>
          </w:tcPr>
          <w:p w:rsidR="006E4BA5" w:rsidRDefault="00072BEF">
            <w:pPr>
              <w:jc w:val="center"/>
            </w:pPr>
            <w:r>
              <w:rPr>
                <w:rFonts w:hint="eastAsia"/>
                <w:sz w:val="24"/>
              </w:rPr>
              <w:t>198,669,374.14</w:t>
            </w:r>
          </w:p>
        </w:tc>
        <w:tc>
          <w:tcPr>
            <w:tcW w:w="1503" w:type="dxa"/>
            <w:vAlign w:val="center"/>
          </w:tcPr>
          <w:p w:rsidR="006E4BA5" w:rsidRDefault="00072BEF">
            <w:pPr>
              <w:jc w:val="center"/>
            </w:pPr>
            <w:r>
              <w:rPr>
                <w:rFonts w:hint="eastAsia"/>
                <w:sz w:val="24"/>
              </w:rPr>
              <w:t>1.69</w:t>
            </w:r>
          </w:p>
        </w:tc>
      </w:tr>
      <w:tr w:rsidR="006E4BA5">
        <w:tc>
          <w:tcPr>
            <w:tcW w:w="1493" w:type="dxa"/>
            <w:vAlign w:val="center"/>
          </w:tcPr>
          <w:p w:rsidR="006E4BA5" w:rsidRDefault="00072BEF">
            <w:pPr>
              <w:jc w:val="center"/>
            </w:pPr>
            <w:r>
              <w:rPr>
                <w:rFonts w:hint="eastAsia"/>
                <w:sz w:val="24"/>
              </w:rPr>
              <w:t>10</w:t>
            </w:r>
          </w:p>
        </w:tc>
        <w:tc>
          <w:tcPr>
            <w:tcW w:w="1493" w:type="dxa"/>
            <w:vAlign w:val="center"/>
          </w:tcPr>
          <w:p w:rsidR="006E4BA5" w:rsidRDefault="00072BEF">
            <w:pPr>
              <w:jc w:val="center"/>
            </w:pPr>
            <w:r>
              <w:rPr>
                <w:rFonts w:hint="eastAsia"/>
                <w:sz w:val="24"/>
              </w:rPr>
              <w:t>111819380</w:t>
            </w:r>
          </w:p>
        </w:tc>
        <w:tc>
          <w:tcPr>
            <w:tcW w:w="1503" w:type="dxa"/>
            <w:vAlign w:val="center"/>
          </w:tcPr>
          <w:p w:rsidR="006E4BA5" w:rsidRDefault="00072BEF">
            <w:pPr>
              <w:jc w:val="center"/>
            </w:pPr>
            <w:r>
              <w:rPr>
                <w:rFonts w:hint="eastAsia"/>
                <w:sz w:val="24"/>
              </w:rPr>
              <w:t>18</w:t>
            </w:r>
            <w:r>
              <w:rPr>
                <w:rFonts w:hint="eastAsia"/>
                <w:sz w:val="24"/>
              </w:rPr>
              <w:t>恒丰银行</w:t>
            </w:r>
            <w:r>
              <w:rPr>
                <w:rFonts w:hint="eastAsia"/>
                <w:sz w:val="24"/>
              </w:rPr>
              <w:t>CD380</w:t>
            </w:r>
          </w:p>
        </w:tc>
        <w:tc>
          <w:tcPr>
            <w:tcW w:w="1503" w:type="dxa"/>
            <w:vAlign w:val="center"/>
          </w:tcPr>
          <w:p w:rsidR="006E4BA5" w:rsidRDefault="00072BEF">
            <w:pPr>
              <w:jc w:val="center"/>
            </w:pPr>
            <w:r>
              <w:rPr>
                <w:rFonts w:hint="eastAsia"/>
                <w:sz w:val="24"/>
              </w:rPr>
              <w:t>2,000,000</w:t>
            </w:r>
          </w:p>
        </w:tc>
        <w:tc>
          <w:tcPr>
            <w:tcW w:w="1503" w:type="dxa"/>
            <w:vAlign w:val="center"/>
          </w:tcPr>
          <w:p w:rsidR="006E4BA5" w:rsidRDefault="00072BEF">
            <w:pPr>
              <w:jc w:val="center"/>
            </w:pPr>
            <w:r>
              <w:rPr>
                <w:rFonts w:hint="eastAsia"/>
                <w:sz w:val="24"/>
              </w:rPr>
              <w:t>198,608,946.72</w:t>
            </w:r>
          </w:p>
        </w:tc>
        <w:tc>
          <w:tcPr>
            <w:tcW w:w="1503" w:type="dxa"/>
            <w:vAlign w:val="center"/>
          </w:tcPr>
          <w:p w:rsidR="006E4BA5" w:rsidRDefault="00072BEF">
            <w:pPr>
              <w:jc w:val="center"/>
            </w:pPr>
            <w:r>
              <w:rPr>
                <w:rFonts w:hint="eastAsia"/>
                <w:sz w:val="24"/>
              </w:rPr>
              <w:t>1.69</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8"/>
      <w:r w:rsidRPr="00FB19E8">
        <w:rPr>
          <w:rFonts w:ascii="Times New Roman" w:hAnsi="Times New Roman" w:cs="Times New Roman" w:hint="eastAsia"/>
          <w:kern w:val="0"/>
          <w:szCs w:val="24"/>
        </w:rPr>
        <w:t>8.7</w:t>
      </w:r>
      <w:bookmarkEnd w:id="23"/>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42</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0.4255%</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0.0088%</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0.1498%</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09"/>
      <w:r w:rsidRPr="00FB19E8">
        <w:rPr>
          <w:rFonts w:ascii="Times New Roman" w:hAnsi="Times New Roman" w:cs="Times New Roman" w:hint="eastAsia"/>
          <w:kern w:val="0"/>
          <w:szCs w:val="24"/>
        </w:rPr>
        <w:t>8.8</w:t>
      </w:r>
      <w:bookmarkEnd w:id="24"/>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516B58">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序号</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证券代码</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证券名称</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数量（份）</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公允价值</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占基金资产净值比例</w:t>
            </w:r>
            <w:r w:rsidRPr="000604FF">
              <w:rPr>
                <w:sz w:val="24"/>
              </w:rPr>
              <w:t>(%)</w:t>
            </w:r>
          </w:p>
        </w:tc>
      </w:tr>
      <w:tr w:rsidR="006E4BA5">
        <w:tc>
          <w:tcPr>
            <w:tcW w:w="1499" w:type="dxa"/>
            <w:vAlign w:val="center"/>
          </w:tcPr>
          <w:p w:rsidR="006E4BA5" w:rsidRDefault="00072BEF">
            <w:pPr>
              <w:jc w:val="center"/>
            </w:pPr>
            <w:r>
              <w:rPr>
                <w:rFonts w:hint="eastAsia"/>
                <w:sz w:val="24"/>
              </w:rPr>
              <w:t>1</w:t>
            </w:r>
          </w:p>
        </w:tc>
        <w:tc>
          <w:tcPr>
            <w:tcW w:w="1499" w:type="dxa"/>
            <w:vAlign w:val="center"/>
          </w:tcPr>
          <w:p w:rsidR="006E4BA5" w:rsidRDefault="00072BEF">
            <w:pPr>
              <w:jc w:val="center"/>
            </w:pPr>
            <w:r>
              <w:rPr>
                <w:rFonts w:hint="eastAsia"/>
                <w:sz w:val="24"/>
              </w:rPr>
              <w:t>149295</w:t>
            </w:r>
          </w:p>
        </w:tc>
        <w:tc>
          <w:tcPr>
            <w:tcW w:w="1500" w:type="dxa"/>
            <w:vAlign w:val="center"/>
          </w:tcPr>
          <w:p w:rsidR="006E4BA5" w:rsidRDefault="00072BEF">
            <w:pPr>
              <w:jc w:val="center"/>
            </w:pPr>
            <w:r>
              <w:rPr>
                <w:rFonts w:hint="eastAsia"/>
                <w:sz w:val="24"/>
              </w:rPr>
              <w:t>宁远</w:t>
            </w:r>
            <w:r>
              <w:rPr>
                <w:rFonts w:hint="eastAsia"/>
                <w:sz w:val="24"/>
              </w:rPr>
              <w:t>02A2(</w:t>
            </w:r>
            <w:r>
              <w:rPr>
                <w:rFonts w:hint="eastAsia"/>
                <w:sz w:val="24"/>
              </w:rPr>
              <w:t>总价</w:t>
            </w:r>
            <w:r>
              <w:rPr>
                <w:rFonts w:hint="eastAsia"/>
                <w:sz w:val="24"/>
              </w:rPr>
              <w:t>)</w:t>
            </w:r>
          </w:p>
        </w:tc>
        <w:tc>
          <w:tcPr>
            <w:tcW w:w="1500" w:type="dxa"/>
            <w:vAlign w:val="center"/>
          </w:tcPr>
          <w:p w:rsidR="006E4BA5" w:rsidRDefault="00072BEF">
            <w:pPr>
              <w:jc w:val="right"/>
            </w:pPr>
            <w:r>
              <w:rPr>
                <w:rFonts w:hint="eastAsia"/>
                <w:sz w:val="24"/>
              </w:rPr>
              <w:t>900,000</w:t>
            </w:r>
          </w:p>
        </w:tc>
        <w:tc>
          <w:tcPr>
            <w:tcW w:w="1500" w:type="dxa"/>
            <w:vAlign w:val="center"/>
          </w:tcPr>
          <w:p w:rsidR="006E4BA5" w:rsidRDefault="00072BEF">
            <w:pPr>
              <w:jc w:val="right"/>
            </w:pPr>
            <w:r>
              <w:rPr>
                <w:rFonts w:hint="eastAsia"/>
                <w:sz w:val="24"/>
              </w:rPr>
              <w:t>71,955,000.00</w:t>
            </w:r>
          </w:p>
        </w:tc>
        <w:tc>
          <w:tcPr>
            <w:tcW w:w="1500" w:type="dxa"/>
            <w:vAlign w:val="center"/>
          </w:tcPr>
          <w:p w:rsidR="006E4BA5" w:rsidRDefault="00072BEF">
            <w:pPr>
              <w:jc w:val="right"/>
            </w:pPr>
            <w:r>
              <w:rPr>
                <w:rFonts w:hint="eastAsia"/>
                <w:sz w:val="24"/>
              </w:rPr>
              <w:t>0.61</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5" w:name="_Toc331410110"/>
      <w:r w:rsidRPr="00FB19E8">
        <w:rPr>
          <w:rFonts w:ascii="Times New Roman" w:hAnsi="Times New Roman" w:cs="Times New Roman" w:hint="eastAsia"/>
          <w:kern w:val="0"/>
          <w:szCs w:val="24"/>
        </w:rPr>
        <w:t xml:space="preserve">8.9 </w:t>
      </w:r>
      <w:r w:rsidRPr="00FB19E8">
        <w:rPr>
          <w:rFonts w:ascii="Times New Roman" w:hAnsi="Times New Roman" w:cs="Times New Roman" w:hint="eastAsia"/>
          <w:kern w:val="0"/>
          <w:szCs w:val="24"/>
        </w:rPr>
        <w:t>投资组合报告附注</w:t>
      </w:r>
      <w:bookmarkEnd w:id="25"/>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024F04" w:rsidRPr="00CB1276" w:rsidRDefault="00024F04" w:rsidP="00157CB3">
      <w:pPr>
        <w:spacing w:line="360" w:lineRule="auto"/>
        <w:rPr>
          <w:rFonts w:asciiTheme="minorEastAsia" w:eastAsiaTheme="minorEastAsia" w:hAnsiTheme="minorEastAsia"/>
          <w:szCs w:val="21"/>
        </w:rPr>
      </w:pP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37,898,499.03</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37,898,499.03</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交银理财</w:t>
            </w:r>
            <w:r w:rsidRPr="00947C5B">
              <w:rPr>
                <w:szCs w:val="21"/>
              </w:rPr>
              <w:t>60</w:t>
            </w:r>
            <w:r w:rsidRPr="00947C5B">
              <w:rPr>
                <w:szCs w:val="21"/>
              </w:rPr>
              <w:t>天债券</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206</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43,478.83</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4,076,891.45</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45.52%</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4,879,747.45</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54.48%</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交银理财</w:t>
            </w:r>
            <w:r w:rsidRPr="00947C5B">
              <w:rPr>
                <w:szCs w:val="21"/>
              </w:rPr>
              <w:t>60</w:t>
            </w:r>
            <w:r w:rsidRPr="00947C5B">
              <w:rPr>
                <w:szCs w:val="21"/>
              </w:rPr>
              <w:t>天债券</w:t>
            </w:r>
            <w:r w:rsidRPr="00947C5B">
              <w:rPr>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25</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470,394,386.83</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11,759,859,670.82</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231</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50,947,256.75</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11,763,936,562.27</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99.96%</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4,879,747.45</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0.04%</w:t>
            </w:r>
          </w:p>
        </w:tc>
      </w:tr>
    </w:tbl>
    <w:p w:rsidR="00A66BB5" w:rsidRPr="00A85DBF" w:rsidRDefault="00A66BB5" w:rsidP="004B36C2">
      <w:pPr>
        <w:spacing w:line="360" w:lineRule="auto"/>
        <w:rPr>
          <w:rFonts w:asciiTheme="minorEastAsia" w:eastAsiaTheme="minorEastAsia" w:hAnsiTheme="minorEastAsia"/>
          <w:szCs w:val="21"/>
        </w:rPr>
      </w:pPr>
    </w:p>
    <w:p w:rsidR="006D141C" w:rsidRDefault="00A66BB5" w:rsidP="00F02139">
      <w:pPr>
        <w:pStyle w:val="20"/>
        <w:spacing w:before="29" w:after="0" w:line="288" w:lineRule="auto"/>
        <w:rPr>
          <w:rFonts w:asciiTheme="minorEastAsia" w:eastAsiaTheme="minorEastAsia" w:hAnsiTheme="minorEastAsia"/>
          <w:szCs w:val="21"/>
        </w:rPr>
      </w:pPr>
      <w:bookmarkStart w:id="30" w:name="_Toc331410113"/>
      <w:r w:rsidRPr="00FB19E8">
        <w:rPr>
          <w:rFonts w:ascii="Times New Roman" w:hAnsi="Times New Roman" w:cs="Times New Roman" w:hint="eastAsia"/>
          <w:kern w:val="0"/>
          <w:szCs w:val="24"/>
        </w:rPr>
        <w:t>9.2</w:t>
      </w:r>
      <w:r w:rsidRPr="00FB19E8">
        <w:rPr>
          <w:rFonts w:ascii="Times New Roman" w:hAnsi="Times New Roman" w:cs="Times New Roman" w:hint="eastAsia"/>
          <w:kern w:val="0"/>
          <w:szCs w:val="24"/>
        </w:rPr>
        <w:t>期末基金管理人的从业人员持有本基金的情况</w:t>
      </w:r>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4E65B4">
        <w:trPr>
          <w:trHeight w:val="285"/>
        </w:trPr>
        <w:tc>
          <w:tcPr>
            <w:tcW w:w="2268"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4E65B4">
        <w:trPr>
          <w:trHeight w:val="285"/>
        </w:trPr>
        <w:tc>
          <w:tcPr>
            <w:tcW w:w="2268" w:type="dxa"/>
            <w:vMerge w:val="restart"/>
            <w:noWrap/>
            <w:vAlign w:val="center"/>
          </w:tcPr>
          <w:p w:rsidR="00F02139" w:rsidRPr="00D0515B" w:rsidRDefault="00F02139" w:rsidP="004E65B4">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4E65B4">
            <w:pPr>
              <w:spacing w:before="29" w:line="288" w:lineRule="auto"/>
              <w:rPr>
                <w:sz w:val="24"/>
              </w:rPr>
            </w:pPr>
            <w:r w:rsidRPr="00BF1B19">
              <w:rPr>
                <w:rFonts w:hint="eastAsia"/>
                <w:sz w:val="24"/>
              </w:rPr>
              <w:t>交银理财</w:t>
            </w:r>
            <w:r w:rsidRPr="00BF1B19">
              <w:rPr>
                <w:rFonts w:hint="eastAsia"/>
                <w:sz w:val="24"/>
              </w:rPr>
              <w:t>60</w:t>
            </w:r>
            <w:r w:rsidRPr="00BF1B19">
              <w:rPr>
                <w:rFonts w:hint="eastAsia"/>
                <w:sz w:val="24"/>
              </w:rPr>
              <w:t>天债券</w:t>
            </w:r>
            <w:r w:rsidRPr="00BF1B19">
              <w:rPr>
                <w:rFonts w:hint="eastAsia"/>
                <w:sz w:val="24"/>
              </w:rPr>
              <w:t>A</w:t>
            </w:r>
          </w:p>
        </w:tc>
        <w:tc>
          <w:tcPr>
            <w:tcW w:w="2126"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933.33</w:t>
            </w:r>
          </w:p>
        </w:tc>
        <w:tc>
          <w:tcPr>
            <w:tcW w:w="1910"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0.01%</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4E65B4" w:rsidP="004E65B4">
            <w:pPr>
              <w:spacing w:before="29" w:line="288" w:lineRule="auto"/>
              <w:rPr>
                <w:color w:val="000000"/>
                <w:kern w:val="0"/>
                <w:sz w:val="24"/>
              </w:rPr>
            </w:pPr>
            <w:r>
              <w:rPr>
                <w:rFonts w:hint="eastAsia"/>
                <w:sz w:val="24"/>
              </w:rPr>
              <w:t>交银理财</w:t>
            </w:r>
            <w:r>
              <w:rPr>
                <w:rFonts w:hint="eastAsia"/>
                <w:sz w:val="24"/>
              </w:rPr>
              <w:t>60</w:t>
            </w:r>
            <w:r>
              <w:rPr>
                <w:rFonts w:hint="eastAsia"/>
                <w:sz w:val="24"/>
              </w:rPr>
              <w:t>天债券</w:t>
            </w:r>
            <w:r>
              <w:rPr>
                <w:rFonts w:hint="eastAsia"/>
                <w:sz w:val="24"/>
              </w:rPr>
              <w:t>B</w:t>
            </w:r>
          </w:p>
        </w:tc>
        <w:tc>
          <w:tcPr>
            <w:tcW w:w="2126"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c>
          <w:tcPr>
            <w:tcW w:w="1910"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4E65B4">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933.33</w:t>
            </w:r>
          </w:p>
        </w:tc>
        <w:tc>
          <w:tcPr>
            <w:tcW w:w="1910"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0.00%</w:t>
            </w:r>
          </w:p>
        </w:tc>
      </w:tr>
    </w:tbl>
    <w:p w:rsidR="00F02139" w:rsidRPr="00F02139" w:rsidRDefault="00F02139" w:rsidP="004B36C2">
      <w:pPr>
        <w:spacing w:line="360" w:lineRule="auto"/>
        <w:rPr>
          <w:rFonts w:asciiTheme="minorEastAsia" w:eastAsiaTheme="minorEastAsia" w:hAnsiTheme="minorEastAsia"/>
          <w:szCs w:val="21"/>
        </w:rPr>
      </w:pPr>
    </w:p>
    <w:p w:rsidR="00CD1658" w:rsidRPr="00FB19E8" w:rsidRDefault="00CD1658"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9.3</w:t>
      </w:r>
      <w:r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60</w:t>
            </w:r>
            <w:r w:rsidRPr="005B286F">
              <w:rPr>
                <w:rFonts w:hint="eastAsia"/>
                <w:sz w:val="24"/>
              </w:rPr>
              <w:t>天债券</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60</w:t>
            </w:r>
            <w:r w:rsidRPr="005B286F">
              <w:rPr>
                <w:rFonts w:hint="eastAsia"/>
                <w:sz w:val="24"/>
              </w:rPr>
              <w:t>天债券</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60</w:t>
            </w:r>
            <w:r w:rsidRPr="005B286F">
              <w:rPr>
                <w:rFonts w:hint="eastAsia"/>
                <w:sz w:val="24"/>
              </w:rPr>
              <w:t>天债券</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60</w:t>
            </w:r>
            <w:r w:rsidRPr="005B286F">
              <w:rPr>
                <w:rFonts w:hint="eastAsia"/>
                <w:sz w:val="24"/>
              </w:rPr>
              <w:t>天债券</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31" w:name="_Toc331410115"/>
      <w:bookmarkStart w:id="32"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1"/>
      <w:bookmarkEnd w:id="32"/>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交银理财</w:t>
            </w:r>
            <w:r w:rsidRPr="0031518D">
              <w:rPr>
                <w:rFonts w:hint="eastAsia"/>
                <w:sz w:val="24"/>
              </w:rPr>
              <w:t>60</w:t>
            </w:r>
            <w:r w:rsidRPr="0031518D">
              <w:rPr>
                <w:rFonts w:hint="eastAsia"/>
                <w:sz w:val="24"/>
              </w:rPr>
              <w:t>天债券</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交银理财</w:t>
            </w:r>
            <w:r>
              <w:rPr>
                <w:rFonts w:hint="eastAsia"/>
                <w:sz w:val="24"/>
              </w:rPr>
              <w:t>60</w:t>
            </w:r>
            <w:r>
              <w:rPr>
                <w:rFonts w:hint="eastAsia"/>
                <w:sz w:val="24"/>
              </w:rPr>
              <w:t>天债券</w:t>
            </w:r>
            <w:r>
              <w:rPr>
                <w:rFonts w:hint="eastAsia"/>
                <w:sz w:val="24"/>
              </w:rPr>
              <w:t>B</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2013</w:t>
            </w:r>
            <w:r w:rsidRPr="0031518D">
              <w:rPr>
                <w:rFonts w:hint="eastAsia"/>
                <w:sz w:val="24"/>
              </w:rPr>
              <w:t>年</w:t>
            </w:r>
            <w:r w:rsidRPr="0031518D">
              <w:rPr>
                <w:rFonts w:hint="eastAsia"/>
                <w:sz w:val="24"/>
              </w:rPr>
              <w:t>3</w:t>
            </w:r>
            <w:r w:rsidRPr="0031518D">
              <w:rPr>
                <w:rFonts w:hint="eastAsia"/>
                <w:sz w:val="24"/>
              </w:rPr>
              <w:t>月</w:t>
            </w:r>
            <w:r w:rsidRPr="0031518D">
              <w:rPr>
                <w:rFonts w:hint="eastAsia"/>
                <w:sz w:val="24"/>
              </w:rPr>
              <w:t>13</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756,744,683.05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21,172,518.09</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9,650,918.64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4,947,259,751.92</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9,039,255.06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18,865,093,019.57</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9,733,534.80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12,052,493,100.67</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8,956,638.90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11,759,859,670.82</w:t>
            </w:r>
          </w:p>
        </w:tc>
      </w:tr>
    </w:tbl>
    <w:p w:rsidR="006E4BA5" w:rsidRDefault="00072BEF">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5124D4">
      <w:pPr>
        <w:spacing w:before="29" w:line="288" w:lineRule="auto"/>
        <w:jc w:val="left"/>
        <w:rPr>
          <w:kern w:val="0"/>
          <w:sz w:val="24"/>
        </w:rPr>
      </w:pPr>
      <w:r w:rsidRPr="005124D4">
        <w:rPr>
          <w:rFonts w:hint="eastAsia"/>
          <w:kern w:val="0"/>
          <w:sz w:val="24"/>
        </w:rPr>
        <w:t xml:space="preserve">    2</w:t>
      </w:r>
      <w:r w:rsidRPr="005124D4">
        <w:rPr>
          <w:rFonts w:hint="eastAsia"/>
          <w:kern w:val="0"/>
          <w:sz w:val="24"/>
        </w:rPr>
        <w:t>、如果本报告期间发生转换出业务，则总赎回份额中包含该业务。</w:t>
      </w:r>
    </w:p>
    <w:p w:rsidR="005D5C49" w:rsidRPr="005124D4" w:rsidRDefault="005D5C49" w:rsidP="005124D4">
      <w:pPr>
        <w:spacing w:before="29" w:line="288" w:lineRule="auto"/>
        <w:jc w:val="left"/>
        <w:rPr>
          <w:kern w:val="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33" w:name="_Toc331410116"/>
      <w:bookmarkStart w:id="34"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3"/>
      <w:bookmarkEnd w:id="34"/>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5"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5"/>
    </w:p>
    <w:p w:rsidR="006D141C" w:rsidRDefault="006D141C" w:rsidP="0081565E">
      <w:pPr>
        <w:spacing w:before="29" w:line="288" w:lineRule="auto"/>
        <w:ind w:firstLineChars="200" w:firstLine="480"/>
        <w:rPr>
          <w:color w:val="000000"/>
          <w:sz w:val="24"/>
        </w:rPr>
      </w:pPr>
      <w:bookmarkStart w:id="36"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6"/>
    </w:p>
    <w:p w:rsidR="006E4BA5" w:rsidRDefault="00072BEF">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w:t>
      </w:r>
    </w:p>
    <w:p w:rsidR="006E4BA5" w:rsidRDefault="00072BEF">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）本基金管理人于</w:t>
      </w:r>
      <w:r>
        <w:rPr>
          <w:rFonts w:hint="eastAsia"/>
          <w:color w:val="000000"/>
          <w:sz w:val="24"/>
        </w:rPr>
        <w:t>2018</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日发布公告，经公司第四届董事会第三十二次会议审议通过，同意苏奋先生辞去公司督察长职务，并于</w:t>
      </w:r>
      <w:r>
        <w:rPr>
          <w:rFonts w:hint="eastAsia"/>
          <w:color w:val="000000"/>
          <w:sz w:val="24"/>
        </w:rPr>
        <w:t>2018</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28</w:t>
      </w:r>
      <w:r>
        <w:rPr>
          <w:rFonts w:hint="eastAsia"/>
          <w:color w:val="000000"/>
          <w:sz w:val="24"/>
        </w:rPr>
        <w:t>日发布公告，经公司第四届董事会第三十三次会议审议通过，同意佘川女士担任公司督察长职务；</w:t>
      </w:r>
    </w:p>
    <w:p w:rsidR="006E4BA5" w:rsidRDefault="00072BEF">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）本基金管理人于</w:t>
      </w:r>
      <w:r>
        <w:rPr>
          <w:rFonts w:hint="eastAsia"/>
          <w:color w:val="000000"/>
          <w:sz w:val="24"/>
        </w:rPr>
        <w:t>2018</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20</w:t>
      </w:r>
      <w:r>
        <w:rPr>
          <w:rFonts w:hint="eastAsia"/>
          <w:color w:val="000000"/>
          <w:sz w:val="24"/>
        </w:rPr>
        <w:t>日发布公告，经公司第五届董事会第一次会议审议通过，选举阮红女士担任公司董事长（法定代表人），并于</w:t>
      </w:r>
      <w:r>
        <w:rPr>
          <w:rFonts w:hint="eastAsia"/>
          <w:color w:val="000000"/>
          <w:sz w:val="24"/>
        </w:rPr>
        <w:t>2019</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28</w:t>
      </w:r>
      <w:r>
        <w:rPr>
          <w:rFonts w:hint="eastAsia"/>
          <w:color w:val="000000"/>
          <w:sz w:val="24"/>
        </w:rPr>
        <w:t>日发布公告，经公司第五届董事会第五次会议审议通过，选举谢卫先生担任公司总经理，阮红女士不再担任公司总经理。期后变动敬请关注基金管理人发布的相关公告。</w:t>
      </w:r>
      <w:r>
        <w:rPr>
          <w:rFonts w:hint="eastAsia"/>
          <w:color w:val="000000"/>
          <w:sz w:val="24"/>
        </w:rPr>
        <w:t xml:space="preserve"> </w:t>
      </w:r>
    </w:p>
    <w:p w:rsidR="006D141C" w:rsidRDefault="006D141C" w:rsidP="0081565E">
      <w:pPr>
        <w:spacing w:before="29" w:line="288" w:lineRule="auto"/>
        <w:ind w:firstLineChars="200" w:firstLine="480"/>
        <w:rPr>
          <w:color w:val="000000"/>
          <w:sz w:val="24"/>
        </w:rPr>
      </w:pPr>
      <w:bookmarkStart w:id="37" w:name="_Toc331410119"/>
      <w:r w:rsidRPr="0081565E">
        <w:rPr>
          <w:rFonts w:hint="eastAsia"/>
          <w:color w:val="000000"/>
          <w:sz w:val="24"/>
        </w:rPr>
        <w:t>2</w:t>
      </w:r>
      <w:r w:rsidRPr="0081565E">
        <w:rPr>
          <w:rFonts w:hint="eastAsia"/>
          <w:color w:val="000000"/>
          <w:sz w:val="24"/>
        </w:rPr>
        <w:t>、基金托管人的基金托管部门的重大人事变动：本基金托管人的专门基金托管部门本报告期内未发生重大人事变动。</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7"/>
    </w:p>
    <w:p w:rsidR="006D141C" w:rsidRDefault="006D141C" w:rsidP="0081565E">
      <w:pPr>
        <w:spacing w:before="29" w:line="288" w:lineRule="auto"/>
        <w:ind w:firstLineChars="200" w:firstLine="480"/>
        <w:rPr>
          <w:color w:val="000000"/>
          <w:sz w:val="24"/>
        </w:rPr>
      </w:pPr>
      <w:bookmarkStart w:id="38"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8"/>
    </w:p>
    <w:p w:rsidR="006D141C" w:rsidRDefault="006D141C" w:rsidP="0081565E">
      <w:pPr>
        <w:spacing w:before="29" w:line="288" w:lineRule="auto"/>
        <w:ind w:firstLineChars="200" w:firstLine="480"/>
        <w:rPr>
          <w:color w:val="000000"/>
          <w:sz w:val="24"/>
        </w:rPr>
      </w:pPr>
      <w:bookmarkStart w:id="39"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39"/>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0" w:name="OLE_LINK3"/>
      <w:bookmarkStart w:id="41" w:name="_Toc331410122"/>
      <w:r w:rsidRPr="0081565E">
        <w:rPr>
          <w:rFonts w:hint="eastAsia"/>
          <w:color w:val="000000"/>
          <w:sz w:val="24"/>
        </w:rPr>
        <w:t>本报告期内，为本基金提供审计服务的会计师事务所为普华永道中天会计师事务所（特殊普通合伙）。本期审计费为</w:t>
      </w:r>
      <w:r w:rsidRPr="0081565E">
        <w:rPr>
          <w:rFonts w:hint="eastAsia"/>
          <w:color w:val="000000"/>
          <w:sz w:val="24"/>
        </w:rPr>
        <w:t>110,000</w:t>
      </w:r>
      <w:r w:rsidRPr="0081565E">
        <w:rPr>
          <w:rFonts w:hint="eastAsia"/>
          <w:color w:val="000000"/>
          <w:sz w:val="24"/>
        </w:rPr>
        <w:t>元，自本基金基金合同生效以来，本基金未改聘为其审计的会计师事务所。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0"/>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1"/>
    </w:p>
    <w:p w:rsidR="006E4BA5" w:rsidRDefault="00072BEF">
      <w:pPr>
        <w:spacing w:before="29" w:line="288" w:lineRule="auto"/>
        <w:ind w:firstLineChars="200" w:firstLine="480"/>
        <w:rPr>
          <w:color w:val="000000"/>
          <w:sz w:val="24"/>
        </w:rPr>
      </w:pPr>
      <w:r>
        <w:rPr>
          <w:rFonts w:hint="eastAsia"/>
          <w:color w:val="000000"/>
          <w:sz w:val="24"/>
        </w:rPr>
        <w:t>1</w:t>
      </w:r>
      <w:r>
        <w:rPr>
          <w:rFonts w:hint="eastAsia"/>
          <w:color w:val="000000"/>
          <w:sz w:val="24"/>
        </w:rPr>
        <w:t>、管理人及其高级管理人员受稽查或处罚等情况</w:t>
      </w:r>
    </w:p>
    <w:p w:rsidR="006E4BA5" w:rsidRDefault="00072BEF">
      <w:pPr>
        <w:spacing w:before="29" w:line="288" w:lineRule="auto"/>
        <w:ind w:firstLineChars="200" w:firstLine="480"/>
        <w:rPr>
          <w:color w:val="000000"/>
          <w:sz w:val="24"/>
        </w:rPr>
      </w:pPr>
      <w:r>
        <w:rPr>
          <w:rFonts w:hint="eastAsia"/>
          <w:color w:val="000000"/>
          <w:sz w:val="24"/>
        </w:rPr>
        <w:t>基金管理人及其高级管理人员本报告期内未受监管部门稽查或处罚。</w:t>
      </w:r>
    </w:p>
    <w:p w:rsidR="006E4BA5" w:rsidRDefault="00072BEF">
      <w:pPr>
        <w:spacing w:before="29" w:line="288" w:lineRule="auto"/>
        <w:ind w:firstLineChars="200" w:firstLine="480"/>
        <w:rPr>
          <w:color w:val="000000"/>
          <w:sz w:val="24"/>
        </w:rPr>
      </w:pPr>
      <w:r>
        <w:rPr>
          <w:rFonts w:hint="eastAsia"/>
          <w:color w:val="000000"/>
          <w:sz w:val="24"/>
        </w:rPr>
        <w:t>2</w:t>
      </w:r>
      <w:r>
        <w:rPr>
          <w:rFonts w:hint="eastAsia"/>
          <w:color w:val="000000"/>
          <w:sz w:val="24"/>
        </w:rPr>
        <w:t>、托管人及其高</w:t>
      </w:r>
      <w:r>
        <w:rPr>
          <w:rFonts w:hint="eastAsia"/>
          <w:color w:val="000000"/>
          <w:sz w:val="24"/>
        </w:rPr>
        <w:t>级管理人员受稽查或处罚等情况</w:t>
      </w:r>
    </w:p>
    <w:p w:rsidR="006D141C" w:rsidRDefault="006D141C" w:rsidP="0081565E">
      <w:pPr>
        <w:spacing w:before="29" w:line="288" w:lineRule="auto"/>
        <w:ind w:firstLineChars="200" w:firstLine="480"/>
        <w:rPr>
          <w:color w:val="000000"/>
          <w:sz w:val="24"/>
        </w:rPr>
      </w:pPr>
      <w:bookmarkStart w:id="42"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2"/>
    </w:p>
    <w:p w:rsidR="006D141C" w:rsidRPr="00FB19E8" w:rsidRDefault="00EE1CF9" w:rsidP="00FB19E8">
      <w:pPr>
        <w:pStyle w:val="20"/>
        <w:spacing w:before="29" w:after="0" w:line="288" w:lineRule="auto"/>
        <w:rPr>
          <w:rFonts w:ascii="Times New Roman" w:hAnsi="Times New Roman" w:cs="Times New Roman"/>
          <w:kern w:val="0"/>
          <w:szCs w:val="24"/>
        </w:rPr>
      </w:pPr>
      <w:bookmarkStart w:id="43"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3"/>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4"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6E4BA5">
        <w:tc>
          <w:tcPr>
            <w:tcW w:w="1286" w:type="dxa"/>
            <w:vAlign w:val="center"/>
          </w:tcPr>
          <w:p w:rsidR="006E4BA5" w:rsidRDefault="00072BEF">
            <w:pPr>
              <w:jc w:val="center"/>
            </w:pPr>
            <w:r>
              <w:rPr>
                <w:rFonts w:hint="eastAsia"/>
                <w:szCs w:val="21"/>
              </w:rPr>
              <w:t>中信建投证券股份有限公司</w:t>
            </w:r>
          </w:p>
        </w:tc>
        <w:tc>
          <w:tcPr>
            <w:tcW w:w="1286" w:type="dxa"/>
            <w:vAlign w:val="center"/>
          </w:tcPr>
          <w:p w:rsidR="006E4BA5" w:rsidRDefault="00072BEF">
            <w:pPr>
              <w:jc w:val="right"/>
            </w:pPr>
            <w:r>
              <w:rPr>
                <w:rFonts w:hint="eastAsia"/>
                <w:szCs w:val="21"/>
              </w:rPr>
              <w:t>1</w:t>
            </w:r>
          </w:p>
        </w:tc>
        <w:tc>
          <w:tcPr>
            <w:tcW w:w="1286" w:type="dxa"/>
            <w:vAlign w:val="center"/>
          </w:tcPr>
          <w:p w:rsidR="006E4BA5" w:rsidRDefault="00072BEF">
            <w:pPr>
              <w:jc w:val="right"/>
            </w:pPr>
            <w:r>
              <w:rPr>
                <w:rFonts w:hint="eastAsia"/>
                <w:szCs w:val="21"/>
              </w:rPr>
              <w:t>-</w:t>
            </w:r>
          </w:p>
        </w:tc>
        <w:tc>
          <w:tcPr>
            <w:tcW w:w="1285" w:type="dxa"/>
            <w:vAlign w:val="center"/>
          </w:tcPr>
          <w:p w:rsidR="006E4BA5" w:rsidRDefault="00072BEF">
            <w:pPr>
              <w:jc w:val="right"/>
            </w:pPr>
            <w:r>
              <w:rPr>
                <w:rFonts w:hint="eastAsia"/>
                <w:szCs w:val="21"/>
              </w:rPr>
              <w:t>-</w:t>
            </w:r>
          </w:p>
        </w:tc>
        <w:tc>
          <w:tcPr>
            <w:tcW w:w="1285" w:type="dxa"/>
            <w:vAlign w:val="center"/>
          </w:tcPr>
          <w:p w:rsidR="006E4BA5" w:rsidRDefault="00072BEF">
            <w:pPr>
              <w:jc w:val="right"/>
            </w:pPr>
            <w:r>
              <w:rPr>
                <w:rFonts w:hint="eastAsia"/>
                <w:szCs w:val="21"/>
              </w:rPr>
              <w:t>-</w:t>
            </w:r>
          </w:p>
        </w:tc>
        <w:tc>
          <w:tcPr>
            <w:tcW w:w="1285" w:type="dxa"/>
            <w:vAlign w:val="center"/>
          </w:tcPr>
          <w:p w:rsidR="006E4BA5" w:rsidRDefault="00072BEF">
            <w:pPr>
              <w:jc w:val="right"/>
            </w:pPr>
            <w:r>
              <w:rPr>
                <w:rFonts w:hint="eastAsia"/>
                <w:szCs w:val="21"/>
              </w:rPr>
              <w:t>-</w:t>
            </w:r>
          </w:p>
        </w:tc>
        <w:tc>
          <w:tcPr>
            <w:tcW w:w="1285" w:type="dxa"/>
            <w:vAlign w:val="center"/>
          </w:tcPr>
          <w:p w:rsidR="006E4BA5" w:rsidRDefault="00072BEF">
            <w:pPr>
              <w:jc w:val="left"/>
            </w:pPr>
            <w:r>
              <w:rPr>
                <w:rFonts w:hint="eastAsia"/>
                <w:szCs w:val="21"/>
              </w:rPr>
              <w:t>-</w:t>
            </w:r>
          </w:p>
        </w:tc>
      </w:tr>
      <w:tr w:rsidR="006E4BA5">
        <w:tc>
          <w:tcPr>
            <w:tcW w:w="1286" w:type="dxa"/>
            <w:vAlign w:val="center"/>
          </w:tcPr>
          <w:p w:rsidR="006E4BA5" w:rsidRDefault="00072BEF">
            <w:pPr>
              <w:jc w:val="center"/>
            </w:pPr>
            <w:r>
              <w:rPr>
                <w:rFonts w:hint="eastAsia"/>
                <w:szCs w:val="21"/>
              </w:rPr>
              <w:t>申万宏源证券有限公司</w:t>
            </w:r>
          </w:p>
        </w:tc>
        <w:tc>
          <w:tcPr>
            <w:tcW w:w="1286" w:type="dxa"/>
            <w:vAlign w:val="center"/>
          </w:tcPr>
          <w:p w:rsidR="006E4BA5" w:rsidRDefault="00072BEF">
            <w:pPr>
              <w:jc w:val="right"/>
            </w:pPr>
            <w:r>
              <w:rPr>
                <w:rFonts w:hint="eastAsia"/>
                <w:szCs w:val="21"/>
              </w:rPr>
              <w:t>1</w:t>
            </w:r>
          </w:p>
        </w:tc>
        <w:tc>
          <w:tcPr>
            <w:tcW w:w="1286" w:type="dxa"/>
            <w:vAlign w:val="center"/>
          </w:tcPr>
          <w:p w:rsidR="006E4BA5" w:rsidRDefault="00072BEF">
            <w:pPr>
              <w:jc w:val="right"/>
            </w:pPr>
            <w:r>
              <w:rPr>
                <w:rFonts w:hint="eastAsia"/>
                <w:szCs w:val="21"/>
              </w:rPr>
              <w:t>-</w:t>
            </w:r>
          </w:p>
        </w:tc>
        <w:tc>
          <w:tcPr>
            <w:tcW w:w="1285" w:type="dxa"/>
            <w:vAlign w:val="center"/>
          </w:tcPr>
          <w:p w:rsidR="006E4BA5" w:rsidRDefault="00072BEF">
            <w:pPr>
              <w:jc w:val="right"/>
            </w:pPr>
            <w:r>
              <w:rPr>
                <w:rFonts w:hint="eastAsia"/>
                <w:szCs w:val="21"/>
              </w:rPr>
              <w:t>-</w:t>
            </w:r>
          </w:p>
        </w:tc>
        <w:tc>
          <w:tcPr>
            <w:tcW w:w="1285" w:type="dxa"/>
            <w:vAlign w:val="center"/>
          </w:tcPr>
          <w:p w:rsidR="006E4BA5" w:rsidRDefault="00072BEF">
            <w:pPr>
              <w:jc w:val="right"/>
            </w:pPr>
            <w:r>
              <w:rPr>
                <w:rFonts w:hint="eastAsia"/>
                <w:szCs w:val="21"/>
              </w:rPr>
              <w:t>-</w:t>
            </w:r>
          </w:p>
        </w:tc>
        <w:tc>
          <w:tcPr>
            <w:tcW w:w="1285" w:type="dxa"/>
            <w:vAlign w:val="center"/>
          </w:tcPr>
          <w:p w:rsidR="006E4BA5" w:rsidRDefault="00072BEF">
            <w:pPr>
              <w:jc w:val="right"/>
            </w:pPr>
            <w:r>
              <w:rPr>
                <w:rFonts w:hint="eastAsia"/>
                <w:szCs w:val="21"/>
              </w:rPr>
              <w:t>-</w:t>
            </w:r>
          </w:p>
        </w:tc>
        <w:tc>
          <w:tcPr>
            <w:tcW w:w="1285" w:type="dxa"/>
            <w:vAlign w:val="center"/>
          </w:tcPr>
          <w:p w:rsidR="006E4BA5" w:rsidRDefault="00072BEF">
            <w:pPr>
              <w:jc w:val="left"/>
            </w:pPr>
            <w:r>
              <w:rPr>
                <w:rFonts w:hint="eastAsia"/>
                <w:szCs w:val="21"/>
              </w:rPr>
              <w:t>-</w:t>
            </w:r>
          </w:p>
        </w:tc>
      </w:tr>
    </w:tbl>
    <w:p w:rsidR="006E4BA5" w:rsidRDefault="00072BEF">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6E4BA5" w:rsidRDefault="00072BEF">
      <w:pPr>
        <w:spacing w:before="29" w:line="288" w:lineRule="auto"/>
        <w:jc w:val="left"/>
        <w:rPr>
          <w:kern w:val="0"/>
          <w:sz w:val="24"/>
        </w:rPr>
      </w:pPr>
      <w:r>
        <w:rPr>
          <w:rFonts w:hint="eastAsia"/>
          <w:kern w:val="0"/>
          <w:sz w:val="24"/>
        </w:rPr>
        <w:t>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4"/>
    </w:p>
    <w:p w:rsidR="006D141C" w:rsidRPr="005124D4" w:rsidRDefault="006D141C" w:rsidP="005124D4">
      <w:pPr>
        <w:spacing w:before="29" w:line="288" w:lineRule="auto"/>
        <w:jc w:val="left"/>
        <w:rPr>
          <w:kern w:val="0"/>
          <w:sz w:val="24"/>
        </w:rPr>
      </w:pPr>
      <w:r w:rsidRPr="005124D4">
        <w:rPr>
          <w:rFonts w:hint="eastAsia"/>
          <w:kern w:val="0"/>
          <w:sz w:val="24"/>
        </w:rPr>
        <w:t>无。</w:t>
      </w: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254408" w:rsidRPr="00723729" w:rsidRDefault="00254408" w:rsidP="00F360A0">
      <w:pPr>
        <w:pStyle w:val="1"/>
        <w:keepNext/>
        <w:keepLines/>
        <w:widowControl w:val="0"/>
        <w:spacing w:beforeLines="100" w:before="312" w:afterLines="100" w:after="312" w:line="360" w:lineRule="auto"/>
        <w:jc w:val="center"/>
        <w:rPr>
          <w:rFonts w:eastAsiaTheme="minorEastAsia"/>
          <w:b/>
          <w:bCs/>
          <w:sz w:val="21"/>
          <w:szCs w:val="21"/>
          <w:lang w:val="en-US"/>
        </w:rPr>
      </w:pPr>
      <w:bookmarkStart w:id="45"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45"/>
    </w:p>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54408" w:rsidRPr="004F0662" w:rsidTr="008F3A25">
        <w:tc>
          <w:tcPr>
            <w:tcW w:w="993" w:type="dxa"/>
            <w:vMerge w:val="restart"/>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254408" w:rsidRPr="004F0662" w:rsidTr="008F3A25">
        <w:tc>
          <w:tcPr>
            <w:tcW w:w="993" w:type="dxa"/>
            <w:vMerge/>
            <w:vAlign w:val="center"/>
          </w:tcPr>
          <w:p w:rsidR="00254408" w:rsidRPr="004F0662" w:rsidRDefault="00254408" w:rsidP="008F3A25">
            <w:pPr>
              <w:autoSpaceDE w:val="0"/>
              <w:autoSpaceDN w:val="0"/>
              <w:adjustRightInd w:val="0"/>
              <w:jc w:val="center"/>
              <w:rPr>
                <w:rFonts w:ascii="宋体" w:hAnsi="宋体"/>
                <w:b/>
                <w:bCs/>
                <w:color w:val="000000"/>
                <w:kern w:val="0"/>
                <w:szCs w:val="21"/>
              </w:rPr>
            </w:pPr>
          </w:p>
        </w:tc>
        <w:tc>
          <w:tcPr>
            <w:tcW w:w="992"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6E4BA5">
        <w:tc>
          <w:tcPr>
            <w:tcW w:w="993" w:type="dxa"/>
            <w:vMerge w:val="restart"/>
          </w:tcPr>
          <w:p w:rsidR="006E4BA5" w:rsidRDefault="006E4BA5"/>
          <w:p w:rsidR="006E4BA5" w:rsidRDefault="00072BEF">
            <w:r>
              <w:rPr>
                <w:rFonts w:ascii="宋体" w:hAnsi="宋体" w:hint="eastAsia"/>
                <w:bCs/>
                <w:color w:val="000000"/>
                <w:kern w:val="0"/>
                <w:szCs w:val="21"/>
              </w:rPr>
              <w:t>机构</w:t>
            </w:r>
          </w:p>
        </w:tc>
        <w:tc>
          <w:tcPr>
            <w:tcW w:w="992" w:type="dxa"/>
            <w:vAlign w:val="center"/>
          </w:tcPr>
          <w:p w:rsidR="006E4BA5" w:rsidRDefault="00072BEF">
            <w:pPr>
              <w:jc w:val="center"/>
            </w:pPr>
            <w:r>
              <w:rPr>
                <w:rFonts w:ascii="宋体" w:hAnsi="宋体"/>
                <w:color w:val="000000"/>
                <w:kern w:val="0"/>
                <w:szCs w:val="21"/>
              </w:rPr>
              <w:t>1</w:t>
            </w:r>
          </w:p>
        </w:tc>
        <w:tc>
          <w:tcPr>
            <w:tcW w:w="1843" w:type="dxa"/>
            <w:vAlign w:val="center"/>
          </w:tcPr>
          <w:p w:rsidR="006E4BA5" w:rsidRDefault="00072BEF">
            <w:pPr>
              <w:jc w:val="center"/>
            </w:pPr>
            <w:r>
              <w:rPr>
                <w:rFonts w:ascii="宋体" w:hAnsi="宋体"/>
                <w:color w:val="000000"/>
                <w:kern w:val="0"/>
                <w:szCs w:val="21"/>
              </w:rPr>
              <w:t>2018/1/1-2018/12/31</w:t>
            </w:r>
          </w:p>
        </w:tc>
        <w:tc>
          <w:tcPr>
            <w:tcW w:w="851" w:type="dxa"/>
            <w:vAlign w:val="center"/>
          </w:tcPr>
          <w:p w:rsidR="006E4BA5" w:rsidRDefault="00072BEF">
            <w:pPr>
              <w:jc w:val="center"/>
            </w:pPr>
            <w:r>
              <w:rPr>
                <w:rFonts w:ascii="宋体" w:hAnsi="宋体"/>
                <w:color w:val="000000"/>
                <w:kern w:val="0"/>
                <w:szCs w:val="21"/>
              </w:rPr>
              <w:t>2,493,498,933.23</w:t>
            </w:r>
          </w:p>
        </w:tc>
        <w:tc>
          <w:tcPr>
            <w:tcW w:w="850" w:type="dxa"/>
            <w:vAlign w:val="center"/>
          </w:tcPr>
          <w:p w:rsidR="006E4BA5" w:rsidRDefault="00072BEF">
            <w:pPr>
              <w:jc w:val="center"/>
            </w:pPr>
            <w:r>
              <w:rPr>
                <w:rFonts w:ascii="宋体" w:hAnsi="宋体"/>
                <w:color w:val="000000"/>
                <w:kern w:val="0"/>
                <w:szCs w:val="21"/>
              </w:rPr>
              <w:t>30,729,177.14</w:t>
            </w:r>
          </w:p>
        </w:tc>
        <w:tc>
          <w:tcPr>
            <w:tcW w:w="1134" w:type="dxa"/>
            <w:vAlign w:val="center"/>
          </w:tcPr>
          <w:p w:rsidR="006E4BA5" w:rsidRDefault="00072BEF">
            <w:pPr>
              <w:jc w:val="center"/>
            </w:pPr>
            <w:r>
              <w:rPr>
                <w:rFonts w:ascii="宋体" w:hAnsi="宋体"/>
                <w:color w:val="000000"/>
                <w:kern w:val="0"/>
                <w:szCs w:val="21"/>
              </w:rPr>
              <w:t>2,524,228,110.37</w:t>
            </w:r>
          </w:p>
        </w:tc>
        <w:tc>
          <w:tcPr>
            <w:tcW w:w="1419" w:type="dxa"/>
            <w:vAlign w:val="center"/>
          </w:tcPr>
          <w:p w:rsidR="006E4BA5" w:rsidRDefault="00072BEF">
            <w:pPr>
              <w:jc w:val="center"/>
            </w:pPr>
            <w:r>
              <w:rPr>
                <w:rFonts w:ascii="宋体" w:hAnsi="宋体"/>
                <w:color w:val="000000"/>
                <w:kern w:val="0"/>
                <w:szCs w:val="21"/>
              </w:rPr>
              <w:t>-</w:t>
            </w:r>
          </w:p>
        </w:tc>
        <w:tc>
          <w:tcPr>
            <w:tcW w:w="1130" w:type="dxa"/>
            <w:vAlign w:val="center"/>
          </w:tcPr>
          <w:p w:rsidR="006E4BA5" w:rsidRDefault="00072BEF">
            <w:pPr>
              <w:jc w:val="center"/>
            </w:pPr>
            <w:r>
              <w:rPr>
                <w:rFonts w:ascii="宋体" w:hAnsi="宋体"/>
                <w:color w:val="000000"/>
                <w:kern w:val="0"/>
                <w:szCs w:val="21"/>
              </w:rPr>
              <w:t>-</w:t>
            </w:r>
          </w:p>
        </w:tc>
      </w:tr>
      <w:tr w:rsidR="006E4BA5">
        <w:tc>
          <w:tcPr>
            <w:tcW w:w="993" w:type="dxa"/>
            <w:vMerge/>
          </w:tcPr>
          <w:p w:rsidR="006E4BA5" w:rsidRDefault="006E4BA5"/>
        </w:tc>
        <w:tc>
          <w:tcPr>
            <w:tcW w:w="992" w:type="dxa"/>
            <w:vAlign w:val="center"/>
          </w:tcPr>
          <w:p w:rsidR="006E4BA5" w:rsidRDefault="00072BEF">
            <w:pPr>
              <w:jc w:val="center"/>
            </w:pPr>
            <w:r>
              <w:rPr>
                <w:rFonts w:ascii="宋体" w:hAnsi="宋体"/>
                <w:color w:val="000000"/>
                <w:kern w:val="0"/>
                <w:szCs w:val="21"/>
              </w:rPr>
              <w:t>2</w:t>
            </w:r>
          </w:p>
        </w:tc>
        <w:tc>
          <w:tcPr>
            <w:tcW w:w="1843" w:type="dxa"/>
            <w:vAlign w:val="center"/>
          </w:tcPr>
          <w:p w:rsidR="006E4BA5" w:rsidRDefault="00072BEF">
            <w:pPr>
              <w:jc w:val="center"/>
            </w:pPr>
            <w:r>
              <w:rPr>
                <w:rFonts w:ascii="宋体" w:hAnsi="宋体"/>
                <w:color w:val="000000"/>
                <w:kern w:val="0"/>
                <w:szCs w:val="21"/>
              </w:rPr>
              <w:t>2018/1/1-2018/12/31</w:t>
            </w:r>
          </w:p>
        </w:tc>
        <w:tc>
          <w:tcPr>
            <w:tcW w:w="851" w:type="dxa"/>
            <w:vAlign w:val="center"/>
          </w:tcPr>
          <w:p w:rsidR="006E4BA5" w:rsidRDefault="00072BEF">
            <w:pPr>
              <w:jc w:val="center"/>
            </w:pPr>
            <w:r>
              <w:rPr>
                <w:rFonts w:ascii="宋体" w:hAnsi="宋体"/>
                <w:color w:val="000000"/>
                <w:kern w:val="0"/>
                <w:szCs w:val="21"/>
              </w:rPr>
              <w:t>-</w:t>
            </w:r>
          </w:p>
        </w:tc>
        <w:tc>
          <w:tcPr>
            <w:tcW w:w="850" w:type="dxa"/>
            <w:vAlign w:val="center"/>
          </w:tcPr>
          <w:p w:rsidR="006E4BA5" w:rsidRDefault="00072BEF">
            <w:pPr>
              <w:jc w:val="center"/>
            </w:pPr>
            <w:r>
              <w:rPr>
                <w:rFonts w:ascii="宋体" w:hAnsi="宋体"/>
                <w:color w:val="000000"/>
                <w:kern w:val="0"/>
                <w:szCs w:val="21"/>
              </w:rPr>
              <w:t>5,046,759,552.01</w:t>
            </w:r>
          </w:p>
        </w:tc>
        <w:tc>
          <w:tcPr>
            <w:tcW w:w="1134" w:type="dxa"/>
            <w:vAlign w:val="center"/>
          </w:tcPr>
          <w:p w:rsidR="006E4BA5" w:rsidRDefault="00072BEF">
            <w:pPr>
              <w:jc w:val="center"/>
            </w:pPr>
            <w:r>
              <w:rPr>
                <w:rFonts w:ascii="宋体" w:hAnsi="宋体"/>
                <w:color w:val="000000"/>
                <w:kern w:val="0"/>
                <w:szCs w:val="21"/>
              </w:rPr>
              <w:t>5,030,715,469.83</w:t>
            </w:r>
          </w:p>
        </w:tc>
        <w:tc>
          <w:tcPr>
            <w:tcW w:w="1419" w:type="dxa"/>
            <w:vAlign w:val="center"/>
          </w:tcPr>
          <w:p w:rsidR="006E4BA5" w:rsidRDefault="00072BEF">
            <w:pPr>
              <w:jc w:val="center"/>
            </w:pPr>
            <w:r>
              <w:rPr>
                <w:rFonts w:ascii="宋体" w:hAnsi="宋体"/>
                <w:color w:val="000000"/>
                <w:kern w:val="0"/>
                <w:szCs w:val="21"/>
              </w:rPr>
              <w:t>16,044,082.18</w:t>
            </w:r>
          </w:p>
        </w:tc>
        <w:tc>
          <w:tcPr>
            <w:tcW w:w="1130" w:type="dxa"/>
            <w:vAlign w:val="center"/>
          </w:tcPr>
          <w:p w:rsidR="006E4BA5" w:rsidRDefault="00072BEF">
            <w:pPr>
              <w:jc w:val="center"/>
            </w:pPr>
            <w:r>
              <w:rPr>
                <w:rFonts w:ascii="宋体" w:hAnsi="宋体"/>
                <w:color w:val="000000"/>
                <w:kern w:val="0"/>
                <w:szCs w:val="21"/>
              </w:rPr>
              <w:t>0.14%</w:t>
            </w:r>
          </w:p>
        </w:tc>
      </w:tr>
      <w:tr w:rsidR="006E4BA5">
        <w:tc>
          <w:tcPr>
            <w:tcW w:w="993" w:type="dxa"/>
            <w:vMerge/>
          </w:tcPr>
          <w:p w:rsidR="006E4BA5" w:rsidRDefault="006E4BA5"/>
        </w:tc>
        <w:tc>
          <w:tcPr>
            <w:tcW w:w="992" w:type="dxa"/>
            <w:vAlign w:val="center"/>
          </w:tcPr>
          <w:p w:rsidR="006E4BA5" w:rsidRDefault="00072BEF">
            <w:pPr>
              <w:jc w:val="center"/>
            </w:pPr>
            <w:r>
              <w:rPr>
                <w:rFonts w:ascii="宋体" w:hAnsi="宋体"/>
                <w:color w:val="000000"/>
                <w:kern w:val="0"/>
                <w:szCs w:val="21"/>
              </w:rPr>
              <w:t>3</w:t>
            </w:r>
          </w:p>
        </w:tc>
        <w:tc>
          <w:tcPr>
            <w:tcW w:w="1843" w:type="dxa"/>
            <w:vAlign w:val="center"/>
          </w:tcPr>
          <w:p w:rsidR="006E4BA5" w:rsidRDefault="00072BEF">
            <w:pPr>
              <w:jc w:val="center"/>
            </w:pPr>
            <w:r>
              <w:rPr>
                <w:rFonts w:ascii="宋体" w:hAnsi="宋体"/>
                <w:color w:val="000000"/>
                <w:kern w:val="0"/>
                <w:szCs w:val="21"/>
              </w:rPr>
              <w:t>2018/1/1-2018/12/31</w:t>
            </w:r>
          </w:p>
        </w:tc>
        <w:tc>
          <w:tcPr>
            <w:tcW w:w="851" w:type="dxa"/>
            <w:vAlign w:val="center"/>
          </w:tcPr>
          <w:p w:rsidR="006E4BA5" w:rsidRDefault="00072BEF">
            <w:pPr>
              <w:jc w:val="center"/>
            </w:pPr>
            <w:r>
              <w:rPr>
                <w:rFonts w:ascii="宋体" w:hAnsi="宋体"/>
                <w:color w:val="000000"/>
                <w:kern w:val="0"/>
                <w:szCs w:val="21"/>
              </w:rPr>
              <w:t>-</w:t>
            </w:r>
          </w:p>
        </w:tc>
        <w:tc>
          <w:tcPr>
            <w:tcW w:w="850" w:type="dxa"/>
            <w:vAlign w:val="center"/>
          </w:tcPr>
          <w:p w:rsidR="006E4BA5" w:rsidRDefault="00072BEF">
            <w:pPr>
              <w:jc w:val="center"/>
            </w:pPr>
            <w:r>
              <w:rPr>
                <w:rFonts w:ascii="宋体" w:hAnsi="宋体"/>
                <w:color w:val="000000"/>
                <w:kern w:val="0"/>
                <w:szCs w:val="21"/>
              </w:rPr>
              <w:t>2,072,708,312.93</w:t>
            </w:r>
          </w:p>
        </w:tc>
        <w:tc>
          <w:tcPr>
            <w:tcW w:w="1134" w:type="dxa"/>
            <w:vAlign w:val="center"/>
          </w:tcPr>
          <w:p w:rsidR="006E4BA5" w:rsidRDefault="00072BEF">
            <w:pPr>
              <w:jc w:val="center"/>
            </w:pPr>
            <w:r>
              <w:rPr>
                <w:rFonts w:ascii="宋体" w:hAnsi="宋体"/>
                <w:color w:val="000000"/>
                <w:kern w:val="0"/>
                <w:szCs w:val="21"/>
              </w:rPr>
              <w:t>45,403,158.66</w:t>
            </w:r>
          </w:p>
        </w:tc>
        <w:tc>
          <w:tcPr>
            <w:tcW w:w="1419" w:type="dxa"/>
            <w:vAlign w:val="center"/>
          </w:tcPr>
          <w:p w:rsidR="006E4BA5" w:rsidRDefault="00072BEF">
            <w:pPr>
              <w:jc w:val="center"/>
            </w:pPr>
            <w:r>
              <w:rPr>
                <w:rFonts w:ascii="宋体" w:hAnsi="宋体"/>
                <w:color w:val="000000"/>
                <w:kern w:val="0"/>
                <w:szCs w:val="21"/>
              </w:rPr>
              <w:t>2,027,305,154.27</w:t>
            </w:r>
          </w:p>
        </w:tc>
        <w:tc>
          <w:tcPr>
            <w:tcW w:w="1130" w:type="dxa"/>
            <w:vAlign w:val="center"/>
          </w:tcPr>
          <w:p w:rsidR="006E4BA5" w:rsidRDefault="00072BEF">
            <w:pPr>
              <w:jc w:val="center"/>
            </w:pPr>
            <w:r>
              <w:rPr>
                <w:rFonts w:ascii="宋体" w:hAnsi="宋体"/>
                <w:color w:val="000000"/>
                <w:kern w:val="0"/>
                <w:szCs w:val="21"/>
              </w:rPr>
              <w:t>17.23%</w:t>
            </w:r>
          </w:p>
        </w:tc>
      </w:tr>
      <w:tr w:rsidR="006E4BA5">
        <w:tc>
          <w:tcPr>
            <w:tcW w:w="993" w:type="dxa"/>
            <w:vMerge/>
          </w:tcPr>
          <w:p w:rsidR="006E4BA5" w:rsidRDefault="006E4BA5"/>
        </w:tc>
        <w:tc>
          <w:tcPr>
            <w:tcW w:w="992" w:type="dxa"/>
            <w:vAlign w:val="center"/>
          </w:tcPr>
          <w:p w:rsidR="006E4BA5" w:rsidRDefault="00072BEF">
            <w:pPr>
              <w:jc w:val="center"/>
            </w:pPr>
            <w:r>
              <w:rPr>
                <w:rFonts w:ascii="宋体" w:hAnsi="宋体"/>
                <w:color w:val="000000"/>
                <w:kern w:val="0"/>
                <w:szCs w:val="21"/>
              </w:rPr>
              <w:t>4</w:t>
            </w:r>
          </w:p>
        </w:tc>
        <w:tc>
          <w:tcPr>
            <w:tcW w:w="1843" w:type="dxa"/>
            <w:vAlign w:val="center"/>
          </w:tcPr>
          <w:p w:rsidR="006E4BA5" w:rsidRDefault="00072BEF">
            <w:pPr>
              <w:jc w:val="center"/>
            </w:pPr>
            <w:r>
              <w:rPr>
                <w:rFonts w:ascii="宋体" w:hAnsi="宋体"/>
                <w:color w:val="000000"/>
                <w:kern w:val="0"/>
                <w:szCs w:val="21"/>
              </w:rPr>
              <w:t>2018/1/1-2018/12/31</w:t>
            </w:r>
          </w:p>
        </w:tc>
        <w:tc>
          <w:tcPr>
            <w:tcW w:w="851" w:type="dxa"/>
            <w:vAlign w:val="center"/>
          </w:tcPr>
          <w:p w:rsidR="006E4BA5" w:rsidRDefault="00072BEF">
            <w:pPr>
              <w:jc w:val="center"/>
            </w:pPr>
            <w:r>
              <w:rPr>
                <w:rFonts w:ascii="宋体" w:hAnsi="宋体"/>
                <w:color w:val="000000"/>
                <w:kern w:val="0"/>
                <w:szCs w:val="21"/>
              </w:rPr>
              <w:t>503,760,818.69</w:t>
            </w:r>
          </w:p>
        </w:tc>
        <w:tc>
          <w:tcPr>
            <w:tcW w:w="850" w:type="dxa"/>
            <w:vAlign w:val="center"/>
          </w:tcPr>
          <w:p w:rsidR="006E4BA5" w:rsidRDefault="00072BEF">
            <w:pPr>
              <w:jc w:val="center"/>
            </w:pPr>
            <w:r>
              <w:rPr>
                <w:rFonts w:ascii="宋体" w:hAnsi="宋体"/>
                <w:color w:val="000000"/>
                <w:kern w:val="0"/>
                <w:szCs w:val="21"/>
              </w:rPr>
              <w:t>1,060,000,458.78</w:t>
            </w:r>
          </w:p>
        </w:tc>
        <w:tc>
          <w:tcPr>
            <w:tcW w:w="1134" w:type="dxa"/>
            <w:vAlign w:val="center"/>
          </w:tcPr>
          <w:p w:rsidR="006E4BA5" w:rsidRDefault="00072BEF">
            <w:pPr>
              <w:jc w:val="center"/>
            </w:pPr>
            <w:r>
              <w:rPr>
                <w:rFonts w:ascii="宋体" w:hAnsi="宋体"/>
                <w:color w:val="000000"/>
                <w:kern w:val="0"/>
                <w:szCs w:val="21"/>
              </w:rPr>
              <w:t>-</w:t>
            </w:r>
          </w:p>
        </w:tc>
        <w:tc>
          <w:tcPr>
            <w:tcW w:w="1419" w:type="dxa"/>
            <w:vAlign w:val="center"/>
          </w:tcPr>
          <w:p w:rsidR="006E4BA5" w:rsidRDefault="00072BEF">
            <w:pPr>
              <w:jc w:val="center"/>
            </w:pPr>
            <w:r>
              <w:rPr>
                <w:rFonts w:ascii="宋体" w:hAnsi="宋体"/>
                <w:color w:val="000000"/>
                <w:kern w:val="0"/>
                <w:szCs w:val="21"/>
              </w:rPr>
              <w:t>1,563,761,277.47</w:t>
            </w:r>
          </w:p>
        </w:tc>
        <w:tc>
          <w:tcPr>
            <w:tcW w:w="1130" w:type="dxa"/>
            <w:vAlign w:val="center"/>
          </w:tcPr>
          <w:p w:rsidR="006E4BA5" w:rsidRDefault="00072BEF">
            <w:pPr>
              <w:jc w:val="center"/>
            </w:pPr>
            <w:r>
              <w:rPr>
                <w:rFonts w:ascii="宋体" w:hAnsi="宋体"/>
                <w:color w:val="000000"/>
                <w:kern w:val="0"/>
                <w:szCs w:val="21"/>
              </w:rPr>
              <w:t>13.29%</w:t>
            </w:r>
          </w:p>
        </w:tc>
      </w:tr>
      <w:tr w:rsidR="006E4BA5">
        <w:tc>
          <w:tcPr>
            <w:tcW w:w="993" w:type="dxa"/>
            <w:vMerge/>
          </w:tcPr>
          <w:p w:rsidR="006E4BA5" w:rsidRDefault="006E4BA5"/>
        </w:tc>
        <w:tc>
          <w:tcPr>
            <w:tcW w:w="992" w:type="dxa"/>
            <w:vAlign w:val="center"/>
          </w:tcPr>
          <w:p w:rsidR="006E4BA5" w:rsidRDefault="00072BEF">
            <w:pPr>
              <w:jc w:val="center"/>
            </w:pPr>
            <w:r>
              <w:rPr>
                <w:rFonts w:ascii="宋体" w:hAnsi="宋体"/>
                <w:color w:val="000000"/>
                <w:kern w:val="0"/>
                <w:szCs w:val="21"/>
              </w:rPr>
              <w:t>5</w:t>
            </w:r>
          </w:p>
        </w:tc>
        <w:tc>
          <w:tcPr>
            <w:tcW w:w="1843" w:type="dxa"/>
            <w:vAlign w:val="center"/>
          </w:tcPr>
          <w:p w:rsidR="006E4BA5" w:rsidRDefault="00072BEF">
            <w:pPr>
              <w:jc w:val="center"/>
            </w:pPr>
            <w:r>
              <w:rPr>
                <w:rFonts w:ascii="宋体" w:hAnsi="宋体"/>
                <w:color w:val="000000"/>
                <w:kern w:val="0"/>
                <w:szCs w:val="21"/>
              </w:rPr>
              <w:t>2018/1/1-2018/12/31</w:t>
            </w:r>
          </w:p>
        </w:tc>
        <w:tc>
          <w:tcPr>
            <w:tcW w:w="851" w:type="dxa"/>
            <w:vAlign w:val="center"/>
          </w:tcPr>
          <w:p w:rsidR="006E4BA5" w:rsidRDefault="00072BEF">
            <w:pPr>
              <w:jc w:val="center"/>
            </w:pPr>
            <w:r>
              <w:rPr>
                <w:rFonts w:ascii="宋体" w:hAnsi="宋体"/>
                <w:color w:val="000000"/>
                <w:kern w:val="0"/>
                <w:szCs w:val="21"/>
              </w:rPr>
              <w:t>1,000,000,000.00</w:t>
            </w:r>
          </w:p>
        </w:tc>
        <w:tc>
          <w:tcPr>
            <w:tcW w:w="850" w:type="dxa"/>
            <w:vAlign w:val="center"/>
          </w:tcPr>
          <w:p w:rsidR="006E4BA5" w:rsidRDefault="00072BEF">
            <w:pPr>
              <w:jc w:val="center"/>
            </w:pPr>
            <w:r>
              <w:rPr>
                <w:rFonts w:ascii="宋体" w:hAnsi="宋体"/>
                <w:color w:val="000000"/>
                <w:kern w:val="0"/>
                <w:szCs w:val="21"/>
              </w:rPr>
              <w:t>1,000,000,000.00</w:t>
            </w:r>
          </w:p>
        </w:tc>
        <w:tc>
          <w:tcPr>
            <w:tcW w:w="1134" w:type="dxa"/>
            <w:vAlign w:val="center"/>
          </w:tcPr>
          <w:p w:rsidR="006E4BA5" w:rsidRDefault="00072BEF">
            <w:pPr>
              <w:jc w:val="center"/>
            </w:pPr>
            <w:r>
              <w:rPr>
                <w:rFonts w:ascii="宋体" w:hAnsi="宋体"/>
                <w:color w:val="000000"/>
                <w:kern w:val="0"/>
                <w:szCs w:val="21"/>
              </w:rPr>
              <w:t>2,000,000,000.00</w:t>
            </w:r>
          </w:p>
        </w:tc>
        <w:tc>
          <w:tcPr>
            <w:tcW w:w="1419" w:type="dxa"/>
            <w:vAlign w:val="center"/>
          </w:tcPr>
          <w:p w:rsidR="006E4BA5" w:rsidRDefault="00072BEF">
            <w:pPr>
              <w:jc w:val="center"/>
            </w:pPr>
            <w:r>
              <w:rPr>
                <w:rFonts w:ascii="宋体" w:hAnsi="宋体"/>
                <w:color w:val="000000"/>
                <w:kern w:val="0"/>
                <w:szCs w:val="21"/>
              </w:rPr>
              <w:t>-</w:t>
            </w:r>
          </w:p>
        </w:tc>
        <w:tc>
          <w:tcPr>
            <w:tcW w:w="1130" w:type="dxa"/>
            <w:vAlign w:val="center"/>
          </w:tcPr>
          <w:p w:rsidR="006E4BA5" w:rsidRDefault="00072BEF">
            <w:pPr>
              <w:jc w:val="center"/>
            </w:pPr>
            <w:r>
              <w:rPr>
                <w:rFonts w:ascii="宋体" w:hAnsi="宋体"/>
                <w:color w:val="000000"/>
                <w:kern w:val="0"/>
                <w:szCs w:val="21"/>
              </w:rPr>
              <w:t>-</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6E4BA5" w:rsidRDefault="00072BEF">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r>
        <w:rPr>
          <w:rFonts w:ascii="宋体" w:hAnsi="宋体"/>
          <w:color w:val="000000"/>
          <w:szCs w:val="21"/>
        </w:rPr>
        <w:t xml:space="preserve"> </w:t>
      </w:r>
    </w:p>
    <w:p w:rsidR="00254408" w:rsidRPr="004F0662" w:rsidRDefault="00254408" w:rsidP="0025440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二〇一九年三月二十七日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2AD" w:rsidRDefault="00AA22AD">
      <w:r>
        <w:separator/>
      </w:r>
    </w:p>
  </w:endnote>
  <w:endnote w:type="continuationSeparator" w:id="0">
    <w:p w:rsidR="00AA22AD" w:rsidRDefault="00AA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37179C" w:rsidP="00C03B3A">
    <w:pPr>
      <w:pStyle w:val="a6"/>
      <w:framePr w:wrap="around" w:vAnchor="text" w:hAnchor="margin" w:xAlign="right" w:y="1"/>
      <w:rPr>
        <w:rStyle w:val="a7"/>
      </w:rPr>
    </w:pPr>
    <w:r>
      <w:rPr>
        <w:rStyle w:val="a7"/>
      </w:rPr>
      <w:fldChar w:fldCharType="begin"/>
    </w:r>
    <w:r w:rsidR="004E65B4">
      <w:rPr>
        <w:rStyle w:val="a7"/>
      </w:rPr>
      <w:instrText xml:space="preserve">PAGE  </w:instrText>
    </w:r>
    <w:r>
      <w:rPr>
        <w:rStyle w:val="a7"/>
      </w:rPr>
      <w:fldChar w:fldCharType="end"/>
    </w:r>
  </w:p>
  <w:p w:rsidR="004E65B4" w:rsidRDefault="004E65B4"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ind w:right="360"/>
      <w:jc w:val="center"/>
    </w:pPr>
    <w:r>
      <w:rPr>
        <w:rFonts w:hint="eastAsia"/>
        <w:kern w:val="0"/>
        <w:szCs w:val="21"/>
      </w:rPr>
      <w:t>第</w:t>
    </w:r>
    <w:r>
      <w:rPr>
        <w:rFonts w:hint="eastAsia"/>
        <w:kern w:val="0"/>
        <w:szCs w:val="21"/>
      </w:rPr>
      <w:t xml:space="preserve"> </w:t>
    </w:r>
    <w:r w:rsidR="0037179C">
      <w:rPr>
        <w:kern w:val="0"/>
        <w:szCs w:val="21"/>
      </w:rPr>
      <w:fldChar w:fldCharType="begin"/>
    </w:r>
    <w:r>
      <w:rPr>
        <w:kern w:val="0"/>
        <w:szCs w:val="21"/>
      </w:rPr>
      <w:instrText xml:space="preserve"> PAGE </w:instrText>
    </w:r>
    <w:r w:rsidR="0037179C">
      <w:rPr>
        <w:kern w:val="0"/>
        <w:szCs w:val="21"/>
      </w:rPr>
      <w:fldChar w:fldCharType="separate"/>
    </w:r>
    <w:r w:rsidR="00072BEF">
      <w:rPr>
        <w:noProof/>
        <w:kern w:val="0"/>
        <w:szCs w:val="21"/>
      </w:rPr>
      <w:t>14</w:t>
    </w:r>
    <w:r w:rsidR="0037179C">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7179C">
      <w:rPr>
        <w:kern w:val="0"/>
        <w:szCs w:val="21"/>
      </w:rPr>
      <w:fldChar w:fldCharType="begin"/>
    </w:r>
    <w:r>
      <w:rPr>
        <w:kern w:val="0"/>
        <w:szCs w:val="21"/>
      </w:rPr>
      <w:instrText xml:space="preserve"> NUMPAGES </w:instrText>
    </w:r>
    <w:r w:rsidR="0037179C">
      <w:rPr>
        <w:kern w:val="0"/>
        <w:szCs w:val="21"/>
      </w:rPr>
      <w:fldChar w:fldCharType="separate"/>
    </w:r>
    <w:r w:rsidR="00072BEF">
      <w:rPr>
        <w:noProof/>
        <w:kern w:val="0"/>
        <w:szCs w:val="21"/>
      </w:rPr>
      <w:t>36</w:t>
    </w:r>
    <w:r w:rsidR="0037179C">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2AD" w:rsidRDefault="00AA22AD">
      <w:r>
        <w:separator/>
      </w:r>
    </w:p>
  </w:footnote>
  <w:footnote w:type="continuationSeparator" w:id="0">
    <w:p w:rsidR="00AA22AD" w:rsidRDefault="00AA2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Pr="00713CB1" w:rsidRDefault="00713CB1" w:rsidP="00B56BD2">
    <w:pPr>
      <w:pStyle w:val="a9"/>
      <w:pBdr>
        <w:bottom w:val="single" w:sz="6" w:space="0" w:color="auto"/>
      </w:pBdr>
      <w:jc w:val="right"/>
      <w:rPr>
        <w:sz w:val="24"/>
        <w:szCs w:val="24"/>
      </w:rPr>
    </w:pPr>
    <w:r w:rsidRPr="00FB2916">
      <w:rPr>
        <w:sz w:val="24"/>
        <w:szCs w:val="24"/>
      </w:rPr>
      <w:t>交银施罗德理财</w:t>
    </w:r>
    <w:r w:rsidRPr="00FB2916">
      <w:rPr>
        <w:sz w:val="24"/>
        <w:szCs w:val="24"/>
      </w:rPr>
      <w:t>60</w:t>
    </w:r>
    <w:r w:rsidRPr="00FB2916">
      <w:rPr>
        <w:sz w:val="24"/>
        <w:szCs w:val="24"/>
      </w:rPr>
      <w:t>天债券型证券投资基金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BEF"/>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7A"/>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2FDF"/>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08"/>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2B15"/>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9C"/>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6A57"/>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4BA5"/>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3CB1"/>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2AD"/>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0F52"/>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0A0"/>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E3DC33D7-D89B-4353-BDB2-441877B8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C0E5F-9490-4ACB-8A7B-572DA830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36</Pages>
  <Words>3949</Words>
  <Characters>22512</Characters>
  <Application>Microsoft Office Word</Application>
  <DocSecurity>0</DocSecurity>
  <Lines>187</Lines>
  <Paragraphs>52</Paragraphs>
  <ScaleCrop>false</ScaleCrop>
  <Company/>
  <LinksUpToDate>false</LinksUpToDate>
  <CharactersWithSpaces>26409</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钱超</cp:lastModifiedBy>
  <cp:revision>728</cp:revision>
  <cp:lastPrinted>2007-07-19T00:46:00Z</cp:lastPrinted>
  <dcterms:created xsi:type="dcterms:W3CDTF">2013-06-22T02:32:00Z</dcterms:created>
  <dcterms:modified xsi:type="dcterms:W3CDTF">2019-03-25T03:27:00Z</dcterms:modified>
</cp:coreProperties>
</file>