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交银施罗德荣祥保本混合型证券投资基金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交银荣祥保本混合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4</w:t>
            </w:r>
            <w:r w:rsidRPr="00AF05D4">
              <w:rPr>
                <w:sz w:val="24"/>
              </w:rPr>
              <w:t>月</w:t>
            </w:r>
            <w:r w:rsidRPr="00AF05D4">
              <w:rPr>
                <w:sz w:val="24"/>
              </w:rPr>
              <w:t>24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483,443,035.77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本基金在严格控制风险和追求本金安全的前提下，力争实现基金资产在保本周期内的稳定增值。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19,601,494.17</w:t>
            </w:r>
          </w:p>
        </w:tc>
        <w:tc>
          <w:tcPr>
            <w:tcW w:w="2268" w:type="dxa"/>
            <w:vAlign w:val="center"/>
          </w:tcPr>
          <w:p w:rsidR="00501A91" w:rsidRPr="00931B45" w:rsidRDefault="00501A91" w:rsidP="00D415F5">
            <w:pPr>
              <w:spacing w:before="29" w:line="288" w:lineRule="auto"/>
              <w:jc w:val="right"/>
              <w:rPr>
                <w:szCs w:val="21"/>
              </w:rPr>
            </w:pPr>
            <w:r w:rsidRPr="00931B45">
              <w:rPr>
                <w:szCs w:val="21"/>
              </w:rPr>
              <w:t>3,908,227.23</w:t>
            </w:r>
          </w:p>
        </w:tc>
        <w:tc>
          <w:tcPr>
            <w:tcW w:w="2194" w:type="dxa"/>
            <w:vAlign w:val="center"/>
          </w:tcPr>
          <w:p w:rsidR="00501A91" w:rsidRPr="00931B45" w:rsidRDefault="00501A91" w:rsidP="00D415F5">
            <w:pPr>
              <w:spacing w:before="29" w:line="288" w:lineRule="auto"/>
              <w:jc w:val="right"/>
              <w:rPr>
                <w:szCs w:val="21"/>
              </w:rPr>
            </w:pPr>
            <w:r w:rsidRPr="00931B45">
              <w:rPr>
                <w:szCs w:val="21"/>
              </w:rPr>
              <w:t>10,920,966.63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30,836,143.89</w:t>
            </w:r>
          </w:p>
        </w:tc>
        <w:tc>
          <w:tcPr>
            <w:tcW w:w="2268" w:type="dxa"/>
            <w:vAlign w:val="center"/>
          </w:tcPr>
          <w:p w:rsidR="00501A91" w:rsidRPr="00931B45" w:rsidRDefault="00501A91" w:rsidP="00D415F5">
            <w:pPr>
              <w:spacing w:before="29" w:line="288" w:lineRule="auto"/>
              <w:jc w:val="right"/>
              <w:rPr>
                <w:szCs w:val="21"/>
              </w:rPr>
            </w:pPr>
            <w:r w:rsidRPr="00931B45">
              <w:rPr>
                <w:szCs w:val="21"/>
              </w:rPr>
              <w:t>9,758,673.32</w:t>
            </w:r>
          </w:p>
        </w:tc>
        <w:tc>
          <w:tcPr>
            <w:tcW w:w="2194" w:type="dxa"/>
            <w:vAlign w:val="center"/>
          </w:tcPr>
          <w:p w:rsidR="00501A91" w:rsidRPr="00931B45" w:rsidRDefault="00501A91" w:rsidP="00D415F5">
            <w:pPr>
              <w:spacing w:before="29" w:line="288" w:lineRule="auto"/>
              <w:jc w:val="right"/>
              <w:rPr>
                <w:szCs w:val="21"/>
              </w:rPr>
            </w:pPr>
            <w:r w:rsidRPr="00931B45">
              <w:rPr>
                <w:szCs w:val="21"/>
              </w:rPr>
              <w:t>-12,162,781.47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0.0559</w:t>
            </w:r>
          </w:p>
        </w:tc>
        <w:tc>
          <w:tcPr>
            <w:tcW w:w="2268" w:type="dxa"/>
            <w:vAlign w:val="center"/>
          </w:tcPr>
          <w:p w:rsidR="00501A91" w:rsidRPr="00931B45" w:rsidRDefault="00501A91" w:rsidP="00D415F5">
            <w:pPr>
              <w:spacing w:before="29" w:line="288" w:lineRule="auto"/>
              <w:jc w:val="right"/>
              <w:rPr>
                <w:szCs w:val="21"/>
              </w:rPr>
            </w:pPr>
            <w:r w:rsidRPr="00931B45">
              <w:rPr>
                <w:szCs w:val="21"/>
              </w:rPr>
              <w:t>0.0115</w:t>
            </w:r>
          </w:p>
        </w:tc>
        <w:tc>
          <w:tcPr>
            <w:tcW w:w="2194" w:type="dxa"/>
            <w:vAlign w:val="center"/>
          </w:tcPr>
          <w:p w:rsidR="00501A91" w:rsidRPr="00931B45" w:rsidRDefault="00501A91" w:rsidP="00D415F5">
            <w:pPr>
              <w:spacing w:before="29" w:line="288" w:lineRule="auto"/>
              <w:jc w:val="right"/>
              <w:rPr>
                <w:szCs w:val="21"/>
              </w:rPr>
            </w:pPr>
            <w:r w:rsidRPr="00931B45">
              <w:rPr>
                <w:szCs w:val="21"/>
              </w:rPr>
              <w:t>-0.0155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5.43%</w:t>
            </w:r>
          </w:p>
        </w:tc>
        <w:tc>
          <w:tcPr>
            <w:tcW w:w="2268" w:type="dxa"/>
            <w:vAlign w:val="center"/>
          </w:tcPr>
          <w:p w:rsidR="00501A91" w:rsidRPr="00931B45" w:rsidRDefault="00501A91" w:rsidP="00D415F5">
            <w:pPr>
              <w:spacing w:before="29" w:line="288" w:lineRule="auto"/>
              <w:jc w:val="right"/>
              <w:rPr>
                <w:szCs w:val="21"/>
              </w:rPr>
            </w:pPr>
            <w:r w:rsidRPr="00931B45">
              <w:rPr>
                <w:szCs w:val="21"/>
              </w:rPr>
              <w:t>1.20%</w:t>
            </w:r>
          </w:p>
        </w:tc>
        <w:tc>
          <w:tcPr>
            <w:tcW w:w="2194" w:type="dxa"/>
            <w:vAlign w:val="center"/>
          </w:tcPr>
          <w:p w:rsidR="00501A91" w:rsidRPr="00931B45" w:rsidRDefault="00501A91" w:rsidP="00D415F5">
            <w:pPr>
              <w:spacing w:before="29" w:line="288" w:lineRule="auto"/>
              <w:jc w:val="right"/>
              <w:rPr>
                <w:szCs w:val="21"/>
              </w:rPr>
            </w:pPr>
            <w:r w:rsidRPr="00931B45">
              <w:rPr>
                <w:szCs w:val="21"/>
              </w:rPr>
              <w:t>-5.43%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-0.022</w:t>
            </w:r>
          </w:p>
        </w:tc>
        <w:tc>
          <w:tcPr>
            <w:tcW w:w="2268" w:type="dxa"/>
            <w:vAlign w:val="center"/>
          </w:tcPr>
          <w:p w:rsidR="00501A91" w:rsidRPr="00931B45" w:rsidRDefault="00501A91" w:rsidP="00D415F5">
            <w:pPr>
              <w:spacing w:before="29" w:line="288" w:lineRule="auto"/>
              <w:jc w:val="right"/>
              <w:rPr>
                <w:szCs w:val="21"/>
              </w:rPr>
            </w:pPr>
            <w:r w:rsidRPr="00931B45">
              <w:rPr>
                <w:szCs w:val="21"/>
              </w:rPr>
              <w:t>-0.059</w:t>
            </w:r>
          </w:p>
        </w:tc>
        <w:tc>
          <w:tcPr>
            <w:tcW w:w="2194" w:type="dxa"/>
            <w:vAlign w:val="center"/>
          </w:tcPr>
          <w:p w:rsidR="00501A91" w:rsidRPr="00931B45" w:rsidRDefault="00501A91" w:rsidP="00D415F5">
            <w:pPr>
              <w:spacing w:before="29" w:line="288" w:lineRule="auto"/>
              <w:jc w:val="right"/>
              <w:rPr>
                <w:szCs w:val="21"/>
              </w:rPr>
            </w:pPr>
            <w:r w:rsidRPr="00931B45">
              <w:rPr>
                <w:szCs w:val="21"/>
              </w:rPr>
              <w:t>-0.071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515,753,151.08</w:t>
            </w:r>
          </w:p>
        </w:tc>
        <w:tc>
          <w:tcPr>
            <w:tcW w:w="2268" w:type="dxa"/>
            <w:vAlign w:val="center"/>
          </w:tcPr>
          <w:p w:rsidR="00501A91" w:rsidRPr="00931B45" w:rsidRDefault="00501A91" w:rsidP="00D415F5">
            <w:pPr>
              <w:spacing w:before="29" w:line="288" w:lineRule="auto"/>
              <w:jc w:val="right"/>
              <w:rPr>
                <w:szCs w:val="21"/>
              </w:rPr>
            </w:pPr>
            <w:r w:rsidRPr="00931B45">
              <w:rPr>
                <w:szCs w:val="21"/>
              </w:rPr>
              <w:t>690,812,036.90</w:t>
            </w:r>
          </w:p>
        </w:tc>
        <w:tc>
          <w:tcPr>
            <w:tcW w:w="2194" w:type="dxa"/>
            <w:vAlign w:val="center"/>
          </w:tcPr>
          <w:p w:rsidR="00501A91" w:rsidRPr="00931B45" w:rsidRDefault="00501A91" w:rsidP="00D415F5">
            <w:pPr>
              <w:spacing w:before="29" w:line="288" w:lineRule="auto"/>
              <w:jc w:val="right"/>
              <w:rPr>
                <w:szCs w:val="21"/>
              </w:rPr>
            </w:pPr>
            <w:r w:rsidRPr="00931B45">
              <w:rPr>
                <w:szCs w:val="21"/>
              </w:rPr>
              <w:t>1,010,297,393.97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1.067</w:t>
            </w:r>
          </w:p>
        </w:tc>
        <w:tc>
          <w:tcPr>
            <w:tcW w:w="2268" w:type="dxa"/>
            <w:vAlign w:val="center"/>
          </w:tcPr>
          <w:p w:rsidR="00501A91" w:rsidRPr="00931B45" w:rsidRDefault="00501A91" w:rsidP="00D415F5">
            <w:pPr>
              <w:spacing w:before="29" w:line="288" w:lineRule="auto"/>
              <w:jc w:val="right"/>
              <w:rPr>
                <w:szCs w:val="21"/>
              </w:rPr>
            </w:pPr>
            <w:r w:rsidRPr="00931B45">
              <w:rPr>
                <w:szCs w:val="21"/>
              </w:rPr>
              <w:t>1.012</w:t>
            </w:r>
          </w:p>
        </w:tc>
        <w:tc>
          <w:tcPr>
            <w:tcW w:w="2194" w:type="dxa"/>
            <w:vAlign w:val="center"/>
          </w:tcPr>
          <w:p w:rsidR="00501A91" w:rsidRPr="00931B45" w:rsidRDefault="00501A91" w:rsidP="00D415F5">
            <w:pPr>
              <w:spacing w:before="29" w:line="288" w:lineRule="auto"/>
              <w:jc w:val="right"/>
              <w:rPr>
                <w:szCs w:val="21"/>
              </w:rPr>
            </w:pPr>
            <w:r w:rsidRPr="00931B45">
              <w:rPr>
                <w:szCs w:val="21"/>
              </w:rPr>
              <w:t>1.000</w:t>
            </w:r>
          </w:p>
        </w:tc>
      </w:tr>
    </w:tbl>
    <w:p w:rsidR="00422134" w:rsidRDefault="0037703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22134">
        <w:tc>
          <w:tcPr>
            <w:tcW w:w="1286" w:type="dxa"/>
            <w:vAlign w:val="center"/>
          </w:tcPr>
          <w:p w:rsidR="00422134" w:rsidRDefault="0037703E">
            <w:pPr>
              <w:jc w:val="left"/>
            </w:pPr>
            <w:r>
              <w:rPr>
                <w:color w:val="000000"/>
                <w:sz w:val="24"/>
              </w:rPr>
              <w:t>过去三个月</w:t>
            </w:r>
          </w:p>
        </w:tc>
        <w:tc>
          <w:tcPr>
            <w:tcW w:w="1286" w:type="dxa"/>
            <w:vAlign w:val="center"/>
          </w:tcPr>
          <w:p w:rsidR="00422134" w:rsidRDefault="0037703E">
            <w:pPr>
              <w:jc w:val="center"/>
            </w:pPr>
            <w:r>
              <w:rPr>
                <w:color w:val="000000"/>
                <w:sz w:val="24"/>
              </w:rPr>
              <w:t>0.66%</w:t>
            </w:r>
          </w:p>
        </w:tc>
        <w:tc>
          <w:tcPr>
            <w:tcW w:w="1286" w:type="dxa"/>
            <w:vAlign w:val="center"/>
          </w:tcPr>
          <w:p w:rsidR="00422134" w:rsidRDefault="0037703E">
            <w:pPr>
              <w:jc w:val="center"/>
            </w:pPr>
            <w:r>
              <w:rPr>
                <w:color w:val="000000"/>
                <w:sz w:val="24"/>
              </w:rPr>
              <w:t>0.04%</w:t>
            </w:r>
          </w:p>
        </w:tc>
        <w:tc>
          <w:tcPr>
            <w:tcW w:w="1285" w:type="dxa"/>
            <w:vAlign w:val="center"/>
          </w:tcPr>
          <w:p w:rsidR="00422134" w:rsidRDefault="0037703E">
            <w:pPr>
              <w:jc w:val="center"/>
            </w:pPr>
            <w:r>
              <w:rPr>
                <w:color w:val="000000"/>
                <w:sz w:val="24"/>
              </w:rPr>
              <w:t>0.70%</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-0.04%</w:t>
            </w:r>
          </w:p>
        </w:tc>
        <w:tc>
          <w:tcPr>
            <w:tcW w:w="1285" w:type="dxa"/>
            <w:vAlign w:val="center"/>
          </w:tcPr>
          <w:p w:rsidR="00422134" w:rsidRDefault="0037703E">
            <w:pPr>
              <w:jc w:val="center"/>
            </w:pPr>
            <w:r>
              <w:rPr>
                <w:color w:val="000000"/>
                <w:sz w:val="24"/>
              </w:rPr>
              <w:t>0.03%</w:t>
            </w:r>
          </w:p>
        </w:tc>
      </w:tr>
      <w:tr w:rsidR="00422134">
        <w:tc>
          <w:tcPr>
            <w:tcW w:w="1286" w:type="dxa"/>
            <w:vAlign w:val="center"/>
          </w:tcPr>
          <w:p w:rsidR="00422134" w:rsidRDefault="0037703E">
            <w:pPr>
              <w:jc w:val="left"/>
            </w:pPr>
            <w:r>
              <w:rPr>
                <w:color w:val="000000"/>
                <w:sz w:val="24"/>
              </w:rPr>
              <w:t>过去六个月</w:t>
            </w:r>
          </w:p>
        </w:tc>
        <w:tc>
          <w:tcPr>
            <w:tcW w:w="1286" w:type="dxa"/>
            <w:vAlign w:val="center"/>
          </w:tcPr>
          <w:p w:rsidR="00422134" w:rsidRDefault="0037703E">
            <w:pPr>
              <w:jc w:val="center"/>
            </w:pPr>
            <w:r>
              <w:rPr>
                <w:color w:val="000000"/>
                <w:sz w:val="24"/>
              </w:rPr>
              <w:t>2.50%</w:t>
            </w:r>
          </w:p>
        </w:tc>
        <w:tc>
          <w:tcPr>
            <w:tcW w:w="1286" w:type="dxa"/>
            <w:vAlign w:val="center"/>
          </w:tcPr>
          <w:p w:rsidR="00422134" w:rsidRDefault="0037703E">
            <w:pPr>
              <w:jc w:val="center"/>
            </w:pPr>
            <w:r>
              <w:rPr>
                <w:color w:val="000000"/>
                <w:sz w:val="24"/>
              </w:rPr>
              <w:t>0.05%</w:t>
            </w:r>
          </w:p>
        </w:tc>
        <w:tc>
          <w:tcPr>
            <w:tcW w:w="1285" w:type="dxa"/>
            <w:vAlign w:val="center"/>
          </w:tcPr>
          <w:p w:rsidR="00422134" w:rsidRDefault="0037703E">
            <w:pPr>
              <w:jc w:val="center"/>
            </w:pPr>
            <w:r>
              <w:rPr>
                <w:color w:val="000000"/>
                <w:sz w:val="24"/>
              </w:rPr>
              <w:t>1.41%</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1.09%</w:t>
            </w:r>
          </w:p>
        </w:tc>
        <w:tc>
          <w:tcPr>
            <w:tcW w:w="1285" w:type="dxa"/>
            <w:vAlign w:val="center"/>
          </w:tcPr>
          <w:p w:rsidR="00422134" w:rsidRDefault="0037703E">
            <w:pPr>
              <w:jc w:val="center"/>
            </w:pPr>
            <w:r>
              <w:rPr>
                <w:color w:val="000000"/>
                <w:sz w:val="24"/>
              </w:rPr>
              <w:t>0.04%</w:t>
            </w:r>
          </w:p>
        </w:tc>
      </w:tr>
      <w:tr w:rsidR="00422134">
        <w:tc>
          <w:tcPr>
            <w:tcW w:w="1286" w:type="dxa"/>
            <w:vAlign w:val="center"/>
          </w:tcPr>
          <w:p w:rsidR="00422134" w:rsidRDefault="0037703E">
            <w:pPr>
              <w:jc w:val="left"/>
            </w:pPr>
            <w:r>
              <w:rPr>
                <w:color w:val="000000"/>
                <w:sz w:val="24"/>
              </w:rPr>
              <w:t>过去一年</w:t>
            </w:r>
          </w:p>
        </w:tc>
        <w:tc>
          <w:tcPr>
            <w:tcW w:w="1286" w:type="dxa"/>
            <w:vAlign w:val="center"/>
          </w:tcPr>
          <w:p w:rsidR="00422134" w:rsidRDefault="0037703E">
            <w:pPr>
              <w:jc w:val="center"/>
            </w:pPr>
            <w:r>
              <w:rPr>
                <w:color w:val="000000"/>
                <w:sz w:val="24"/>
              </w:rPr>
              <w:t>5.43%</w:t>
            </w:r>
          </w:p>
        </w:tc>
        <w:tc>
          <w:tcPr>
            <w:tcW w:w="1286" w:type="dxa"/>
            <w:vAlign w:val="center"/>
          </w:tcPr>
          <w:p w:rsidR="00422134" w:rsidRDefault="0037703E">
            <w:pPr>
              <w:jc w:val="center"/>
            </w:pPr>
            <w:r>
              <w:rPr>
                <w:color w:val="000000"/>
                <w:sz w:val="24"/>
              </w:rPr>
              <w:t>0.06%</w:t>
            </w:r>
          </w:p>
        </w:tc>
        <w:tc>
          <w:tcPr>
            <w:tcW w:w="1285" w:type="dxa"/>
            <w:vAlign w:val="center"/>
          </w:tcPr>
          <w:p w:rsidR="00422134" w:rsidRDefault="0037703E">
            <w:pPr>
              <w:jc w:val="center"/>
            </w:pPr>
            <w:r>
              <w:rPr>
                <w:color w:val="000000"/>
                <w:sz w:val="24"/>
              </w:rPr>
              <w:t>2.79%</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2.64%</w:t>
            </w:r>
          </w:p>
        </w:tc>
        <w:tc>
          <w:tcPr>
            <w:tcW w:w="1285" w:type="dxa"/>
            <w:vAlign w:val="center"/>
          </w:tcPr>
          <w:p w:rsidR="00422134" w:rsidRDefault="0037703E">
            <w:pPr>
              <w:jc w:val="center"/>
            </w:pPr>
            <w:r>
              <w:rPr>
                <w:color w:val="000000"/>
                <w:sz w:val="24"/>
              </w:rPr>
              <w:t>0.05%</w:t>
            </w:r>
          </w:p>
        </w:tc>
      </w:tr>
      <w:tr w:rsidR="00422134">
        <w:tc>
          <w:tcPr>
            <w:tcW w:w="1286" w:type="dxa"/>
            <w:vAlign w:val="center"/>
          </w:tcPr>
          <w:p w:rsidR="00422134" w:rsidRDefault="0037703E">
            <w:pPr>
              <w:jc w:val="left"/>
            </w:pPr>
            <w:r>
              <w:rPr>
                <w:color w:val="000000"/>
                <w:sz w:val="24"/>
              </w:rPr>
              <w:t>过去三年</w:t>
            </w:r>
          </w:p>
        </w:tc>
        <w:tc>
          <w:tcPr>
            <w:tcW w:w="1286" w:type="dxa"/>
            <w:vAlign w:val="center"/>
          </w:tcPr>
          <w:p w:rsidR="00422134" w:rsidRDefault="0037703E">
            <w:pPr>
              <w:jc w:val="center"/>
            </w:pPr>
            <w:r>
              <w:rPr>
                <w:color w:val="000000"/>
                <w:sz w:val="24"/>
              </w:rPr>
              <w:t>0.91%</w:t>
            </w:r>
          </w:p>
        </w:tc>
        <w:tc>
          <w:tcPr>
            <w:tcW w:w="1286" w:type="dxa"/>
            <w:vAlign w:val="center"/>
          </w:tcPr>
          <w:p w:rsidR="00422134" w:rsidRDefault="0037703E">
            <w:pPr>
              <w:jc w:val="center"/>
            </w:pPr>
            <w:r>
              <w:rPr>
                <w:color w:val="000000"/>
                <w:sz w:val="24"/>
              </w:rPr>
              <w:t>0.15%</w:t>
            </w:r>
          </w:p>
        </w:tc>
        <w:tc>
          <w:tcPr>
            <w:tcW w:w="1285" w:type="dxa"/>
            <w:vAlign w:val="center"/>
          </w:tcPr>
          <w:p w:rsidR="00422134" w:rsidRDefault="0037703E">
            <w:pPr>
              <w:jc w:val="center"/>
            </w:pPr>
            <w:r>
              <w:rPr>
                <w:color w:val="000000"/>
                <w:sz w:val="24"/>
              </w:rPr>
              <w:t>8.37%</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-7.46%</w:t>
            </w:r>
          </w:p>
        </w:tc>
        <w:tc>
          <w:tcPr>
            <w:tcW w:w="1285" w:type="dxa"/>
            <w:vAlign w:val="center"/>
          </w:tcPr>
          <w:p w:rsidR="00422134" w:rsidRDefault="0037703E">
            <w:pPr>
              <w:jc w:val="center"/>
            </w:pPr>
            <w:r>
              <w:rPr>
                <w:color w:val="000000"/>
                <w:sz w:val="24"/>
              </w:rPr>
              <w:t>0.14%</w:t>
            </w:r>
          </w:p>
        </w:tc>
      </w:tr>
      <w:tr w:rsidR="00422134">
        <w:tc>
          <w:tcPr>
            <w:tcW w:w="1286" w:type="dxa"/>
            <w:vAlign w:val="center"/>
          </w:tcPr>
          <w:p w:rsidR="00422134" w:rsidRDefault="0037703E">
            <w:pPr>
              <w:jc w:val="left"/>
            </w:pPr>
            <w:r>
              <w:rPr>
                <w:color w:val="000000"/>
                <w:sz w:val="24"/>
              </w:rPr>
              <w:t>过去五年</w:t>
            </w:r>
          </w:p>
        </w:tc>
        <w:tc>
          <w:tcPr>
            <w:tcW w:w="1286" w:type="dxa"/>
            <w:vAlign w:val="center"/>
          </w:tcPr>
          <w:p w:rsidR="00422134" w:rsidRDefault="0037703E">
            <w:pPr>
              <w:jc w:val="center"/>
            </w:pPr>
            <w:r>
              <w:rPr>
                <w:color w:val="000000"/>
                <w:sz w:val="24"/>
              </w:rPr>
              <w:t>43.71%</w:t>
            </w:r>
          </w:p>
        </w:tc>
        <w:tc>
          <w:tcPr>
            <w:tcW w:w="1286" w:type="dxa"/>
            <w:vAlign w:val="center"/>
          </w:tcPr>
          <w:p w:rsidR="00422134" w:rsidRDefault="0037703E">
            <w:pPr>
              <w:jc w:val="center"/>
            </w:pPr>
            <w:r>
              <w:rPr>
                <w:color w:val="000000"/>
                <w:sz w:val="24"/>
              </w:rPr>
              <w:t>0.50%</w:t>
            </w:r>
          </w:p>
        </w:tc>
        <w:tc>
          <w:tcPr>
            <w:tcW w:w="1285" w:type="dxa"/>
            <w:vAlign w:val="center"/>
          </w:tcPr>
          <w:p w:rsidR="00422134" w:rsidRDefault="0037703E">
            <w:pPr>
              <w:jc w:val="center"/>
            </w:pPr>
            <w:r>
              <w:rPr>
                <w:color w:val="000000"/>
                <w:sz w:val="24"/>
              </w:rPr>
              <w:t>16.06%</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27.65%</w:t>
            </w:r>
          </w:p>
        </w:tc>
        <w:tc>
          <w:tcPr>
            <w:tcW w:w="1285" w:type="dxa"/>
            <w:vAlign w:val="center"/>
          </w:tcPr>
          <w:p w:rsidR="00422134" w:rsidRDefault="0037703E">
            <w:pPr>
              <w:jc w:val="center"/>
            </w:pPr>
            <w:r>
              <w:rPr>
                <w:color w:val="000000"/>
                <w:sz w:val="24"/>
              </w:rPr>
              <w:t>0.49%</w:t>
            </w:r>
          </w:p>
        </w:tc>
      </w:tr>
      <w:tr w:rsidR="00422134">
        <w:tc>
          <w:tcPr>
            <w:tcW w:w="1286" w:type="dxa"/>
            <w:vAlign w:val="center"/>
          </w:tcPr>
          <w:p w:rsidR="00422134" w:rsidRDefault="0037703E">
            <w:pPr>
              <w:jc w:val="left"/>
            </w:pPr>
            <w:r>
              <w:rPr>
                <w:color w:val="000000"/>
                <w:sz w:val="24"/>
              </w:rPr>
              <w:t>自基金合同生效起至今</w:t>
            </w:r>
          </w:p>
        </w:tc>
        <w:tc>
          <w:tcPr>
            <w:tcW w:w="1286" w:type="dxa"/>
            <w:vAlign w:val="center"/>
          </w:tcPr>
          <w:p w:rsidR="00422134" w:rsidRDefault="0037703E">
            <w:pPr>
              <w:jc w:val="center"/>
            </w:pPr>
            <w:r>
              <w:rPr>
                <w:color w:val="000000"/>
                <w:sz w:val="24"/>
              </w:rPr>
              <w:t>49.99%</w:t>
            </w:r>
          </w:p>
        </w:tc>
        <w:tc>
          <w:tcPr>
            <w:tcW w:w="1286" w:type="dxa"/>
            <w:vAlign w:val="center"/>
          </w:tcPr>
          <w:p w:rsidR="00422134" w:rsidRDefault="0037703E">
            <w:pPr>
              <w:jc w:val="center"/>
            </w:pPr>
            <w:r>
              <w:rPr>
                <w:color w:val="000000"/>
                <w:sz w:val="24"/>
              </w:rPr>
              <w:t>0.49%</w:t>
            </w:r>
          </w:p>
        </w:tc>
        <w:tc>
          <w:tcPr>
            <w:tcW w:w="1285" w:type="dxa"/>
            <w:vAlign w:val="center"/>
          </w:tcPr>
          <w:p w:rsidR="00422134" w:rsidRDefault="0037703E">
            <w:pPr>
              <w:jc w:val="center"/>
            </w:pPr>
            <w:r>
              <w:rPr>
                <w:color w:val="000000"/>
                <w:sz w:val="24"/>
              </w:rPr>
              <w:t>19.04%</w:t>
            </w:r>
          </w:p>
        </w:tc>
        <w:tc>
          <w:tcPr>
            <w:tcW w:w="1285" w:type="dxa"/>
            <w:vAlign w:val="center"/>
          </w:tcPr>
          <w:p w:rsidR="00422134" w:rsidRDefault="0037703E">
            <w:pPr>
              <w:jc w:val="center"/>
            </w:pPr>
            <w:r>
              <w:rPr>
                <w:color w:val="000000"/>
                <w:sz w:val="24"/>
              </w:rPr>
              <w:t>0.01%</w:t>
            </w:r>
          </w:p>
        </w:tc>
        <w:tc>
          <w:tcPr>
            <w:tcW w:w="1285" w:type="dxa"/>
            <w:vAlign w:val="center"/>
          </w:tcPr>
          <w:p w:rsidR="00422134" w:rsidRDefault="0037703E">
            <w:pPr>
              <w:jc w:val="center"/>
            </w:pPr>
            <w:r>
              <w:rPr>
                <w:color w:val="000000"/>
                <w:sz w:val="24"/>
              </w:rPr>
              <w:t>30.95%</w:t>
            </w:r>
          </w:p>
        </w:tc>
        <w:tc>
          <w:tcPr>
            <w:tcW w:w="1285" w:type="dxa"/>
            <w:vAlign w:val="center"/>
          </w:tcPr>
          <w:p w:rsidR="00422134" w:rsidRDefault="0037703E">
            <w:pPr>
              <w:jc w:val="center"/>
            </w:pPr>
            <w:r>
              <w:rPr>
                <w:color w:val="000000"/>
                <w:sz w:val="24"/>
              </w:rPr>
              <w:t>0.48%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22134">
        <w:tc>
          <w:tcPr>
            <w:tcW w:w="1499" w:type="dxa"/>
            <w:vAlign w:val="center"/>
          </w:tcPr>
          <w:p w:rsidR="00422134" w:rsidRDefault="0037703E">
            <w:pPr>
              <w:jc w:val="center"/>
            </w:pPr>
            <w:r>
              <w:rPr>
                <w:color w:val="000000"/>
                <w:sz w:val="24"/>
              </w:rPr>
              <w:t>2018</w:t>
            </w:r>
            <w:r>
              <w:rPr>
                <w:color w:val="000000"/>
                <w:sz w:val="24"/>
              </w:rPr>
              <w:t>年</w:t>
            </w:r>
          </w:p>
        </w:tc>
        <w:tc>
          <w:tcPr>
            <w:tcW w:w="1336" w:type="dxa"/>
            <w:vAlign w:val="center"/>
          </w:tcPr>
          <w:p w:rsidR="00422134" w:rsidRDefault="0037703E">
            <w:pPr>
              <w:jc w:val="right"/>
            </w:pPr>
            <w:r>
              <w:rPr>
                <w:color w:val="000000"/>
                <w:sz w:val="24"/>
              </w:rPr>
              <w:t>-</w:t>
            </w:r>
          </w:p>
        </w:tc>
        <w:tc>
          <w:tcPr>
            <w:tcW w:w="1663" w:type="dxa"/>
            <w:vAlign w:val="center"/>
          </w:tcPr>
          <w:p w:rsidR="00422134" w:rsidRDefault="0037703E">
            <w:pPr>
              <w:jc w:val="right"/>
            </w:pPr>
            <w:r>
              <w:rPr>
                <w:color w:val="000000"/>
                <w:sz w:val="24"/>
              </w:rPr>
              <w:t>-</w:t>
            </w:r>
          </w:p>
        </w:tc>
        <w:tc>
          <w:tcPr>
            <w:tcW w:w="1739" w:type="dxa"/>
            <w:vAlign w:val="center"/>
          </w:tcPr>
          <w:p w:rsidR="00422134" w:rsidRDefault="0037703E">
            <w:pPr>
              <w:jc w:val="right"/>
            </w:pPr>
            <w:r>
              <w:rPr>
                <w:color w:val="000000"/>
                <w:sz w:val="24"/>
              </w:rPr>
              <w:t>-</w:t>
            </w:r>
          </w:p>
        </w:tc>
        <w:tc>
          <w:tcPr>
            <w:tcW w:w="1701" w:type="dxa"/>
            <w:vAlign w:val="center"/>
          </w:tcPr>
          <w:p w:rsidR="00422134" w:rsidRDefault="0037703E">
            <w:pPr>
              <w:jc w:val="right"/>
            </w:pPr>
            <w:r>
              <w:rPr>
                <w:color w:val="000000"/>
                <w:sz w:val="24"/>
              </w:rPr>
              <w:t>-</w:t>
            </w:r>
          </w:p>
        </w:tc>
        <w:tc>
          <w:tcPr>
            <w:tcW w:w="1060" w:type="dxa"/>
            <w:vAlign w:val="center"/>
          </w:tcPr>
          <w:p w:rsidR="00422134" w:rsidRDefault="0037703E">
            <w:pPr>
              <w:jc w:val="left"/>
            </w:pPr>
            <w:r>
              <w:rPr>
                <w:color w:val="000000"/>
                <w:sz w:val="24"/>
              </w:rPr>
              <w:t>-</w:t>
            </w:r>
          </w:p>
        </w:tc>
      </w:tr>
      <w:tr w:rsidR="00422134">
        <w:tc>
          <w:tcPr>
            <w:tcW w:w="1499" w:type="dxa"/>
            <w:vAlign w:val="center"/>
          </w:tcPr>
          <w:p w:rsidR="00422134" w:rsidRDefault="0037703E">
            <w:pPr>
              <w:jc w:val="center"/>
            </w:pPr>
            <w:r>
              <w:rPr>
                <w:color w:val="000000"/>
                <w:sz w:val="24"/>
              </w:rPr>
              <w:t>2017</w:t>
            </w:r>
            <w:r>
              <w:rPr>
                <w:color w:val="000000"/>
                <w:sz w:val="24"/>
              </w:rPr>
              <w:t>年</w:t>
            </w:r>
          </w:p>
        </w:tc>
        <w:tc>
          <w:tcPr>
            <w:tcW w:w="1336" w:type="dxa"/>
            <w:vAlign w:val="center"/>
          </w:tcPr>
          <w:p w:rsidR="00422134" w:rsidRDefault="0037703E">
            <w:pPr>
              <w:jc w:val="right"/>
            </w:pPr>
            <w:r>
              <w:rPr>
                <w:color w:val="000000"/>
                <w:sz w:val="24"/>
              </w:rPr>
              <w:t>-</w:t>
            </w:r>
          </w:p>
        </w:tc>
        <w:tc>
          <w:tcPr>
            <w:tcW w:w="1663" w:type="dxa"/>
            <w:vAlign w:val="center"/>
          </w:tcPr>
          <w:p w:rsidR="00422134" w:rsidRDefault="0037703E">
            <w:pPr>
              <w:jc w:val="right"/>
            </w:pPr>
            <w:r>
              <w:rPr>
                <w:color w:val="000000"/>
                <w:sz w:val="24"/>
              </w:rPr>
              <w:t>-</w:t>
            </w:r>
          </w:p>
        </w:tc>
        <w:tc>
          <w:tcPr>
            <w:tcW w:w="1739" w:type="dxa"/>
            <w:vAlign w:val="center"/>
          </w:tcPr>
          <w:p w:rsidR="00422134" w:rsidRDefault="0037703E">
            <w:pPr>
              <w:jc w:val="right"/>
            </w:pPr>
            <w:r>
              <w:rPr>
                <w:color w:val="000000"/>
                <w:sz w:val="24"/>
              </w:rPr>
              <w:t>-</w:t>
            </w:r>
          </w:p>
        </w:tc>
        <w:tc>
          <w:tcPr>
            <w:tcW w:w="1701" w:type="dxa"/>
            <w:vAlign w:val="center"/>
          </w:tcPr>
          <w:p w:rsidR="00422134" w:rsidRDefault="0037703E">
            <w:pPr>
              <w:jc w:val="right"/>
            </w:pPr>
            <w:r>
              <w:rPr>
                <w:color w:val="000000"/>
                <w:sz w:val="24"/>
              </w:rPr>
              <w:t>-</w:t>
            </w:r>
          </w:p>
        </w:tc>
        <w:tc>
          <w:tcPr>
            <w:tcW w:w="1060" w:type="dxa"/>
            <w:vAlign w:val="center"/>
          </w:tcPr>
          <w:p w:rsidR="00422134" w:rsidRDefault="0037703E">
            <w:pPr>
              <w:jc w:val="left"/>
            </w:pPr>
            <w:r>
              <w:rPr>
                <w:color w:val="000000"/>
                <w:sz w:val="24"/>
              </w:rPr>
              <w:t>-</w:t>
            </w:r>
          </w:p>
        </w:tc>
      </w:tr>
      <w:tr w:rsidR="00422134">
        <w:tc>
          <w:tcPr>
            <w:tcW w:w="1499" w:type="dxa"/>
            <w:vAlign w:val="center"/>
          </w:tcPr>
          <w:p w:rsidR="00422134" w:rsidRDefault="0037703E">
            <w:pPr>
              <w:jc w:val="center"/>
            </w:pPr>
            <w:r>
              <w:rPr>
                <w:color w:val="000000"/>
                <w:sz w:val="24"/>
              </w:rPr>
              <w:t>2016</w:t>
            </w:r>
            <w:r>
              <w:rPr>
                <w:color w:val="000000"/>
                <w:sz w:val="24"/>
              </w:rPr>
              <w:t>年</w:t>
            </w:r>
          </w:p>
        </w:tc>
        <w:tc>
          <w:tcPr>
            <w:tcW w:w="1336" w:type="dxa"/>
            <w:vAlign w:val="center"/>
          </w:tcPr>
          <w:p w:rsidR="00422134" w:rsidRDefault="0037703E">
            <w:pPr>
              <w:jc w:val="right"/>
            </w:pPr>
            <w:r>
              <w:rPr>
                <w:color w:val="000000"/>
                <w:sz w:val="24"/>
              </w:rPr>
              <w:t>-</w:t>
            </w:r>
          </w:p>
        </w:tc>
        <w:tc>
          <w:tcPr>
            <w:tcW w:w="1663" w:type="dxa"/>
            <w:vAlign w:val="center"/>
          </w:tcPr>
          <w:p w:rsidR="00422134" w:rsidRDefault="0037703E">
            <w:pPr>
              <w:jc w:val="right"/>
            </w:pPr>
            <w:r>
              <w:rPr>
                <w:color w:val="000000"/>
                <w:sz w:val="24"/>
              </w:rPr>
              <w:t>-</w:t>
            </w:r>
          </w:p>
        </w:tc>
        <w:tc>
          <w:tcPr>
            <w:tcW w:w="1739" w:type="dxa"/>
            <w:vAlign w:val="center"/>
          </w:tcPr>
          <w:p w:rsidR="00422134" w:rsidRDefault="0037703E">
            <w:pPr>
              <w:jc w:val="right"/>
            </w:pPr>
            <w:r>
              <w:rPr>
                <w:color w:val="000000"/>
                <w:sz w:val="24"/>
              </w:rPr>
              <w:t>-</w:t>
            </w:r>
          </w:p>
        </w:tc>
        <w:tc>
          <w:tcPr>
            <w:tcW w:w="1701" w:type="dxa"/>
            <w:vAlign w:val="center"/>
          </w:tcPr>
          <w:p w:rsidR="00422134" w:rsidRDefault="0037703E">
            <w:pPr>
              <w:jc w:val="right"/>
            </w:pPr>
            <w:r>
              <w:rPr>
                <w:color w:val="000000"/>
                <w:sz w:val="24"/>
              </w:rPr>
              <w:t>-</w:t>
            </w:r>
          </w:p>
        </w:tc>
        <w:tc>
          <w:tcPr>
            <w:tcW w:w="1060" w:type="dxa"/>
            <w:vAlign w:val="center"/>
          </w:tcPr>
          <w:p w:rsidR="00422134" w:rsidRDefault="0037703E">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22134" w:rsidRDefault="0037703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22134">
        <w:tc>
          <w:tcPr>
            <w:tcW w:w="1499" w:type="dxa"/>
            <w:vAlign w:val="center"/>
          </w:tcPr>
          <w:p w:rsidR="00422134" w:rsidRDefault="0037703E">
            <w:pPr>
              <w:jc w:val="center"/>
            </w:pPr>
            <w:r>
              <w:rPr>
                <w:color w:val="000000"/>
                <w:sz w:val="24"/>
              </w:rPr>
              <w:t>于海颖</w:t>
            </w:r>
          </w:p>
        </w:tc>
        <w:tc>
          <w:tcPr>
            <w:tcW w:w="1499" w:type="dxa"/>
            <w:vAlign w:val="center"/>
          </w:tcPr>
          <w:p w:rsidR="00422134" w:rsidRDefault="0037703E">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500" w:type="dxa"/>
            <w:vAlign w:val="center"/>
          </w:tcPr>
          <w:p w:rsidR="00422134" w:rsidRDefault="0037703E">
            <w:pPr>
              <w:jc w:val="center"/>
            </w:pPr>
            <w:r>
              <w:rPr>
                <w:color w:val="000000"/>
                <w:sz w:val="24"/>
              </w:rPr>
              <w:t>2017-06-10</w:t>
            </w:r>
          </w:p>
        </w:tc>
        <w:tc>
          <w:tcPr>
            <w:tcW w:w="1500" w:type="dxa"/>
            <w:vAlign w:val="center"/>
          </w:tcPr>
          <w:p w:rsidR="00422134" w:rsidRDefault="0037703E">
            <w:pPr>
              <w:jc w:val="center"/>
            </w:pPr>
            <w:r>
              <w:rPr>
                <w:color w:val="000000"/>
                <w:sz w:val="24"/>
              </w:rPr>
              <w:t>-</w:t>
            </w:r>
          </w:p>
        </w:tc>
        <w:tc>
          <w:tcPr>
            <w:tcW w:w="1090" w:type="dxa"/>
            <w:vAlign w:val="center"/>
          </w:tcPr>
          <w:p w:rsidR="00422134" w:rsidRDefault="0037703E">
            <w:pPr>
              <w:jc w:val="center"/>
            </w:pPr>
            <w:r>
              <w:rPr>
                <w:color w:val="000000"/>
                <w:sz w:val="24"/>
              </w:rPr>
              <w:t>12</w:t>
            </w:r>
            <w:r>
              <w:rPr>
                <w:color w:val="000000"/>
                <w:sz w:val="24"/>
              </w:rPr>
              <w:t>年</w:t>
            </w:r>
          </w:p>
        </w:tc>
        <w:tc>
          <w:tcPr>
            <w:tcW w:w="1910" w:type="dxa"/>
            <w:vAlign w:val="center"/>
          </w:tcPr>
          <w:p w:rsidR="00422134" w:rsidRDefault="0037703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422134">
        <w:tc>
          <w:tcPr>
            <w:tcW w:w="1499" w:type="dxa"/>
            <w:vAlign w:val="center"/>
          </w:tcPr>
          <w:p w:rsidR="00422134" w:rsidRDefault="0037703E">
            <w:pPr>
              <w:jc w:val="center"/>
            </w:pPr>
            <w:r>
              <w:rPr>
                <w:color w:val="000000"/>
                <w:sz w:val="24"/>
              </w:rPr>
              <w:t>王艺伟</w:t>
            </w:r>
          </w:p>
        </w:tc>
        <w:tc>
          <w:tcPr>
            <w:tcW w:w="1499" w:type="dxa"/>
            <w:vAlign w:val="center"/>
          </w:tcPr>
          <w:p w:rsidR="00422134" w:rsidRDefault="0037703E">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500" w:type="dxa"/>
            <w:vAlign w:val="center"/>
          </w:tcPr>
          <w:p w:rsidR="00422134" w:rsidRDefault="0037703E">
            <w:pPr>
              <w:jc w:val="center"/>
            </w:pPr>
            <w:r>
              <w:rPr>
                <w:color w:val="000000"/>
                <w:sz w:val="24"/>
              </w:rPr>
              <w:t>2017-05-24</w:t>
            </w:r>
          </w:p>
        </w:tc>
        <w:tc>
          <w:tcPr>
            <w:tcW w:w="1500" w:type="dxa"/>
            <w:vAlign w:val="center"/>
          </w:tcPr>
          <w:p w:rsidR="00422134" w:rsidRDefault="0037703E">
            <w:pPr>
              <w:jc w:val="center"/>
            </w:pPr>
            <w:r>
              <w:rPr>
                <w:color w:val="000000"/>
                <w:sz w:val="24"/>
              </w:rPr>
              <w:t>-</w:t>
            </w:r>
          </w:p>
        </w:tc>
        <w:tc>
          <w:tcPr>
            <w:tcW w:w="1090" w:type="dxa"/>
            <w:vAlign w:val="center"/>
          </w:tcPr>
          <w:p w:rsidR="00422134" w:rsidRDefault="0037703E">
            <w:pPr>
              <w:jc w:val="center"/>
            </w:pPr>
            <w:r>
              <w:rPr>
                <w:color w:val="000000"/>
                <w:sz w:val="24"/>
              </w:rPr>
              <w:t>6</w:t>
            </w:r>
            <w:r>
              <w:rPr>
                <w:color w:val="000000"/>
                <w:sz w:val="24"/>
              </w:rPr>
              <w:t>年</w:t>
            </w:r>
          </w:p>
        </w:tc>
        <w:tc>
          <w:tcPr>
            <w:tcW w:w="1910" w:type="dxa"/>
            <w:vAlign w:val="center"/>
          </w:tcPr>
          <w:p w:rsidR="00422134" w:rsidRDefault="0037703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422134" w:rsidRDefault="0037703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22134" w:rsidRDefault="0037703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22134" w:rsidRDefault="0037703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22134" w:rsidRDefault="0037703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22134" w:rsidRDefault="0037703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22134" w:rsidRDefault="0037703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22134" w:rsidRDefault="0037703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22134" w:rsidRDefault="0037703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22134" w:rsidRDefault="0037703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22134" w:rsidRDefault="0037703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22134" w:rsidRDefault="0037703E">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422134" w:rsidRDefault="0037703E">
      <w:pPr>
        <w:spacing w:before="29" w:line="288" w:lineRule="auto"/>
        <w:ind w:firstLineChars="200" w:firstLine="480"/>
        <w:rPr>
          <w:color w:val="000000"/>
          <w:sz w:val="24"/>
        </w:rPr>
      </w:pPr>
      <w:r>
        <w:rPr>
          <w:color w:val="000000"/>
          <w:sz w:val="24"/>
        </w:rPr>
        <w:t>权益市场方面，在经济基本面下行、金融去杠杆以及中美贸易争端三重因素影响下，权益市场普遍面临业绩估值下调的困境，上证综指年跌幅</w:t>
      </w:r>
      <w:r>
        <w:rPr>
          <w:color w:val="000000"/>
          <w:sz w:val="24"/>
        </w:rPr>
        <w:t>24.59%</w:t>
      </w:r>
      <w:r>
        <w:rPr>
          <w:color w:val="000000"/>
          <w:sz w:val="24"/>
        </w:rPr>
        <w:t>，创业板指年跌幅</w:t>
      </w:r>
      <w:r>
        <w:rPr>
          <w:color w:val="000000"/>
          <w:sz w:val="24"/>
        </w:rPr>
        <w:t>28.65%</w:t>
      </w:r>
      <w:r>
        <w:rPr>
          <w:color w:val="000000"/>
          <w:sz w:val="24"/>
        </w:rPr>
        <w:t>。全年看，防御性较强的消费及银行跌幅相对较小，但随着经济增速下滑，消费行业在</w:t>
      </w:r>
      <w:r>
        <w:rPr>
          <w:color w:val="000000"/>
          <w:sz w:val="24"/>
        </w:rPr>
        <w:t>2018</w:t>
      </w:r>
      <w:r>
        <w:rPr>
          <w:color w:val="000000"/>
          <w:sz w:val="24"/>
        </w:rPr>
        <w:t>年三季度起的表现也逐步走疲，而电子、有色等在</w:t>
      </w:r>
      <w:r>
        <w:rPr>
          <w:color w:val="000000"/>
          <w:sz w:val="24"/>
        </w:rPr>
        <w:t>2017</w:t>
      </w:r>
      <w:r>
        <w:rPr>
          <w:color w:val="000000"/>
          <w:sz w:val="24"/>
        </w:rPr>
        <w:t>年相对强势的行业表现较差。</w:t>
      </w:r>
    </w:p>
    <w:p w:rsidR="001A59F9" w:rsidRPr="0013437B" w:rsidRDefault="001A59F9" w:rsidP="0013437B">
      <w:pPr>
        <w:spacing w:before="29" w:line="288" w:lineRule="auto"/>
        <w:ind w:firstLineChars="200" w:firstLine="480"/>
        <w:rPr>
          <w:color w:val="000000"/>
          <w:sz w:val="24"/>
        </w:rPr>
      </w:pPr>
      <w:r w:rsidRPr="0013437B">
        <w:rPr>
          <w:color w:val="000000"/>
          <w:sz w:val="24"/>
        </w:rPr>
        <w:t>组合操作层面，本基金在</w:t>
      </w:r>
      <w:r w:rsidRPr="0013437B">
        <w:rPr>
          <w:color w:val="000000"/>
          <w:sz w:val="24"/>
        </w:rPr>
        <w:t>CPPI</w:t>
      </w:r>
      <w:r w:rsidRPr="0013437B">
        <w:rPr>
          <w:color w:val="000000"/>
          <w:sz w:val="24"/>
        </w:rPr>
        <w:t>管理框架的基础上继续积累组合安全垫，并控制组合回撤。考虑到流动性宽松较为确定，组合维持高杠杆策略，并在</w:t>
      </w:r>
      <w:r w:rsidRPr="0013437B">
        <w:rPr>
          <w:color w:val="000000"/>
          <w:sz w:val="24"/>
        </w:rPr>
        <w:t>2018</w:t>
      </w:r>
      <w:r w:rsidRPr="0013437B">
        <w:rPr>
          <w:color w:val="000000"/>
          <w:sz w:val="24"/>
        </w:rPr>
        <w:t>年前三个季度择机将部分短久期资产置换为保本周期范围内和保本剩余期限相匹配的久期较长的优质资产，以提升组合静态，</w:t>
      </w:r>
      <w:r w:rsidRPr="0013437B">
        <w:rPr>
          <w:color w:val="000000"/>
          <w:sz w:val="24"/>
        </w:rPr>
        <w:t>2018</w:t>
      </w:r>
      <w:r w:rsidRPr="0013437B">
        <w:rPr>
          <w:color w:val="000000"/>
          <w:sz w:val="24"/>
        </w:rPr>
        <w:t>年四季度由于保本周期即将到期，组合资产期限与保本周期较为匹配，因此不再进行置换操作。在权益和转债配置方面，组合在</w:t>
      </w:r>
      <w:r w:rsidRPr="0013437B">
        <w:rPr>
          <w:color w:val="000000"/>
          <w:sz w:val="24"/>
        </w:rPr>
        <w:t>2018</w:t>
      </w:r>
      <w:r w:rsidRPr="0013437B">
        <w:rPr>
          <w:color w:val="000000"/>
          <w:sz w:val="24"/>
        </w:rPr>
        <w:t>年一、二季度维持偏低仓位，三季度起权益和转债基本维持零仓位，以控制回撤风险。</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437B">
        <w:rPr>
          <w:color w:val="000000"/>
          <w:sz w:val="24"/>
        </w:rPr>
        <w:t>2018</w:t>
      </w:r>
      <w:r w:rsidRPr="0013437B">
        <w:rPr>
          <w:color w:val="000000"/>
          <w:sz w:val="24"/>
        </w:rPr>
        <w:t>年那么顺畅，关注逆周期调节政策可能会导致社融同比阶段性企稳，猪价油价超预期上涨可能会对通胀预期产生扰动。从操作层面上，我们预期资金面相对充裕的格局并未改变，保本组合将延续杠杆策略，并保证组合久期与保本周期基本匹配，赚取稳定收益，同时由于本组合保本周期将于</w:t>
      </w:r>
      <w:r w:rsidRPr="0013437B">
        <w:rPr>
          <w:color w:val="000000"/>
          <w:sz w:val="24"/>
        </w:rPr>
        <w:t>2019</w:t>
      </w:r>
      <w:r w:rsidRPr="0013437B">
        <w:rPr>
          <w:color w:val="000000"/>
          <w:sz w:val="24"/>
        </w:rPr>
        <w:t>年上半年到期，届时组合会根据规模的变动情况动态的进行组合的调整，并按照转型后的基金合同进行组合的操作和配置。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22134" w:rsidRDefault="0037703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22134" w:rsidRDefault="0037703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 xml:space="preserve"> 2018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2018</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交银施罗德荣祥保本混合型证券投资基金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21574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交银施罗德荣祥保本混合型证券投资基金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754,385.33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2,379,042.95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15,138,489.22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18,014,014.78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1,123.50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11,712.01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836,894,400.00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951,441,896.30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836,894,400.00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951,441,896.30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2,306,113.62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1,621,249.57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24,717,817.75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17,638,003.34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3,615.03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1,018.78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879,815,944.45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991,106,937.73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361,059,296.16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297,160,444.76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1,887,053.12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1,870,255.21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529,060.19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719,811.99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88,176.70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119,968.67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9,189.32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16,159.19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21,203.80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203,749.99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98,118.25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265,064.09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310,142.76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364,062,793.37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300,294,900.83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517,939,370.28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731,240,129.07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-2,186,219.20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-40,428,092.17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515,753,151.08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690,812,036.90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879,815,944.45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991,106,937.73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1.067</w:t>
      </w:r>
      <w:r w:rsidR="001A59F9" w:rsidRPr="00AA0214">
        <w:rPr>
          <w:kern w:val="0"/>
          <w:sz w:val="24"/>
        </w:rPr>
        <w:t>元，基金份额总额</w:t>
      </w:r>
      <w:r w:rsidR="001A59F9" w:rsidRPr="00AA0214">
        <w:rPr>
          <w:kern w:val="0"/>
          <w:sz w:val="24"/>
        </w:rPr>
        <w:t>483,443,035.77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交银施罗德荣祥保本混合型证券投资基金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51,275,197.08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38,392,571.96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40,157,025.99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45,900,935.35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269,838.77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296,142.93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39,887,187.22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45,604,792.42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-779,591.05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-14,535,919.15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330,791.29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-779,591.05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-14,867,610.44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900.00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11,234,649.72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5,850,446.09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663,112.42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1,177,109.67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20,439,053.19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28,633,898.64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6,900,836.56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10,271,918.30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1,150,139.40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1,711,986.45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7,038.22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22,003.43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12,050,117.37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16,277,344.95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12,050,117.37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16,277,344.95</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30,189.52</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300,732.12</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350,645.51</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30,836,143.89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9,758,673.32</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30,836,143.89</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9,758,673.32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交银施罗德荣祥保本混合型证券投资基金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731,240,129.07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-40,428,092.17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690,812,036.90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30,836,143.89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30,836,143.89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-213,300,758.79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7,405,729.08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-205,895,029.71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11,004,530.78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-277,988.56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10,726,542.22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-224,305,289.57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7,683,717.64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-216,621,571.93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517,939,370.28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-2,186,219.20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515,753,151.08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1,082,268,627.13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-71,971,233.16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1,010,297,393.97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9,758,673.32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9,758,673.32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-351,028,498.06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21,784,467.67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-329,244,030.39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743,507.61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-46,357.70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697,149.91</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-351,772,005.67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21,830,825.37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-329,941,180.30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731,240,129.07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-40,428,092.17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690,812,036.90</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22134" w:rsidRDefault="0037703E">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r>
        <w:rPr>
          <w:color w:val="000000"/>
          <w:sz w:val="24"/>
        </w:rPr>
        <w:t xml:space="preserve"> </w:t>
      </w:r>
    </w:p>
    <w:p w:rsidR="00422134" w:rsidRDefault="0037703E">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422134" w:rsidRDefault="0037703E">
      <w:pPr>
        <w:spacing w:before="29" w:line="288" w:lineRule="auto"/>
        <w:ind w:firstLineChars="200" w:firstLine="480"/>
        <w:rPr>
          <w:color w:val="000000"/>
          <w:sz w:val="24"/>
        </w:rPr>
      </w:pPr>
      <w:r>
        <w:rPr>
          <w:color w:val="000000"/>
          <w:sz w:val="24"/>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 w:val="24"/>
        </w:rPr>
        <w:t>(</w:t>
      </w:r>
      <w:r>
        <w:rPr>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 w:val="24"/>
        </w:rPr>
        <w:t>)</w:t>
      </w:r>
      <w:r>
        <w:rPr>
          <w:color w:val="000000"/>
          <w:sz w:val="24"/>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422134" w:rsidRDefault="0037703E">
      <w:pPr>
        <w:spacing w:before="29" w:line="288" w:lineRule="auto"/>
        <w:ind w:firstLineChars="200" w:firstLine="480"/>
        <w:rPr>
          <w:color w:val="000000"/>
          <w:sz w:val="24"/>
        </w:rPr>
      </w:pPr>
      <w:r>
        <w:rPr>
          <w:color w:val="000000"/>
          <w:sz w:val="24"/>
        </w:rPr>
        <w:t>本基金的保本周期为</w:t>
      </w:r>
      <w:r>
        <w:rPr>
          <w:color w:val="000000"/>
          <w:sz w:val="24"/>
        </w:rPr>
        <w:t>3</w:t>
      </w:r>
      <w:r>
        <w:rPr>
          <w:color w:val="000000"/>
          <w:sz w:val="24"/>
        </w:rPr>
        <w:t>年，第一个保本周期自</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日开始至</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4</w:t>
      </w:r>
      <w:r>
        <w:rPr>
          <w:color w:val="000000"/>
          <w:sz w:val="24"/>
        </w:rPr>
        <w:t>月</w:t>
      </w:r>
      <w:r>
        <w:rPr>
          <w:color w:val="000000"/>
          <w:sz w:val="24"/>
        </w:rPr>
        <w:t>28</w:t>
      </w:r>
      <w:r>
        <w:rPr>
          <w:color w:val="000000"/>
          <w:sz w:val="24"/>
        </w:rPr>
        <w:t>日</w:t>
      </w:r>
      <w:r>
        <w:rPr>
          <w:color w:val="000000"/>
          <w:sz w:val="24"/>
        </w:rPr>
        <w:t>(</w:t>
      </w:r>
      <w:r>
        <w:rPr>
          <w:color w:val="000000"/>
          <w:sz w:val="24"/>
        </w:rPr>
        <w:t>含</w:t>
      </w:r>
      <w:r>
        <w:rPr>
          <w:color w:val="000000"/>
          <w:sz w:val="24"/>
        </w:rPr>
        <w:t>)</w:t>
      </w:r>
      <w:r>
        <w:rPr>
          <w:color w:val="000000"/>
          <w:sz w:val="24"/>
        </w:rPr>
        <w:t>止，本基金过渡期自</w:t>
      </w:r>
      <w:r>
        <w:rPr>
          <w:color w:val="000000"/>
          <w:sz w:val="24"/>
        </w:rPr>
        <w:t>2016</w:t>
      </w:r>
      <w:r>
        <w:rPr>
          <w:color w:val="000000"/>
          <w:sz w:val="24"/>
        </w:rPr>
        <w:t>年</w:t>
      </w:r>
      <w:r>
        <w:rPr>
          <w:color w:val="000000"/>
          <w:sz w:val="24"/>
        </w:rPr>
        <w:t>4</w:t>
      </w:r>
      <w:r>
        <w:rPr>
          <w:color w:val="000000"/>
          <w:sz w:val="24"/>
        </w:rPr>
        <w:t>月</w:t>
      </w:r>
      <w:r>
        <w:rPr>
          <w:color w:val="000000"/>
          <w:sz w:val="24"/>
        </w:rPr>
        <w:t>29</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日止</w:t>
      </w:r>
      <w:r>
        <w:rPr>
          <w:color w:val="000000"/>
          <w:sz w:val="24"/>
        </w:rPr>
        <w:t>(</w:t>
      </w:r>
      <w:r>
        <w:rPr>
          <w:color w:val="000000"/>
          <w:sz w:val="24"/>
        </w:rPr>
        <w:t>含</w:t>
      </w:r>
      <w:r>
        <w:rPr>
          <w:color w:val="000000"/>
          <w:sz w:val="24"/>
        </w:rPr>
        <w:t>)</w:t>
      </w:r>
      <w:r>
        <w:rPr>
          <w:color w:val="000000"/>
          <w:sz w:val="24"/>
        </w:rPr>
        <w:t>，本基金于</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日进行了基金份额折算，第二个保本周期为自</w:t>
      </w:r>
      <w:r>
        <w:rPr>
          <w:color w:val="000000"/>
          <w:sz w:val="24"/>
        </w:rPr>
        <w:t>2016</w:t>
      </w:r>
      <w:r>
        <w:rPr>
          <w:color w:val="000000"/>
          <w:sz w:val="24"/>
        </w:rPr>
        <w:t>年</w:t>
      </w:r>
      <w:r>
        <w:rPr>
          <w:color w:val="000000"/>
          <w:sz w:val="24"/>
        </w:rPr>
        <w:t>5</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26</w:t>
      </w:r>
      <w:r>
        <w:rPr>
          <w:color w:val="000000"/>
          <w:sz w:val="24"/>
        </w:rPr>
        <w:t>日止。本基金第二个保本周期由中国投融资担保有限公司作为担保人，为本基金第二个保本周期的保本提供不可撤销的连带责任保证。</w:t>
      </w:r>
    </w:p>
    <w:p w:rsidR="00422134" w:rsidRDefault="0037703E">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的现金或到期日在一年以内的政府债券，其中现金不包括结算备付金，存出保证金和应收申购款等；股票、权证、股指期货等风险资产占基金资产的比例不高于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22134" w:rsidRDefault="0037703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颁布的《证券投资基金会计核算业务指引》、《交银施罗德荣祥保本混合型证券投资基金基金合同》和在财务报表附注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22134" w:rsidRDefault="0037703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22134" w:rsidRDefault="0037703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22134" w:rsidRDefault="0037703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22134" w:rsidRDefault="0037703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22134" w:rsidRDefault="0037703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22134" w:rsidRDefault="0037703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22134">
        <w:tc>
          <w:tcPr>
            <w:tcW w:w="5220" w:type="dxa"/>
            <w:vAlign w:val="center"/>
          </w:tcPr>
          <w:p w:rsidR="00422134" w:rsidRDefault="0037703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422134" w:rsidRDefault="0037703E">
            <w:pPr>
              <w:jc w:val="center"/>
            </w:pPr>
            <w:r>
              <w:rPr>
                <w:color w:val="000000"/>
                <w:sz w:val="24"/>
              </w:rPr>
              <w:t>基金管理人、基金销售机构</w:t>
            </w:r>
          </w:p>
        </w:tc>
      </w:tr>
      <w:tr w:rsidR="00422134">
        <w:tc>
          <w:tcPr>
            <w:tcW w:w="5220" w:type="dxa"/>
            <w:vAlign w:val="center"/>
          </w:tcPr>
          <w:p w:rsidR="00422134" w:rsidRDefault="0037703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422134" w:rsidRDefault="0037703E">
            <w:pPr>
              <w:jc w:val="center"/>
            </w:pPr>
            <w:r>
              <w:rPr>
                <w:color w:val="000000"/>
                <w:sz w:val="24"/>
              </w:rPr>
              <w:t>基金托管人、基金销售机构</w:t>
            </w:r>
          </w:p>
        </w:tc>
      </w:tr>
      <w:tr w:rsidR="00422134">
        <w:tc>
          <w:tcPr>
            <w:tcW w:w="5220" w:type="dxa"/>
            <w:vAlign w:val="center"/>
          </w:tcPr>
          <w:p w:rsidR="00422134" w:rsidRDefault="0037703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22134" w:rsidRDefault="0037703E">
            <w:pPr>
              <w:jc w:val="center"/>
            </w:pPr>
            <w:r>
              <w:rPr>
                <w:color w:val="000000"/>
                <w:sz w:val="24"/>
              </w:rPr>
              <w:t>基金管理人的股东、基金销售机构</w:t>
            </w:r>
          </w:p>
        </w:tc>
      </w:tr>
      <w:tr w:rsidR="00422134">
        <w:tc>
          <w:tcPr>
            <w:tcW w:w="5220" w:type="dxa"/>
            <w:vAlign w:val="center"/>
          </w:tcPr>
          <w:p w:rsidR="00422134" w:rsidRDefault="0037703E">
            <w:pPr>
              <w:jc w:val="left"/>
            </w:pPr>
            <w:r>
              <w:rPr>
                <w:color w:val="000000"/>
                <w:sz w:val="24"/>
              </w:rPr>
              <w:t>施罗德投资管理有限公司</w:t>
            </w:r>
          </w:p>
        </w:tc>
        <w:tc>
          <w:tcPr>
            <w:tcW w:w="3780" w:type="dxa"/>
            <w:vAlign w:val="center"/>
          </w:tcPr>
          <w:p w:rsidR="00422134" w:rsidRDefault="0037703E">
            <w:pPr>
              <w:jc w:val="center"/>
            </w:pPr>
            <w:r>
              <w:rPr>
                <w:color w:val="000000"/>
                <w:sz w:val="24"/>
              </w:rPr>
              <w:t>基金管理人的股东</w:t>
            </w:r>
          </w:p>
        </w:tc>
      </w:tr>
      <w:tr w:rsidR="00422134">
        <w:tc>
          <w:tcPr>
            <w:tcW w:w="5220" w:type="dxa"/>
            <w:vAlign w:val="center"/>
          </w:tcPr>
          <w:p w:rsidR="00422134" w:rsidRDefault="0037703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22134" w:rsidRDefault="0037703E">
            <w:pPr>
              <w:jc w:val="center"/>
            </w:pPr>
            <w:r>
              <w:rPr>
                <w:color w:val="000000"/>
                <w:sz w:val="24"/>
              </w:rPr>
              <w:t>基金管理人的股东</w:t>
            </w:r>
          </w:p>
        </w:tc>
      </w:tr>
      <w:tr w:rsidR="00422134">
        <w:tc>
          <w:tcPr>
            <w:tcW w:w="5220" w:type="dxa"/>
            <w:vAlign w:val="center"/>
          </w:tcPr>
          <w:p w:rsidR="00422134" w:rsidRDefault="0037703E">
            <w:pPr>
              <w:jc w:val="left"/>
            </w:pPr>
            <w:r>
              <w:rPr>
                <w:color w:val="000000"/>
                <w:sz w:val="24"/>
              </w:rPr>
              <w:t>交银施罗德资产管理有限公司</w:t>
            </w:r>
          </w:p>
        </w:tc>
        <w:tc>
          <w:tcPr>
            <w:tcW w:w="3780" w:type="dxa"/>
            <w:vAlign w:val="center"/>
          </w:tcPr>
          <w:p w:rsidR="00422134" w:rsidRDefault="0037703E">
            <w:pPr>
              <w:jc w:val="center"/>
            </w:pPr>
            <w:r>
              <w:rPr>
                <w:color w:val="000000"/>
                <w:sz w:val="24"/>
              </w:rPr>
              <w:t>基金管理人的子公司</w:t>
            </w:r>
          </w:p>
        </w:tc>
      </w:tr>
      <w:tr w:rsidR="00422134">
        <w:tc>
          <w:tcPr>
            <w:tcW w:w="5220" w:type="dxa"/>
            <w:vAlign w:val="center"/>
          </w:tcPr>
          <w:p w:rsidR="00422134" w:rsidRDefault="0037703E">
            <w:pPr>
              <w:jc w:val="left"/>
            </w:pPr>
            <w:r>
              <w:rPr>
                <w:color w:val="000000"/>
                <w:sz w:val="24"/>
              </w:rPr>
              <w:t>上海直源投资管理有限公司</w:t>
            </w:r>
          </w:p>
        </w:tc>
        <w:tc>
          <w:tcPr>
            <w:tcW w:w="3780" w:type="dxa"/>
            <w:vAlign w:val="center"/>
          </w:tcPr>
          <w:p w:rsidR="00422134" w:rsidRDefault="0037703E">
            <w:pPr>
              <w:jc w:val="center"/>
            </w:pPr>
            <w:r>
              <w:rPr>
                <w:color w:val="000000"/>
                <w:sz w:val="24"/>
              </w:rPr>
              <w:t>受基金管理人控制的公司</w:t>
            </w:r>
          </w:p>
        </w:tc>
      </w:tr>
      <w:tr w:rsidR="00422134">
        <w:tc>
          <w:tcPr>
            <w:tcW w:w="5220" w:type="dxa"/>
            <w:vAlign w:val="center"/>
          </w:tcPr>
          <w:p w:rsidR="00422134" w:rsidRDefault="0037703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22134" w:rsidRDefault="0037703E">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6,900,836.56</w:t>
            </w:r>
          </w:p>
        </w:tc>
        <w:tc>
          <w:tcPr>
            <w:tcW w:w="2657" w:type="dxa"/>
            <w:vAlign w:val="center"/>
          </w:tcPr>
          <w:p w:rsidR="001A59F9" w:rsidRPr="00924183" w:rsidRDefault="001A59F9" w:rsidP="00924183">
            <w:pPr>
              <w:spacing w:before="29" w:line="288" w:lineRule="auto"/>
              <w:jc w:val="right"/>
              <w:rPr>
                <w:sz w:val="24"/>
              </w:rPr>
            </w:pPr>
            <w:r w:rsidRPr="00924183">
              <w:rPr>
                <w:sz w:val="24"/>
              </w:rPr>
              <w:t>10,271,918.30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2,495,771.64</w:t>
            </w:r>
          </w:p>
        </w:tc>
        <w:tc>
          <w:tcPr>
            <w:tcW w:w="2657" w:type="dxa"/>
            <w:vAlign w:val="center"/>
          </w:tcPr>
          <w:p w:rsidR="001A59F9" w:rsidRPr="00924183" w:rsidRDefault="001A59F9" w:rsidP="00924183">
            <w:pPr>
              <w:spacing w:before="29" w:line="288" w:lineRule="auto"/>
              <w:jc w:val="right"/>
              <w:rPr>
                <w:sz w:val="24"/>
              </w:rPr>
            </w:pPr>
            <w:r w:rsidRPr="00924183">
              <w:rPr>
                <w:sz w:val="24"/>
              </w:rPr>
              <w:t>3,666,378.00</w:t>
            </w:r>
          </w:p>
        </w:tc>
      </w:tr>
    </w:tbl>
    <w:p w:rsidR="00422134" w:rsidRDefault="0037703E">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1,150,139.40</w:t>
            </w:r>
          </w:p>
        </w:tc>
        <w:tc>
          <w:tcPr>
            <w:tcW w:w="2657" w:type="dxa"/>
            <w:vAlign w:val="center"/>
          </w:tcPr>
          <w:p w:rsidR="001A59F9" w:rsidRPr="00243BD8" w:rsidRDefault="001A59F9" w:rsidP="00243BD8">
            <w:pPr>
              <w:spacing w:before="29" w:line="288" w:lineRule="auto"/>
              <w:jc w:val="right"/>
              <w:rPr>
                <w:sz w:val="24"/>
              </w:rPr>
            </w:pPr>
            <w:r w:rsidRPr="00243BD8">
              <w:rPr>
                <w:sz w:val="24"/>
              </w:rPr>
              <w:t>1,711,986.45</w:t>
            </w:r>
          </w:p>
        </w:tc>
      </w:tr>
    </w:tbl>
    <w:p w:rsidR="00422134" w:rsidRDefault="0037703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422134">
        <w:tc>
          <w:tcPr>
            <w:tcW w:w="1422" w:type="dxa"/>
            <w:vAlign w:val="center"/>
          </w:tcPr>
          <w:p w:rsidR="00422134" w:rsidRDefault="0037703E">
            <w:pPr>
              <w:jc w:val="center"/>
            </w:pPr>
            <w:r>
              <w:rPr>
                <w:bCs/>
                <w:color w:val="000000"/>
                <w:sz w:val="24"/>
              </w:rPr>
              <w:t>-</w:t>
            </w:r>
          </w:p>
        </w:tc>
        <w:tc>
          <w:tcPr>
            <w:tcW w:w="1818" w:type="dxa"/>
            <w:vAlign w:val="center"/>
          </w:tcPr>
          <w:p w:rsidR="00422134" w:rsidRDefault="0037703E">
            <w:pPr>
              <w:jc w:val="center"/>
            </w:pPr>
            <w:r>
              <w:rPr>
                <w:bCs/>
                <w:color w:val="000000"/>
                <w:sz w:val="24"/>
              </w:rPr>
              <w:t>-</w:t>
            </w:r>
          </w:p>
        </w:tc>
        <w:tc>
          <w:tcPr>
            <w:tcW w:w="1260" w:type="dxa"/>
            <w:vAlign w:val="center"/>
          </w:tcPr>
          <w:p w:rsidR="00422134" w:rsidRDefault="0037703E">
            <w:pPr>
              <w:jc w:val="center"/>
            </w:pPr>
            <w:r>
              <w:rPr>
                <w:bCs/>
                <w:color w:val="000000"/>
                <w:sz w:val="24"/>
              </w:rPr>
              <w:t>-</w:t>
            </w:r>
          </w:p>
        </w:tc>
        <w:tc>
          <w:tcPr>
            <w:tcW w:w="1260" w:type="dxa"/>
            <w:vAlign w:val="center"/>
          </w:tcPr>
          <w:p w:rsidR="00422134" w:rsidRDefault="0037703E">
            <w:pPr>
              <w:jc w:val="center"/>
            </w:pPr>
            <w:r>
              <w:rPr>
                <w:bCs/>
                <w:color w:val="000000"/>
                <w:sz w:val="24"/>
              </w:rPr>
              <w:t>-</w:t>
            </w:r>
          </w:p>
        </w:tc>
        <w:tc>
          <w:tcPr>
            <w:tcW w:w="1080" w:type="dxa"/>
            <w:vAlign w:val="center"/>
          </w:tcPr>
          <w:p w:rsidR="00422134" w:rsidRDefault="0037703E">
            <w:pPr>
              <w:jc w:val="center"/>
            </w:pPr>
            <w:r>
              <w:rPr>
                <w:bCs/>
                <w:color w:val="000000"/>
                <w:sz w:val="24"/>
              </w:rPr>
              <w:t>-</w:t>
            </w:r>
          </w:p>
        </w:tc>
        <w:tc>
          <w:tcPr>
            <w:tcW w:w="1512" w:type="dxa"/>
            <w:vAlign w:val="center"/>
          </w:tcPr>
          <w:p w:rsidR="00422134" w:rsidRDefault="0037703E">
            <w:pPr>
              <w:jc w:val="center"/>
            </w:pPr>
            <w:r>
              <w:rPr>
                <w:bCs/>
                <w:color w:val="000000"/>
                <w:sz w:val="24"/>
              </w:rPr>
              <w:t>-</w:t>
            </w:r>
          </w:p>
        </w:tc>
        <w:tc>
          <w:tcPr>
            <w:tcW w:w="1083" w:type="dxa"/>
            <w:vAlign w:val="center"/>
          </w:tcPr>
          <w:p w:rsidR="00422134" w:rsidRDefault="0037703E">
            <w:pPr>
              <w:jc w:val="center"/>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422134">
        <w:tc>
          <w:tcPr>
            <w:tcW w:w="1422" w:type="dxa"/>
            <w:vAlign w:val="center"/>
          </w:tcPr>
          <w:p w:rsidR="00422134" w:rsidRDefault="0037703E">
            <w:pPr>
              <w:jc w:val="left"/>
            </w:pPr>
            <w:r>
              <w:rPr>
                <w:bCs/>
                <w:color w:val="000000"/>
                <w:sz w:val="24"/>
              </w:rPr>
              <w:t>中国农业银行</w:t>
            </w:r>
          </w:p>
        </w:tc>
        <w:tc>
          <w:tcPr>
            <w:tcW w:w="1818" w:type="dxa"/>
            <w:vAlign w:val="center"/>
          </w:tcPr>
          <w:p w:rsidR="00422134" w:rsidRDefault="0037703E">
            <w:pPr>
              <w:jc w:val="right"/>
            </w:pPr>
            <w:r>
              <w:rPr>
                <w:bCs/>
                <w:color w:val="000000"/>
                <w:sz w:val="24"/>
              </w:rPr>
              <w:t>-</w:t>
            </w:r>
          </w:p>
        </w:tc>
        <w:tc>
          <w:tcPr>
            <w:tcW w:w="1260" w:type="dxa"/>
            <w:vAlign w:val="center"/>
          </w:tcPr>
          <w:p w:rsidR="00422134" w:rsidRDefault="0037703E">
            <w:pPr>
              <w:jc w:val="right"/>
            </w:pPr>
            <w:r>
              <w:rPr>
                <w:bCs/>
                <w:color w:val="000000"/>
                <w:sz w:val="24"/>
              </w:rPr>
              <w:t>98,210,982.88</w:t>
            </w:r>
          </w:p>
        </w:tc>
        <w:tc>
          <w:tcPr>
            <w:tcW w:w="1260" w:type="dxa"/>
            <w:vAlign w:val="center"/>
          </w:tcPr>
          <w:p w:rsidR="00422134" w:rsidRDefault="0037703E">
            <w:pPr>
              <w:jc w:val="right"/>
            </w:pPr>
            <w:r>
              <w:rPr>
                <w:bCs/>
                <w:color w:val="000000"/>
                <w:sz w:val="24"/>
              </w:rPr>
              <w:t>-</w:t>
            </w:r>
          </w:p>
        </w:tc>
        <w:tc>
          <w:tcPr>
            <w:tcW w:w="1080" w:type="dxa"/>
            <w:vAlign w:val="center"/>
          </w:tcPr>
          <w:p w:rsidR="00422134" w:rsidRDefault="0037703E">
            <w:pPr>
              <w:jc w:val="right"/>
            </w:pPr>
            <w:r>
              <w:rPr>
                <w:bCs/>
                <w:color w:val="000000"/>
                <w:sz w:val="24"/>
              </w:rPr>
              <w:t>-</w:t>
            </w:r>
          </w:p>
        </w:tc>
        <w:tc>
          <w:tcPr>
            <w:tcW w:w="1512" w:type="dxa"/>
            <w:vAlign w:val="center"/>
          </w:tcPr>
          <w:p w:rsidR="00422134" w:rsidRDefault="0037703E">
            <w:pPr>
              <w:jc w:val="right"/>
            </w:pPr>
            <w:r>
              <w:rPr>
                <w:bCs/>
                <w:color w:val="000000"/>
                <w:sz w:val="24"/>
              </w:rPr>
              <w:t>-</w:t>
            </w:r>
          </w:p>
        </w:tc>
        <w:tc>
          <w:tcPr>
            <w:tcW w:w="1083" w:type="dxa"/>
            <w:vAlign w:val="center"/>
          </w:tcPr>
          <w:p w:rsidR="00422134" w:rsidRDefault="0037703E">
            <w:pPr>
              <w:jc w:val="right"/>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22134">
        <w:tc>
          <w:tcPr>
            <w:tcW w:w="1701" w:type="dxa"/>
            <w:vAlign w:val="center"/>
          </w:tcPr>
          <w:p w:rsidR="00422134" w:rsidRDefault="0037703E">
            <w:pPr>
              <w:jc w:val="left"/>
            </w:pPr>
            <w:r>
              <w:rPr>
                <w:color w:val="000000"/>
                <w:szCs w:val="21"/>
              </w:rPr>
              <w:t>中国农业银行股份有限公司</w:t>
            </w:r>
          </w:p>
        </w:tc>
        <w:tc>
          <w:tcPr>
            <w:tcW w:w="1985" w:type="dxa"/>
            <w:vAlign w:val="center"/>
          </w:tcPr>
          <w:p w:rsidR="00422134" w:rsidRDefault="0037703E">
            <w:pPr>
              <w:jc w:val="right"/>
            </w:pPr>
            <w:r>
              <w:rPr>
                <w:color w:val="000000"/>
                <w:szCs w:val="21"/>
              </w:rPr>
              <w:t>754,385.33</w:t>
            </w:r>
          </w:p>
        </w:tc>
        <w:tc>
          <w:tcPr>
            <w:tcW w:w="1701" w:type="dxa"/>
            <w:vAlign w:val="center"/>
          </w:tcPr>
          <w:p w:rsidR="00422134" w:rsidRDefault="0037703E">
            <w:pPr>
              <w:jc w:val="right"/>
            </w:pPr>
            <w:r>
              <w:rPr>
                <w:color w:val="000000"/>
                <w:szCs w:val="21"/>
              </w:rPr>
              <w:t>25,743.45</w:t>
            </w:r>
          </w:p>
        </w:tc>
        <w:tc>
          <w:tcPr>
            <w:tcW w:w="1843" w:type="dxa"/>
            <w:vAlign w:val="center"/>
          </w:tcPr>
          <w:p w:rsidR="00422134" w:rsidRDefault="0037703E">
            <w:pPr>
              <w:jc w:val="right"/>
            </w:pPr>
            <w:r>
              <w:rPr>
                <w:color w:val="000000"/>
                <w:szCs w:val="21"/>
              </w:rPr>
              <w:t>2,379,042.95</w:t>
            </w:r>
          </w:p>
        </w:tc>
        <w:tc>
          <w:tcPr>
            <w:tcW w:w="1768" w:type="dxa"/>
            <w:vAlign w:val="center"/>
          </w:tcPr>
          <w:p w:rsidR="00422134" w:rsidRDefault="0037703E">
            <w:pPr>
              <w:jc w:val="right"/>
            </w:pPr>
            <w:r>
              <w:rPr>
                <w:color w:val="000000"/>
                <w:szCs w:val="21"/>
              </w:rPr>
              <w:t>61,759.79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2018</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202,559,296.16</w:t>
      </w:r>
      <w:r w:rsidRPr="001A2A8C">
        <w:rPr>
          <w:color w:val="000000"/>
          <w:sz w:val="24"/>
        </w:rPr>
        <w:t>元，是以如下债券作为抵押</w:t>
      </w:r>
      <w:r w:rsidRPr="001A2A8C">
        <w:rPr>
          <w:color w:val="000000"/>
          <w:sz w:val="24"/>
        </w:rPr>
        <w:t>:</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422134">
        <w:tc>
          <w:tcPr>
            <w:tcW w:w="1500" w:type="dxa"/>
            <w:vAlign w:val="center"/>
          </w:tcPr>
          <w:p w:rsidR="00422134" w:rsidRDefault="0037703E">
            <w:pPr>
              <w:jc w:val="center"/>
            </w:pPr>
            <w:r>
              <w:rPr>
                <w:color w:val="000000"/>
                <w:kern w:val="0"/>
                <w:sz w:val="24"/>
              </w:rPr>
              <w:t>111812121</w:t>
            </w:r>
          </w:p>
        </w:tc>
        <w:tc>
          <w:tcPr>
            <w:tcW w:w="1500" w:type="dxa"/>
            <w:vAlign w:val="center"/>
          </w:tcPr>
          <w:p w:rsidR="00422134" w:rsidRDefault="0037703E">
            <w:pPr>
              <w:jc w:val="center"/>
            </w:pPr>
            <w:r>
              <w:rPr>
                <w:color w:val="000000"/>
                <w:kern w:val="0"/>
                <w:sz w:val="24"/>
              </w:rPr>
              <w:t>18</w:t>
            </w:r>
            <w:r>
              <w:rPr>
                <w:color w:val="000000"/>
                <w:kern w:val="0"/>
                <w:sz w:val="24"/>
              </w:rPr>
              <w:t>北京银行</w:t>
            </w:r>
            <w:r>
              <w:rPr>
                <w:color w:val="000000"/>
                <w:kern w:val="0"/>
                <w:sz w:val="24"/>
              </w:rPr>
              <w:t>CD121</w:t>
            </w:r>
          </w:p>
        </w:tc>
        <w:tc>
          <w:tcPr>
            <w:tcW w:w="1500" w:type="dxa"/>
            <w:vAlign w:val="center"/>
          </w:tcPr>
          <w:p w:rsidR="00422134" w:rsidRDefault="0037703E">
            <w:pPr>
              <w:jc w:val="center"/>
            </w:pPr>
            <w:r>
              <w:rPr>
                <w:color w:val="000000"/>
                <w:kern w:val="0"/>
                <w:sz w:val="24"/>
              </w:rPr>
              <w:t>2019-01-10</w:t>
            </w:r>
          </w:p>
        </w:tc>
        <w:tc>
          <w:tcPr>
            <w:tcW w:w="1260" w:type="dxa"/>
            <w:vAlign w:val="center"/>
          </w:tcPr>
          <w:p w:rsidR="00422134" w:rsidRDefault="0037703E">
            <w:pPr>
              <w:jc w:val="right"/>
            </w:pPr>
            <w:r>
              <w:rPr>
                <w:color w:val="000000"/>
                <w:kern w:val="0"/>
                <w:sz w:val="24"/>
              </w:rPr>
              <w:t>96.15</w:t>
            </w:r>
          </w:p>
        </w:tc>
        <w:tc>
          <w:tcPr>
            <w:tcW w:w="1440" w:type="dxa"/>
            <w:vAlign w:val="center"/>
          </w:tcPr>
          <w:p w:rsidR="00422134" w:rsidRDefault="0037703E">
            <w:pPr>
              <w:jc w:val="right"/>
            </w:pPr>
            <w:r>
              <w:rPr>
                <w:color w:val="000000"/>
                <w:kern w:val="0"/>
                <w:sz w:val="24"/>
              </w:rPr>
              <w:t>150,000</w:t>
            </w:r>
          </w:p>
        </w:tc>
        <w:tc>
          <w:tcPr>
            <w:tcW w:w="1836" w:type="dxa"/>
            <w:vAlign w:val="center"/>
          </w:tcPr>
          <w:p w:rsidR="00422134" w:rsidRDefault="0037703E">
            <w:pPr>
              <w:jc w:val="right"/>
            </w:pPr>
            <w:r>
              <w:rPr>
                <w:color w:val="000000"/>
                <w:kern w:val="0"/>
                <w:sz w:val="24"/>
              </w:rPr>
              <w:t>14,422,500.00</w:t>
            </w:r>
          </w:p>
        </w:tc>
      </w:tr>
      <w:tr w:rsidR="00422134">
        <w:tc>
          <w:tcPr>
            <w:tcW w:w="1500" w:type="dxa"/>
            <w:vAlign w:val="center"/>
          </w:tcPr>
          <w:p w:rsidR="00422134" w:rsidRDefault="0037703E">
            <w:pPr>
              <w:jc w:val="center"/>
            </w:pPr>
            <w:r>
              <w:rPr>
                <w:color w:val="000000"/>
                <w:kern w:val="0"/>
                <w:sz w:val="24"/>
              </w:rPr>
              <w:t>111892638</w:t>
            </w:r>
          </w:p>
        </w:tc>
        <w:tc>
          <w:tcPr>
            <w:tcW w:w="1500" w:type="dxa"/>
            <w:vAlign w:val="center"/>
          </w:tcPr>
          <w:p w:rsidR="00422134" w:rsidRDefault="0037703E">
            <w:pPr>
              <w:jc w:val="center"/>
            </w:pPr>
            <w:r>
              <w:rPr>
                <w:color w:val="000000"/>
                <w:kern w:val="0"/>
                <w:sz w:val="24"/>
              </w:rPr>
              <w:t>18</w:t>
            </w:r>
            <w:r>
              <w:rPr>
                <w:color w:val="000000"/>
                <w:kern w:val="0"/>
                <w:sz w:val="24"/>
              </w:rPr>
              <w:t>南京银行</w:t>
            </w:r>
            <w:r>
              <w:rPr>
                <w:color w:val="000000"/>
                <w:kern w:val="0"/>
                <w:sz w:val="24"/>
              </w:rPr>
              <w:t>CD033</w:t>
            </w:r>
          </w:p>
        </w:tc>
        <w:tc>
          <w:tcPr>
            <w:tcW w:w="1500" w:type="dxa"/>
            <w:vAlign w:val="center"/>
          </w:tcPr>
          <w:p w:rsidR="00422134" w:rsidRDefault="0037703E">
            <w:pPr>
              <w:jc w:val="center"/>
            </w:pPr>
            <w:r>
              <w:rPr>
                <w:color w:val="000000"/>
                <w:kern w:val="0"/>
                <w:sz w:val="24"/>
              </w:rPr>
              <w:t>2019-01-10</w:t>
            </w:r>
          </w:p>
        </w:tc>
        <w:tc>
          <w:tcPr>
            <w:tcW w:w="1260" w:type="dxa"/>
            <w:vAlign w:val="center"/>
          </w:tcPr>
          <w:p w:rsidR="00422134" w:rsidRDefault="0037703E">
            <w:pPr>
              <w:jc w:val="right"/>
            </w:pPr>
            <w:r>
              <w:rPr>
                <w:color w:val="000000"/>
                <w:kern w:val="0"/>
                <w:sz w:val="24"/>
              </w:rPr>
              <w:t>95.48</w:t>
            </w:r>
          </w:p>
        </w:tc>
        <w:tc>
          <w:tcPr>
            <w:tcW w:w="1440" w:type="dxa"/>
            <w:vAlign w:val="center"/>
          </w:tcPr>
          <w:p w:rsidR="00422134" w:rsidRDefault="0037703E">
            <w:pPr>
              <w:jc w:val="right"/>
            </w:pPr>
            <w:r>
              <w:rPr>
                <w:color w:val="000000"/>
                <w:kern w:val="0"/>
                <w:sz w:val="24"/>
              </w:rPr>
              <w:t>170,000</w:t>
            </w:r>
          </w:p>
        </w:tc>
        <w:tc>
          <w:tcPr>
            <w:tcW w:w="1836" w:type="dxa"/>
            <w:vAlign w:val="center"/>
          </w:tcPr>
          <w:p w:rsidR="00422134" w:rsidRDefault="0037703E">
            <w:pPr>
              <w:jc w:val="right"/>
            </w:pPr>
            <w:r>
              <w:rPr>
                <w:color w:val="000000"/>
                <w:kern w:val="0"/>
                <w:sz w:val="24"/>
              </w:rPr>
              <w:t>16,231,600.00</w:t>
            </w:r>
          </w:p>
        </w:tc>
      </w:tr>
      <w:tr w:rsidR="00422134">
        <w:tc>
          <w:tcPr>
            <w:tcW w:w="1500" w:type="dxa"/>
            <w:vAlign w:val="center"/>
          </w:tcPr>
          <w:p w:rsidR="00422134" w:rsidRDefault="0037703E">
            <w:pPr>
              <w:jc w:val="center"/>
            </w:pPr>
            <w:r>
              <w:rPr>
                <w:color w:val="000000"/>
                <w:kern w:val="0"/>
                <w:sz w:val="24"/>
              </w:rPr>
              <w:t>111893071</w:t>
            </w:r>
          </w:p>
        </w:tc>
        <w:tc>
          <w:tcPr>
            <w:tcW w:w="1500" w:type="dxa"/>
            <w:vAlign w:val="center"/>
          </w:tcPr>
          <w:p w:rsidR="00422134" w:rsidRDefault="0037703E">
            <w:pPr>
              <w:jc w:val="center"/>
            </w:pPr>
            <w:r>
              <w:rPr>
                <w:color w:val="000000"/>
                <w:kern w:val="0"/>
                <w:sz w:val="24"/>
              </w:rPr>
              <w:t>18</w:t>
            </w:r>
            <w:r>
              <w:rPr>
                <w:color w:val="000000"/>
                <w:kern w:val="0"/>
                <w:sz w:val="24"/>
              </w:rPr>
              <w:t>杭州银行</w:t>
            </w:r>
            <w:r>
              <w:rPr>
                <w:color w:val="000000"/>
                <w:kern w:val="0"/>
                <w:sz w:val="24"/>
              </w:rPr>
              <w:t>CD011</w:t>
            </w:r>
          </w:p>
        </w:tc>
        <w:tc>
          <w:tcPr>
            <w:tcW w:w="1500" w:type="dxa"/>
            <w:vAlign w:val="center"/>
          </w:tcPr>
          <w:p w:rsidR="00422134" w:rsidRDefault="0037703E">
            <w:pPr>
              <w:jc w:val="center"/>
            </w:pPr>
            <w:r>
              <w:rPr>
                <w:color w:val="000000"/>
                <w:kern w:val="0"/>
                <w:sz w:val="24"/>
              </w:rPr>
              <w:t>2019-01-07</w:t>
            </w:r>
          </w:p>
        </w:tc>
        <w:tc>
          <w:tcPr>
            <w:tcW w:w="1260" w:type="dxa"/>
            <w:vAlign w:val="center"/>
          </w:tcPr>
          <w:p w:rsidR="00422134" w:rsidRDefault="0037703E">
            <w:pPr>
              <w:jc w:val="right"/>
            </w:pPr>
            <w:r>
              <w:rPr>
                <w:color w:val="000000"/>
                <w:kern w:val="0"/>
                <w:sz w:val="24"/>
              </w:rPr>
              <w:t>95.50</w:t>
            </w:r>
          </w:p>
        </w:tc>
        <w:tc>
          <w:tcPr>
            <w:tcW w:w="1440" w:type="dxa"/>
            <w:vAlign w:val="center"/>
          </w:tcPr>
          <w:p w:rsidR="00422134" w:rsidRDefault="0037703E">
            <w:pPr>
              <w:jc w:val="right"/>
            </w:pPr>
            <w:r>
              <w:rPr>
                <w:color w:val="000000"/>
                <w:kern w:val="0"/>
                <w:sz w:val="24"/>
              </w:rPr>
              <w:t>1,000,000</w:t>
            </w:r>
          </w:p>
        </w:tc>
        <w:tc>
          <w:tcPr>
            <w:tcW w:w="1836" w:type="dxa"/>
            <w:vAlign w:val="center"/>
          </w:tcPr>
          <w:p w:rsidR="00422134" w:rsidRDefault="0037703E">
            <w:pPr>
              <w:jc w:val="right"/>
            </w:pPr>
            <w:r>
              <w:rPr>
                <w:color w:val="000000"/>
                <w:kern w:val="0"/>
                <w:sz w:val="24"/>
              </w:rPr>
              <w:t>95,500,000.00</w:t>
            </w:r>
          </w:p>
        </w:tc>
      </w:tr>
      <w:tr w:rsidR="00422134">
        <w:tc>
          <w:tcPr>
            <w:tcW w:w="1500" w:type="dxa"/>
            <w:vAlign w:val="center"/>
          </w:tcPr>
          <w:p w:rsidR="00422134" w:rsidRDefault="0037703E">
            <w:pPr>
              <w:jc w:val="center"/>
            </w:pPr>
            <w:r>
              <w:rPr>
                <w:color w:val="000000"/>
                <w:kern w:val="0"/>
                <w:sz w:val="24"/>
              </w:rPr>
              <w:t>111813081</w:t>
            </w:r>
          </w:p>
        </w:tc>
        <w:tc>
          <w:tcPr>
            <w:tcW w:w="1500" w:type="dxa"/>
            <w:vAlign w:val="center"/>
          </w:tcPr>
          <w:p w:rsidR="00422134" w:rsidRDefault="0037703E">
            <w:pPr>
              <w:jc w:val="center"/>
            </w:pPr>
            <w:r>
              <w:rPr>
                <w:color w:val="000000"/>
                <w:kern w:val="0"/>
                <w:sz w:val="24"/>
              </w:rPr>
              <w:t>18</w:t>
            </w:r>
            <w:r>
              <w:rPr>
                <w:color w:val="000000"/>
                <w:kern w:val="0"/>
                <w:sz w:val="24"/>
              </w:rPr>
              <w:t>浙商银行</w:t>
            </w:r>
            <w:r>
              <w:rPr>
                <w:color w:val="000000"/>
                <w:kern w:val="0"/>
                <w:sz w:val="24"/>
              </w:rPr>
              <w:t>CD081</w:t>
            </w:r>
          </w:p>
        </w:tc>
        <w:tc>
          <w:tcPr>
            <w:tcW w:w="1500" w:type="dxa"/>
            <w:vAlign w:val="center"/>
          </w:tcPr>
          <w:p w:rsidR="00422134" w:rsidRDefault="0037703E">
            <w:pPr>
              <w:jc w:val="center"/>
            </w:pPr>
            <w:r>
              <w:rPr>
                <w:color w:val="000000"/>
                <w:kern w:val="0"/>
                <w:sz w:val="24"/>
              </w:rPr>
              <w:t>2019-01-07</w:t>
            </w:r>
          </w:p>
        </w:tc>
        <w:tc>
          <w:tcPr>
            <w:tcW w:w="1260" w:type="dxa"/>
            <w:vAlign w:val="center"/>
          </w:tcPr>
          <w:p w:rsidR="00422134" w:rsidRDefault="0037703E">
            <w:pPr>
              <w:jc w:val="right"/>
            </w:pPr>
            <w:r>
              <w:rPr>
                <w:color w:val="000000"/>
                <w:kern w:val="0"/>
                <w:sz w:val="24"/>
              </w:rPr>
              <w:t>96.09</w:t>
            </w:r>
          </w:p>
        </w:tc>
        <w:tc>
          <w:tcPr>
            <w:tcW w:w="1440" w:type="dxa"/>
            <w:vAlign w:val="center"/>
          </w:tcPr>
          <w:p w:rsidR="00422134" w:rsidRDefault="0037703E">
            <w:pPr>
              <w:jc w:val="right"/>
            </w:pPr>
            <w:r>
              <w:rPr>
                <w:color w:val="000000"/>
                <w:kern w:val="0"/>
                <w:sz w:val="24"/>
              </w:rPr>
              <w:t>500,000</w:t>
            </w:r>
          </w:p>
        </w:tc>
        <w:tc>
          <w:tcPr>
            <w:tcW w:w="1836" w:type="dxa"/>
            <w:vAlign w:val="center"/>
          </w:tcPr>
          <w:p w:rsidR="00422134" w:rsidRDefault="0037703E">
            <w:pPr>
              <w:jc w:val="right"/>
            </w:pPr>
            <w:r>
              <w:rPr>
                <w:color w:val="000000"/>
                <w:kern w:val="0"/>
                <w:sz w:val="24"/>
              </w:rPr>
              <w:t>48,045,000.00</w:t>
            </w:r>
          </w:p>
        </w:tc>
      </w:tr>
      <w:tr w:rsidR="00422134">
        <w:tc>
          <w:tcPr>
            <w:tcW w:w="1500" w:type="dxa"/>
            <w:vAlign w:val="center"/>
          </w:tcPr>
          <w:p w:rsidR="00422134" w:rsidRDefault="0037703E">
            <w:pPr>
              <w:jc w:val="center"/>
            </w:pPr>
            <w:r>
              <w:rPr>
                <w:color w:val="000000"/>
                <w:kern w:val="0"/>
                <w:sz w:val="24"/>
              </w:rPr>
              <w:t>101474004</w:t>
            </w:r>
          </w:p>
        </w:tc>
        <w:tc>
          <w:tcPr>
            <w:tcW w:w="1500" w:type="dxa"/>
            <w:vAlign w:val="center"/>
          </w:tcPr>
          <w:p w:rsidR="00422134" w:rsidRDefault="0037703E">
            <w:pPr>
              <w:jc w:val="center"/>
            </w:pPr>
            <w:r>
              <w:rPr>
                <w:color w:val="000000"/>
                <w:kern w:val="0"/>
                <w:sz w:val="24"/>
              </w:rPr>
              <w:t>14</w:t>
            </w:r>
            <w:r>
              <w:rPr>
                <w:color w:val="000000"/>
                <w:kern w:val="0"/>
                <w:sz w:val="24"/>
              </w:rPr>
              <w:t>沪城控</w:t>
            </w:r>
            <w:r>
              <w:rPr>
                <w:color w:val="000000"/>
                <w:kern w:val="0"/>
                <w:sz w:val="24"/>
              </w:rPr>
              <w:t>MTN001</w:t>
            </w:r>
          </w:p>
        </w:tc>
        <w:tc>
          <w:tcPr>
            <w:tcW w:w="1500" w:type="dxa"/>
            <w:vAlign w:val="center"/>
          </w:tcPr>
          <w:p w:rsidR="00422134" w:rsidRDefault="0037703E">
            <w:pPr>
              <w:jc w:val="center"/>
            </w:pPr>
            <w:r>
              <w:rPr>
                <w:color w:val="000000"/>
                <w:kern w:val="0"/>
                <w:sz w:val="24"/>
              </w:rPr>
              <w:t>2019-01-07</w:t>
            </w:r>
          </w:p>
        </w:tc>
        <w:tc>
          <w:tcPr>
            <w:tcW w:w="1260" w:type="dxa"/>
            <w:vAlign w:val="center"/>
          </w:tcPr>
          <w:p w:rsidR="00422134" w:rsidRDefault="0037703E">
            <w:pPr>
              <w:jc w:val="right"/>
            </w:pPr>
            <w:r>
              <w:rPr>
                <w:color w:val="000000"/>
                <w:kern w:val="0"/>
                <w:sz w:val="24"/>
              </w:rPr>
              <w:t>101.67</w:t>
            </w:r>
          </w:p>
        </w:tc>
        <w:tc>
          <w:tcPr>
            <w:tcW w:w="1440" w:type="dxa"/>
            <w:vAlign w:val="center"/>
          </w:tcPr>
          <w:p w:rsidR="00422134" w:rsidRDefault="0037703E">
            <w:pPr>
              <w:jc w:val="right"/>
            </w:pPr>
            <w:r>
              <w:rPr>
                <w:color w:val="000000"/>
                <w:kern w:val="0"/>
                <w:sz w:val="24"/>
              </w:rPr>
              <w:t>300,000</w:t>
            </w:r>
          </w:p>
        </w:tc>
        <w:tc>
          <w:tcPr>
            <w:tcW w:w="1836" w:type="dxa"/>
            <w:vAlign w:val="center"/>
          </w:tcPr>
          <w:p w:rsidR="00422134" w:rsidRDefault="0037703E">
            <w:pPr>
              <w:jc w:val="right"/>
            </w:pPr>
            <w:r>
              <w:rPr>
                <w:color w:val="000000"/>
                <w:kern w:val="0"/>
                <w:sz w:val="24"/>
              </w:rPr>
              <w:t>30,501,000.00</w:t>
            </w:r>
          </w:p>
        </w:tc>
      </w:tr>
      <w:tr w:rsidR="00422134">
        <w:tc>
          <w:tcPr>
            <w:tcW w:w="1500" w:type="dxa"/>
            <w:vAlign w:val="center"/>
          </w:tcPr>
          <w:p w:rsidR="00422134" w:rsidRDefault="0037703E">
            <w:pPr>
              <w:jc w:val="center"/>
            </w:pPr>
            <w:r>
              <w:rPr>
                <w:color w:val="000000"/>
                <w:kern w:val="0"/>
                <w:sz w:val="24"/>
              </w:rPr>
              <w:t>111812121</w:t>
            </w:r>
          </w:p>
        </w:tc>
        <w:tc>
          <w:tcPr>
            <w:tcW w:w="1500" w:type="dxa"/>
            <w:vAlign w:val="center"/>
          </w:tcPr>
          <w:p w:rsidR="00422134" w:rsidRDefault="0037703E">
            <w:pPr>
              <w:jc w:val="center"/>
            </w:pPr>
            <w:r>
              <w:rPr>
                <w:color w:val="000000"/>
                <w:kern w:val="0"/>
                <w:sz w:val="24"/>
              </w:rPr>
              <w:t>18</w:t>
            </w:r>
            <w:r>
              <w:rPr>
                <w:color w:val="000000"/>
                <w:kern w:val="0"/>
                <w:sz w:val="24"/>
              </w:rPr>
              <w:t>北京银行</w:t>
            </w:r>
            <w:r>
              <w:rPr>
                <w:color w:val="000000"/>
                <w:kern w:val="0"/>
                <w:sz w:val="24"/>
              </w:rPr>
              <w:t>CD121</w:t>
            </w:r>
          </w:p>
        </w:tc>
        <w:tc>
          <w:tcPr>
            <w:tcW w:w="1500" w:type="dxa"/>
            <w:vAlign w:val="center"/>
          </w:tcPr>
          <w:p w:rsidR="00422134" w:rsidRDefault="0037703E">
            <w:pPr>
              <w:jc w:val="center"/>
            </w:pPr>
            <w:r>
              <w:rPr>
                <w:color w:val="000000"/>
                <w:kern w:val="0"/>
                <w:sz w:val="24"/>
              </w:rPr>
              <w:t>2019-01-07</w:t>
            </w:r>
          </w:p>
        </w:tc>
        <w:tc>
          <w:tcPr>
            <w:tcW w:w="1260" w:type="dxa"/>
            <w:vAlign w:val="center"/>
          </w:tcPr>
          <w:p w:rsidR="00422134" w:rsidRDefault="0037703E">
            <w:pPr>
              <w:jc w:val="right"/>
            </w:pPr>
            <w:r>
              <w:rPr>
                <w:color w:val="000000"/>
                <w:kern w:val="0"/>
                <w:sz w:val="24"/>
              </w:rPr>
              <w:t>96.15</w:t>
            </w:r>
          </w:p>
        </w:tc>
        <w:tc>
          <w:tcPr>
            <w:tcW w:w="1440" w:type="dxa"/>
            <w:vAlign w:val="center"/>
          </w:tcPr>
          <w:p w:rsidR="00422134" w:rsidRDefault="0037703E">
            <w:pPr>
              <w:jc w:val="right"/>
            </w:pPr>
            <w:r>
              <w:rPr>
                <w:color w:val="000000"/>
                <w:kern w:val="0"/>
                <w:sz w:val="24"/>
              </w:rPr>
              <w:t>55,000</w:t>
            </w:r>
          </w:p>
        </w:tc>
        <w:tc>
          <w:tcPr>
            <w:tcW w:w="1836" w:type="dxa"/>
            <w:vAlign w:val="center"/>
          </w:tcPr>
          <w:p w:rsidR="00422134" w:rsidRDefault="0037703E">
            <w:pPr>
              <w:jc w:val="right"/>
            </w:pPr>
            <w:r>
              <w:rPr>
                <w:color w:val="000000"/>
                <w:kern w:val="0"/>
                <w:sz w:val="24"/>
              </w:rPr>
              <w:t>5,288,250.00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2,175,000</w:t>
            </w:r>
          </w:p>
        </w:tc>
        <w:tc>
          <w:tcPr>
            <w:tcW w:w="1836" w:type="dxa"/>
            <w:vAlign w:val="center"/>
          </w:tcPr>
          <w:p w:rsidR="001A59F9" w:rsidRPr="00E20B2A" w:rsidRDefault="001A59F9" w:rsidP="00E20B2A">
            <w:pPr>
              <w:spacing w:before="29" w:line="288" w:lineRule="auto"/>
              <w:jc w:val="right"/>
              <w:rPr>
                <w:sz w:val="24"/>
              </w:rPr>
            </w:pPr>
            <w:r w:rsidRPr="00E20B2A">
              <w:rPr>
                <w:sz w:val="24"/>
              </w:rPr>
              <w:t>209,988,350.00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2018</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158,500,000.00</w:t>
      </w:r>
      <w:r w:rsidRPr="0004616F">
        <w:rPr>
          <w:color w:val="000000"/>
          <w:sz w:val="24"/>
        </w:rPr>
        <w:t>元，截至</w:t>
      </w:r>
      <w:r w:rsidRPr="0004616F">
        <w:rPr>
          <w:color w:val="000000"/>
          <w:sz w:val="24"/>
        </w:rPr>
        <w:t>2019</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22134" w:rsidRDefault="0037703E">
      <w:pPr>
        <w:spacing w:before="29" w:line="288" w:lineRule="auto"/>
        <w:ind w:firstLineChars="200" w:firstLine="480"/>
        <w:rPr>
          <w:color w:val="000000"/>
          <w:sz w:val="24"/>
        </w:rPr>
      </w:pPr>
      <w:r>
        <w:rPr>
          <w:color w:val="000000"/>
          <w:sz w:val="24"/>
        </w:rPr>
        <w:t>(1)</w:t>
      </w:r>
      <w:r>
        <w:rPr>
          <w:color w:val="000000"/>
          <w:sz w:val="24"/>
        </w:rPr>
        <w:t>公允价值</w:t>
      </w:r>
    </w:p>
    <w:p w:rsidR="00422134" w:rsidRDefault="0037703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22134" w:rsidRDefault="0037703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第一层次：相同资产或负债在活跃市场上未经调整的报价。</w:t>
      </w:r>
    </w:p>
    <w:p w:rsidR="00422134" w:rsidRDefault="0037703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22134" w:rsidRDefault="0037703E">
      <w:pPr>
        <w:spacing w:before="29" w:line="288" w:lineRule="auto"/>
        <w:ind w:firstLineChars="200" w:firstLine="480"/>
        <w:rPr>
          <w:color w:val="000000"/>
          <w:sz w:val="24"/>
        </w:rPr>
      </w:pPr>
      <w:r>
        <w:rPr>
          <w:color w:val="000000"/>
          <w:sz w:val="24"/>
        </w:rPr>
        <w:t>第三层次：相关资产或负债的不可观察输入值。</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22134" w:rsidRDefault="0037703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22134" w:rsidRDefault="0037703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836,894,400.00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3,130,056.30</w:t>
      </w:r>
      <w:r>
        <w:rPr>
          <w:color w:val="000000"/>
          <w:sz w:val="24"/>
        </w:rPr>
        <w:t>元，第二层次</w:t>
      </w:r>
      <w:r>
        <w:rPr>
          <w:color w:val="000000"/>
          <w:sz w:val="24"/>
        </w:rPr>
        <w:t>948,311,840.00</w:t>
      </w:r>
      <w:r>
        <w:rPr>
          <w:color w:val="000000"/>
          <w:sz w:val="24"/>
        </w:rPr>
        <w:t>元，无第三层次</w:t>
      </w:r>
      <w:r>
        <w:rPr>
          <w:color w:val="000000"/>
          <w:sz w:val="24"/>
        </w:rPr>
        <w:t>)</w:t>
      </w:r>
      <w:r>
        <w:rPr>
          <w:color w:val="000000"/>
          <w:sz w:val="24"/>
        </w:rPr>
        <w:t>。</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22134" w:rsidRDefault="00422134">
      <w:pPr>
        <w:spacing w:before="29" w:line="288" w:lineRule="auto"/>
        <w:ind w:firstLineChars="200" w:firstLine="480"/>
        <w:rPr>
          <w:color w:val="000000"/>
          <w:sz w:val="24"/>
        </w:rPr>
      </w:pP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22134" w:rsidRDefault="0037703E">
      <w:pPr>
        <w:spacing w:before="29" w:line="288" w:lineRule="auto"/>
        <w:ind w:firstLineChars="200" w:firstLine="480"/>
        <w:rPr>
          <w:color w:val="000000"/>
          <w:sz w:val="24"/>
        </w:rPr>
      </w:pPr>
      <w:r>
        <w:rPr>
          <w:color w:val="000000"/>
          <w:sz w:val="24"/>
        </w:rPr>
        <w:t>无。</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22134" w:rsidRDefault="0037703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22134" w:rsidRDefault="00422134">
      <w:pPr>
        <w:spacing w:before="29" w:line="288" w:lineRule="auto"/>
        <w:ind w:firstLineChars="200" w:firstLine="480"/>
        <w:rPr>
          <w:color w:val="000000"/>
          <w:sz w:val="24"/>
        </w:rPr>
      </w:pPr>
    </w:p>
    <w:p w:rsidR="00422134" w:rsidRDefault="0037703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22134" w:rsidRDefault="0037703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22134" w:rsidRDefault="00422134">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836,894,400.00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836,894,400.00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15,892,874.55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1.81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27,028,669.90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3.07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879,815,944.45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16A50">
      <w:pPr>
        <w:tabs>
          <w:tab w:val="left" w:pos="426"/>
        </w:tabs>
        <w:spacing w:line="360" w:lineRule="auto"/>
        <w:jc w:val="left"/>
        <w:rPr>
          <w:kern w:val="0"/>
          <w:sz w:val="24"/>
        </w:rPr>
      </w:pPr>
      <w:r w:rsidRPr="00A20DFB">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C234F0">
      <w:pPr>
        <w:tabs>
          <w:tab w:val="left" w:pos="426"/>
        </w:tabs>
        <w:spacing w:before="29" w:line="288" w:lineRule="auto"/>
        <w:jc w:val="left"/>
        <w:rPr>
          <w:kern w:val="0"/>
          <w:sz w:val="24"/>
        </w:rPr>
      </w:pPr>
      <w:r w:rsidRPr="00C234F0">
        <w:rPr>
          <w:kern w:val="0"/>
          <w:sz w:val="24"/>
        </w:rPr>
        <w:t>本基金本报告期内未持有股票。</w:t>
      </w: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26,616,600.00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26,616,600.00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201,539,800.00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39.08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50,325,000.00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9.76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71,059,000.00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13.78</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487,354,000.00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94.49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836,894,400.00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162.27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22134">
        <w:tc>
          <w:tcPr>
            <w:tcW w:w="1499" w:type="dxa"/>
            <w:vAlign w:val="center"/>
          </w:tcPr>
          <w:p w:rsidR="00422134" w:rsidRDefault="0037703E">
            <w:pPr>
              <w:jc w:val="center"/>
            </w:pPr>
            <w:r>
              <w:rPr>
                <w:color w:val="000000"/>
                <w:sz w:val="24"/>
              </w:rPr>
              <w:t>1</w:t>
            </w:r>
          </w:p>
        </w:tc>
        <w:tc>
          <w:tcPr>
            <w:tcW w:w="1499" w:type="dxa"/>
            <w:vAlign w:val="center"/>
          </w:tcPr>
          <w:p w:rsidR="00422134" w:rsidRDefault="0037703E">
            <w:pPr>
              <w:jc w:val="center"/>
            </w:pPr>
            <w:r>
              <w:rPr>
                <w:color w:val="000000"/>
                <w:sz w:val="24"/>
              </w:rPr>
              <w:t>111893071</w:t>
            </w:r>
          </w:p>
        </w:tc>
        <w:tc>
          <w:tcPr>
            <w:tcW w:w="1500" w:type="dxa"/>
            <w:vAlign w:val="center"/>
          </w:tcPr>
          <w:p w:rsidR="00422134" w:rsidRDefault="0037703E">
            <w:pPr>
              <w:jc w:val="center"/>
            </w:pPr>
            <w:r>
              <w:rPr>
                <w:color w:val="000000"/>
                <w:sz w:val="24"/>
              </w:rPr>
              <w:t>18</w:t>
            </w:r>
            <w:r>
              <w:rPr>
                <w:color w:val="000000"/>
                <w:sz w:val="24"/>
              </w:rPr>
              <w:t>杭州银行</w:t>
            </w:r>
            <w:r>
              <w:rPr>
                <w:color w:val="000000"/>
                <w:sz w:val="24"/>
              </w:rPr>
              <w:t>CD011</w:t>
            </w:r>
          </w:p>
        </w:tc>
        <w:tc>
          <w:tcPr>
            <w:tcW w:w="1500" w:type="dxa"/>
            <w:vAlign w:val="center"/>
          </w:tcPr>
          <w:p w:rsidR="00422134" w:rsidRDefault="0037703E">
            <w:pPr>
              <w:jc w:val="right"/>
            </w:pPr>
            <w:r>
              <w:rPr>
                <w:color w:val="000000"/>
                <w:sz w:val="24"/>
              </w:rPr>
              <w:t>1,000,000</w:t>
            </w:r>
          </w:p>
        </w:tc>
        <w:tc>
          <w:tcPr>
            <w:tcW w:w="1500" w:type="dxa"/>
            <w:vAlign w:val="center"/>
          </w:tcPr>
          <w:p w:rsidR="00422134" w:rsidRDefault="0037703E">
            <w:pPr>
              <w:jc w:val="right"/>
            </w:pPr>
            <w:r>
              <w:rPr>
                <w:color w:val="000000"/>
                <w:sz w:val="24"/>
              </w:rPr>
              <w:t>95,500,000.00</w:t>
            </w:r>
          </w:p>
        </w:tc>
        <w:tc>
          <w:tcPr>
            <w:tcW w:w="1500" w:type="dxa"/>
            <w:vAlign w:val="center"/>
          </w:tcPr>
          <w:p w:rsidR="00422134" w:rsidRDefault="0037703E">
            <w:pPr>
              <w:jc w:val="right"/>
            </w:pPr>
            <w:r>
              <w:rPr>
                <w:color w:val="000000"/>
                <w:sz w:val="24"/>
              </w:rPr>
              <w:t>18.52</w:t>
            </w:r>
          </w:p>
        </w:tc>
      </w:tr>
      <w:tr w:rsidR="00422134">
        <w:tc>
          <w:tcPr>
            <w:tcW w:w="1499" w:type="dxa"/>
            <w:vAlign w:val="center"/>
          </w:tcPr>
          <w:p w:rsidR="00422134" w:rsidRDefault="0037703E">
            <w:pPr>
              <w:jc w:val="center"/>
            </w:pPr>
            <w:r>
              <w:rPr>
                <w:color w:val="000000"/>
                <w:sz w:val="24"/>
              </w:rPr>
              <w:t>2</w:t>
            </w:r>
          </w:p>
        </w:tc>
        <w:tc>
          <w:tcPr>
            <w:tcW w:w="1499" w:type="dxa"/>
            <w:vAlign w:val="center"/>
          </w:tcPr>
          <w:p w:rsidR="00422134" w:rsidRDefault="0037703E">
            <w:pPr>
              <w:jc w:val="center"/>
            </w:pPr>
            <w:r>
              <w:rPr>
                <w:color w:val="000000"/>
                <w:sz w:val="24"/>
              </w:rPr>
              <w:t>111814035</w:t>
            </w:r>
          </w:p>
        </w:tc>
        <w:tc>
          <w:tcPr>
            <w:tcW w:w="1500" w:type="dxa"/>
            <w:vAlign w:val="center"/>
          </w:tcPr>
          <w:p w:rsidR="00422134" w:rsidRDefault="0037703E">
            <w:pPr>
              <w:jc w:val="center"/>
            </w:pPr>
            <w:r>
              <w:rPr>
                <w:color w:val="000000"/>
                <w:sz w:val="24"/>
              </w:rPr>
              <w:t>18</w:t>
            </w:r>
            <w:r>
              <w:rPr>
                <w:color w:val="000000"/>
                <w:sz w:val="24"/>
              </w:rPr>
              <w:t>江苏银行</w:t>
            </w:r>
            <w:r>
              <w:rPr>
                <w:color w:val="000000"/>
                <w:sz w:val="24"/>
              </w:rPr>
              <w:t>CD035</w:t>
            </w:r>
          </w:p>
        </w:tc>
        <w:tc>
          <w:tcPr>
            <w:tcW w:w="1500" w:type="dxa"/>
            <w:vAlign w:val="center"/>
          </w:tcPr>
          <w:p w:rsidR="00422134" w:rsidRDefault="0037703E">
            <w:pPr>
              <w:jc w:val="right"/>
            </w:pPr>
            <w:r>
              <w:rPr>
                <w:color w:val="000000"/>
                <w:sz w:val="24"/>
              </w:rPr>
              <w:t>1,000,000</w:t>
            </w:r>
          </w:p>
        </w:tc>
        <w:tc>
          <w:tcPr>
            <w:tcW w:w="1500" w:type="dxa"/>
            <w:vAlign w:val="center"/>
          </w:tcPr>
          <w:p w:rsidR="00422134" w:rsidRDefault="0037703E">
            <w:pPr>
              <w:jc w:val="right"/>
            </w:pPr>
            <w:r>
              <w:rPr>
                <w:color w:val="000000"/>
                <w:sz w:val="24"/>
              </w:rPr>
              <w:t>95,450,000.00</w:t>
            </w:r>
          </w:p>
        </w:tc>
        <w:tc>
          <w:tcPr>
            <w:tcW w:w="1500" w:type="dxa"/>
            <w:vAlign w:val="center"/>
          </w:tcPr>
          <w:p w:rsidR="00422134" w:rsidRDefault="0037703E">
            <w:pPr>
              <w:jc w:val="right"/>
            </w:pPr>
            <w:r>
              <w:rPr>
                <w:color w:val="000000"/>
                <w:sz w:val="24"/>
              </w:rPr>
              <w:t>18.51</w:t>
            </w:r>
          </w:p>
        </w:tc>
      </w:tr>
      <w:tr w:rsidR="00422134">
        <w:tc>
          <w:tcPr>
            <w:tcW w:w="1499" w:type="dxa"/>
            <w:vAlign w:val="center"/>
          </w:tcPr>
          <w:p w:rsidR="00422134" w:rsidRDefault="0037703E">
            <w:pPr>
              <w:jc w:val="center"/>
            </w:pPr>
            <w:r>
              <w:rPr>
                <w:color w:val="000000"/>
                <w:sz w:val="24"/>
              </w:rPr>
              <w:t>3</w:t>
            </w:r>
          </w:p>
        </w:tc>
        <w:tc>
          <w:tcPr>
            <w:tcW w:w="1499" w:type="dxa"/>
            <w:vAlign w:val="center"/>
          </w:tcPr>
          <w:p w:rsidR="00422134" w:rsidRDefault="0037703E">
            <w:pPr>
              <w:jc w:val="center"/>
            </w:pPr>
            <w:r>
              <w:rPr>
                <w:color w:val="000000"/>
                <w:sz w:val="24"/>
              </w:rPr>
              <w:t>111892033</w:t>
            </w:r>
          </w:p>
        </w:tc>
        <w:tc>
          <w:tcPr>
            <w:tcW w:w="1500" w:type="dxa"/>
            <w:vAlign w:val="center"/>
          </w:tcPr>
          <w:p w:rsidR="00422134" w:rsidRDefault="0037703E">
            <w:pPr>
              <w:jc w:val="center"/>
            </w:pPr>
            <w:r>
              <w:rPr>
                <w:color w:val="000000"/>
                <w:sz w:val="24"/>
              </w:rPr>
              <w:t>18</w:t>
            </w:r>
            <w:r>
              <w:rPr>
                <w:color w:val="000000"/>
                <w:sz w:val="24"/>
              </w:rPr>
              <w:t>宁波银行</w:t>
            </w:r>
            <w:r>
              <w:rPr>
                <w:color w:val="000000"/>
                <w:sz w:val="24"/>
              </w:rPr>
              <w:t>CD032</w:t>
            </w:r>
          </w:p>
        </w:tc>
        <w:tc>
          <w:tcPr>
            <w:tcW w:w="1500" w:type="dxa"/>
            <w:vAlign w:val="center"/>
          </w:tcPr>
          <w:p w:rsidR="00422134" w:rsidRDefault="0037703E">
            <w:pPr>
              <w:jc w:val="right"/>
            </w:pPr>
            <w:r>
              <w:rPr>
                <w:color w:val="000000"/>
                <w:sz w:val="24"/>
              </w:rPr>
              <w:t>1,000,000</w:t>
            </w:r>
          </w:p>
        </w:tc>
        <w:tc>
          <w:tcPr>
            <w:tcW w:w="1500" w:type="dxa"/>
            <w:vAlign w:val="center"/>
          </w:tcPr>
          <w:p w:rsidR="00422134" w:rsidRDefault="0037703E">
            <w:pPr>
              <w:jc w:val="right"/>
            </w:pPr>
            <w:r>
              <w:rPr>
                <w:color w:val="000000"/>
                <w:sz w:val="24"/>
              </w:rPr>
              <w:t>95,450,000.00</w:t>
            </w:r>
          </w:p>
        </w:tc>
        <w:tc>
          <w:tcPr>
            <w:tcW w:w="1500" w:type="dxa"/>
            <w:vAlign w:val="center"/>
          </w:tcPr>
          <w:p w:rsidR="00422134" w:rsidRDefault="0037703E">
            <w:pPr>
              <w:jc w:val="right"/>
            </w:pPr>
            <w:r>
              <w:rPr>
                <w:color w:val="000000"/>
                <w:sz w:val="24"/>
              </w:rPr>
              <w:t>18.51</w:t>
            </w:r>
          </w:p>
        </w:tc>
      </w:tr>
      <w:tr w:rsidR="00422134">
        <w:tc>
          <w:tcPr>
            <w:tcW w:w="1499" w:type="dxa"/>
            <w:vAlign w:val="center"/>
          </w:tcPr>
          <w:p w:rsidR="00422134" w:rsidRDefault="0037703E">
            <w:pPr>
              <w:jc w:val="center"/>
            </w:pPr>
            <w:r>
              <w:rPr>
                <w:color w:val="000000"/>
                <w:sz w:val="24"/>
              </w:rPr>
              <w:t>4</w:t>
            </w:r>
          </w:p>
        </w:tc>
        <w:tc>
          <w:tcPr>
            <w:tcW w:w="1499" w:type="dxa"/>
            <w:vAlign w:val="center"/>
          </w:tcPr>
          <w:p w:rsidR="00422134" w:rsidRDefault="0037703E">
            <w:pPr>
              <w:jc w:val="center"/>
            </w:pPr>
            <w:r>
              <w:rPr>
                <w:color w:val="000000"/>
                <w:sz w:val="24"/>
              </w:rPr>
              <w:t>111892484</w:t>
            </w:r>
          </w:p>
        </w:tc>
        <w:tc>
          <w:tcPr>
            <w:tcW w:w="1500" w:type="dxa"/>
            <w:vAlign w:val="center"/>
          </w:tcPr>
          <w:p w:rsidR="00422134" w:rsidRDefault="0037703E">
            <w:pPr>
              <w:jc w:val="center"/>
            </w:pPr>
            <w:r>
              <w:rPr>
                <w:color w:val="000000"/>
                <w:sz w:val="24"/>
              </w:rPr>
              <w:t>18</w:t>
            </w:r>
            <w:r>
              <w:rPr>
                <w:color w:val="000000"/>
                <w:sz w:val="24"/>
              </w:rPr>
              <w:t>广州农村商业银行</w:t>
            </w:r>
            <w:r>
              <w:rPr>
                <w:color w:val="000000"/>
                <w:sz w:val="24"/>
              </w:rPr>
              <w:t>CD001</w:t>
            </w:r>
          </w:p>
        </w:tc>
        <w:tc>
          <w:tcPr>
            <w:tcW w:w="1500" w:type="dxa"/>
            <w:vAlign w:val="center"/>
          </w:tcPr>
          <w:p w:rsidR="00422134" w:rsidRDefault="0037703E">
            <w:pPr>
              <w:jc w:val="right"/>
            </w:pPr>
            <w:r>
              <w:rPr>
                <w:color w:val="000000"/>
                <w:sz w:val="24"/>
              </w:rPr>
              <w:t>1,000,000</w:t>
            </w:r>
          </w:p>
        </w:tc>
        <w:tc>
          <w:tcPr>
            <w:tcW w:w="1500" w:type="dxa"/>
            <w:vAlign w:val="center"/>
          </w:tcPr>
          <w:p w:rsidR="00422134" w:rsidRDefault="0037703E">
            <w:pPr>
              <w:jc w:val="right"/>
            </w:pPr>
            <w:r>
              <w:rPr>
                <w:color w:val="000000"/>
                <w:sz w:val="24"/>
              </w:rPr>
              <w:t>95,420,000.00</w:t>
            </w:r>
          </w:p>
        </w:tc>
        <w:tc>
          <w:tcPr>
            <w:tcW w:w="1500" w:type="dxa"/>
            <w:vAlign w:val="center"/>
          </w:tcPr>
          <w:p w:rsidR="00422134" w:rsidRDefault="0037703E">
            <w:pPr>
              <w:jc w:val="right"/>
            </w:pPr>
            <w:r>
              <w:rPr>
                <w:color w:val="000000"/>
                <w:sz w:val="24"/>
              </w:rPr>
              <w:t>18.50</w:t>
            </w:r>
          </w:p>
        </w:tc>
      </w:tr>
      <w:tr w:rsidR="00422134">
        <w:tc>
          <w:tcPr>
            <w:tcW w:w="1499" w:type="dxa"/>
            <w:vAlign w:val="center"/>
          </w:tcPr>
          <w:p w:rsidR="00422134" w:rsidRDefault="0037703E">
            <w:pPr>
              <w:jc w:val="center"/>
            </w:pPr>
            <w:r>
              <w:rPr>
                <w:color w:val="000000"/>
                <w:sz w:val="24"/>
              </w:rPr>
              <w:t>5</w:t>
            </w:r>
          </w:p>
        </w:tc>
        <w:tc>
          <w:tcPr>
            <w:tcW w:w="1499" w:type="dxa"/>
            <w:vAlign w:val="center"/>
          </w:tcPr>
          <w:p w:rsidR="00422134" w:rsidRDefault="0037703E">
            <w:pPr>
              <w:jc w:val="center"/>
            </w:pPr>
            <w:r>
              <w:rPr>
                <w:color w:val="000000"/>
                <w:sz w:val="24"/>
              </w:rPr>
              <w:t>136721</w:t>
            </w:r>
          </w:p>
        </w:tc>
        <w:tc>
          <w:tcPr>
            <w:tcW w:w="1500" w:type="dxa"/>
            <w:vAlign w:val="center"/>
          </w:tcPr>
          <w:p w:rsidR="00422134" w:rsidRDefault="0037703E">
            <w:pPr>
              <w:jc w:val="center"/>
            </w:pPr>
            <w:r>
              <w:rPr>
                <w:color w:val="000000"/>
                <w:sz w:val="24"/>
              </w:rPr>
              <w:t>16</w:t>
            </w:r>
            <w:r>
              <w:rPr>
                <w:color w:val="000000"/>
                <w:sz w:val="24"/>
              </w:rPr>
              <w:t>石化</w:t>
            </w:r>
            <w:r>
              <w:rPr>
                <w:color w:val="000000"/>
                <w:sz w:val="24"/>
              </w:rPr>
              <w:t>01</w:t>
            </w:r>
          </w:p>
        </w:tc>
        <w:tc>
          <w:tcPr>
            <w:tcW w:w="1500" w:type="dxa"/>
            <w:vAlign w:val="center"/>
          </w:tcPr>
          <w:p w:rsidR="00422134" w:rsidRDefault="0037703E">
            <w:pPr>
              <w:jc w:val="right"/>
            </w:pPr>
            <w:r>
              <w:rPr>
                <w:color w:val="000000"/>
                <w:sz w:val="24"/>
              </w:rPr>
              <w:t>500,000</w:t>
            </w:r>
          </w:p>
        </w:tc>
        <w:tc>
          <w:tcPr>
            <w:tcW w:w="1500" w:type="dxa"/>
            <w:vAlign w:val="center"/>
          </w:tcPr>
          <w:p w:rsidR="00422134" w:rsidRDefault="0037703E">
            <w:pPr>
              <w:jc w:val="right"/>
            </w:pPr>
            <w:r>
              <w:rPr>
                <w:color w:val="000000"/>
                <w:sz w:val="24"/>
              </w:rPr>
              <w:t>49,705,000.00</w:t>
            </w:r>
          </w:p>
        </w:tc>
        <w:tc>
          <w:tcPr>
            <w:tcW w:w="1500" w:type="dxa"/>
            <w:vAlign w:val="center"/>
          </w:tcPr>
          <w:p w:rsidR="00422134" w:rsidRDefault="0037703E">
            <w:pPr>
              <w:jc w:val="right"/>
            </w:pPr>
            <w:r>
              <w:rPr>
                <w:color w:val="000000"/>
                <w:sz w:val="24"/>
              </w:rPr>
              <w:t>9.64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1,123.50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2,306,113.62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24,717,817.75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3,615.03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27,028,669.90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7703E" w:rsidRPr="004B25B0" w:rsidTr="0037703E">
        <w:tc>
          <w:tcPr>
            <w:tcW w:w="964" w:type="pct"/>
            <w:vMerge w:val="restart"/>
            <w:tcBorders>
              <w:top w:val="single" w:sz="8" w:space="0" w:color="000000"/>
              <w:left w:val="single" w:sz="8" w:space="0" w:color="000000"/>
              <w:right w:val="single" w:sz="8" w:space="0" w:color="000000"/>
            </w:tcBorders>
            <w:vAlign w:val="center"/>
          </w:tcPr>
          <w:p w:rsidR="00422134" w:rsidRDefault="0037703E">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7703E" w:rsidRPr="004B25B0" w:rsidTr="0037703E">
        <w:tc>
          <w:tcPr>
            <w:tcW w:w="964" w:type="pct"/>
            <w:vMerge/>
            <w:tcBorders>
              <w:left w:val="single" w:sz="8" w:space="0" w:color="000000"/>
              <w:right w:val="single" w:sz="8" w:space="0" w:color="000000"/>
            </w:tcBorders>
          </w:tcPr>
          <w:p w:rsidR="00422134" w:rsidRDefault="004221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7703E" w:rsidRPr="004B25B0" w:rsidTr="0037703E">
        <w:tc>
          <w:tcPr>
            <w:tcW w:w="964" w:type="pct"/>
            <w:vMerge/>
            <w:tcBorders>
              <w:left w:val="single" w:sz="8" w:space="0" w:color="000000"/>
              <w:bottom w:val="single" w:sz="8" w:space="0" w:color="000000"/>
              <w:right w:val="single" w:sz="8" w:space="0" w:color="000000"/>
            </w:tcBorders>
          </w:tcPr>
          <w:p w:rsidR="00422134" w:rsidRDefault="00422134">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7703E" w:rsidRPr="004B25B0" w:rsidTr="0037703E">
        <w:tc>
          <w:tcPr>
            <w:tcW w:w="964" w:type="pct"/>
            <w:tcBorders>
              <w:top w:val="single" w:sz="8" w:space="0" w:color="000000"/>
              <w:left w:val="single" w:sz="8" w:space="0" w:color="000000"/>
              <w:bottom w:val="single" w:sz="8" w:space="0" w:color="000000"/>
              <w:right w:val="single" w:sz="8" w:space="0" w:color="000000"/>
            </w:tcBorders>
            <w:vAlign w:val="center"/>
          </w:tcPr>
          <w:p w:rsidR="00422134" w:rsidRDefault="0037703E">
            <w:pPr>
              <w:jc w:val="center"/>
            </w:pPr>
            <w:r>
              <w:rPr>
                <w:bCs/>
                <w:color w:val="000000"/>
                <w:szCs w:val="21"/>
              </w:rPr>
              <w:t>4,099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117,941.70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483,443,035.77</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100.00%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310,586.65</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0.06%</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4</w:t>
            </w:r>
            <w:r w:rsidR="00146153" w:rsidRPr="00300454">
              <w:rPr>
                <w:sz w:val="24"/>
              </w:rPr>
              <w:t>月</w:t>
            </w:r>
            <w:r w:rsidR="00146153" w:rsidRPr="00300454">
              <w:rPr>
                <w:sz w:val="24"/>
              </w:rPr>
              <w:t>24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744,437,272.39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682,553,276.26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10,272,580.31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209,382,820.80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483,443,035.77</w:t>
            </w:r>
          </w:p>
        </w:tc>
      </w:tr>
    </w:tbl>
    <w:p w:rsidR="00422134" w:rsidRDefault="0037703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422134" w:rsidRDefault="0037703E">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22134" w:rsidRDefault="0037703E">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22134" w:rsidRDefault="0037703E">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、基金托管人的基金托管部门的重大人事变动：本报告期内，本行总行聘任刘琳同志、李智同志为本行托管业务部高级专家。</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72,000.00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422134" w:rsidRDefault="0037703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22134" w:rsidRDefault="0037703E">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22134" w:rsidRDefault="0037703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22134">
        <w:tc>
          <w:tcPr>
            <w:tcW w:w="1559" w:type="dxa"/>
            <w:vAlign w:val="center"/>
          </w:tcPr>
          <w:p w:rsidR="00422134" w:rsidRDefault="0037703E">
            <w:pPr>
              <w:jc w:val="left"/>
            </w:pPr>
            <w:r>
              <w:rPr>
                <w:color w:val="000000"/>
                <w:szCs w:val="21"/>
              </w:rPr>
              <w:t>西部证券股份有限公司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光大证券股份有限公司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华泰证券股份有限公司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华宝证券有限责任公司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招商证券股份有限公司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天风证券股份有限公司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长江证券股份有限公司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瑞银证券有限责任公司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兴业证券股份有限公司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中国国际金融股份有限公司</w:t>
            </w:r>
          </w:p>
        </w:tc>
        <w:tc>
          <w:tcPr>
            <w:tcW w:w="779" w:type="dxa"/>
            <w:vAlign w:val="center"/>
          </w:tcPr>
          <w:p w:rsidR="00422134" w:rsidRDefault="0037703E">
            <w:pPr>
              <w:jc w:val="right"/>
            </w:pPr>
            <w:r>
              <w:rPr>
                <w:color w:val="000000"/>
                <w:szCs w:val="21"/>
              </w:rPr>
              <w:t>3</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中信建投证券股份有限公司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中信证券股份有限公司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渤海证券股份有限公司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川财证券有限责任公司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东方证券股份有限公司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东海证券股份有限公司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华西证券股份有限公司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民生证券股份有限公司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九州证券股份有限公司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申万宏源证券有限公司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上海华信证券有限责任公司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广发证券股份有限公司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国联证券股份有限公司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国泰君安证券股份有限公司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国信证券股份有限公司</w:t>
            </w:r>
          </w:p>
        </w:tc>
        <w:tc>
          <w:tcPr>
            <w:tcW w:w="779" w:type="dxa"/>
            <w:vAlign w:val="center"/>
          </w:tcPr>
          <w:p w:rsidR="00422134" w:rsidRDefault="0037703E">
            <w:pPr>
              <w:jc w:val="right"/>
            </w:pPr>
            <w:r>
              <w:rPr>
                <w:color w:val="000000"/>
                <w:szCs w:val="21"/>
              </w:rPr>
              <w:t>2</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东北证券股份有限公司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信达证券股份有限公司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海通证券股份有限公司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宏信证券有限责任公司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东兴证券股份有限公司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方正证券股份有限公司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北京高华证券有限责任公司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平安证券股份有限公司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国融证券股份有限公司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西南证券股份有限公司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r w:rsidR="00422134">
        <w:tc>
          <w:tcPr>
            <w:tcW w:w="1559" w:type="dxa"/>
            <w:vAlign w:val="center"/>
          </w:tcPr>
          <w:p w:rsidR="00422134" w:rsidRDefault="0037703E">
            <w:pPr>
              <w:jc w:val="left"/>
            </w:pPr>
            <w:r>
              <w:rPr>
                <w:color w:val="000000"/>
                <w:szCs w:val="21"/>
              </w:rPr>
              <w:t>新时代证券股份有限公司</w:t>
            </w:r>
          </w:p>
        </w:tc>
        <w:tc>
          <w:tcPr>
            <w:tcW w:w="779" w:type="dxa"/>
            <w:vAlign w:val="center"/>
          </w:tcPr>
          <w:p w:rsidR="00422134" w:rsidRDefault="0037703E">
            <w:pPr>
              <w:jc w:val="right"/>
            </w:pPr>
            <w:r>
              <w:rPr>
                <w:color w:val="000000"/>
                <w:szCs w:val="21"/>
              </w:rPr>
              <w:t>1</w:t>
            </w:r>
          </w:p>
        </w:tc>
        <w:tc>
          <w:tcPr>
            <w:tcW w:w="180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620"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080" w:type="dxa"/>
            <w:vAlign w:val="center"/>
          </w:tcPr>
          <w:p w:rsidR="00422134" w:rsidRDefault="0037703E">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422134">
        <w:tc>
          <w:tcPr>
            <w:tcW w:w="1559" w:type="dxa"/>
            <w:vAlign w:val="center"/>
          </w:tcPr>
          <w:p w:rsidR="00422134" w:rsidRDefault="0037703E">
            <w:pPr>
              <w:jc w:val="left"/>
            </w:pPr>
            <w:r>
              <w:rPr>
                <w:color w:val="000000"/>
                <w:szCs w:val="21"/>
              </w:rPr>
              <w:t>西部证券股份有限公司</w:t>
            </w:r>
          </w:p>
        </w:tc>
        <w:tc>
          <w:tcPr>
            <w:tcW w:w="1319" w:type="dxa"/>
            <w:vAlign w:val="center"/>
          </w:tcPr>
          <w:p w:rsidR="00422134" w:rsidRDefault="0037703E">
            <w:pPr>
              <w:jc w:val="right"/>
            </w:pPr>
            <w:r>
              <w:rPr>
                <w:color w:val="000000"/>
                <w:szCs w:val="21"/>
              </w:rPr>
              <w:t>9,117,220.01</w:t>
            </w:r>
          </w:p>
        </w:tc>
        <w:tc>
          <w:tcPr>
            <w:tcW w:w="1080" w:type="dxa"/>
            <w:vAlign w:val="center"/>
          </w:tcPr>
          <w:p w:rsidR="00422134" w:rsidRDefault="0037703E">
            <w:pPr>
              <w:jc w:val="right"/>
            </w:pPr>
            <w:r>
              <w:rPr>
                <w:color w:val="000000"/>
                <w:szCs w:val="21"/>
              </w:rPr>
              <w:t>8.34%</w:t>
            </w:r>
          </w:p>
        </w:tc>
        <w:tc>
          <w:tcPr>
            <w:tcW w:w="1143" w:type="dxa"/>
            <w:vAlign w:val="center"/>
          </w:tcPr>
          <w:p w:rsidR="00422134" w:rsidRDefault="0037703E">
            <w:pPr>
              <w:jc w:val="right"/>
            </w:pPr>
            <w:r>
              <w:rPr>
                <w:color w:val="000000"/>
                <w:szCs w:val="21"/>
              </w:rPr>
              <w:t>2,000,000.00</w:t>
            </w:r>
          </w:p>
        </w:tc>
        <w:tc>
          <w:tcPr>
            <w:tcW w:w="1197" w:type="dxa"/>
            <w:vAlign w:val="center"/>
          </w:tcPr>
          <w:p w:rsidR="00422134" w:rsidRDefault="0037703E">
            <w:pPr>
              <w:jc w:val="right"/>
            </w:pPr>
            <w:r>
              <w:rPr>
                <w:color w:val="000000"/>
                <w:szCs w:val="21"/>
              </w:rPr>
              <w:t>0.01%</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光大证券股份有限公司</w:t>
            </w:r>
          </w:p>
        </w:tc>
        <w:tc>
          <w:tcPr>
            <w:tcW w:w="1319" w:type="dxa"/>
            <w:vAlign w:val="center"/>
          </w:tcPr>
          <w:p w:rsidR="00422134" w:rsidRDefault="0037703E">
            <w:pPr>
              <w:jc w:val="right"/>
            </w:pPr>
            <w:r>
              <w:rPr>
                <w:color w:val="000000"/>
                <w:szCs w:val="21"/>
              </w:rPr>
              <w:t>8,036,134.52</w:t>
            </w:r>
          </w:p>
        </w:tc>
        <w:tc>
          <w:tcPr>
            <w:tcW w:w="1080" w:type="dxa"/>
            <w:vAlign w:val="center"/>
          </w:tcPr>
          <w:p w:rsidR="00422134" w:rsidRDefault="0037703E">
            <w:pPr>
              <w:jc w:val="right"/>
            </w:pPr>
            <w:r>
              <w:rPr>
                <w:color w:val="000000"/>
                <w:szCs w:val="21"/>
              </w:rPr>
              <w:t>7.35%</w:t>
            </w:r>
          </w:p>
        </w:tc>
        <w:tc>
          <w:tcPr>
            <w:tcW w:w="1143" w:type="dxa"/>
            <w:vAlign w:val="center"/>
          </w:tcPr>
          <w:p w:rsidR="00422134" w:rsidRDefault="0037703E">
            <w:pPr>
              <w:jc w:val="right"/>
            </w:pPr>
            <w:r>
              <w:rPr>
                <w:color w:val="000000"/>
                <w:szCs w:val="21"/>
              </w:rPr>
              <w:t>-</w:t>
            </w:r>
          </w:p>
        </w:tc>
        <w:tc>
          <w:tcPr>
            <w:tcW w:w="1197" w:type="dxa"/>
            <w:vAlign w:val="center"/>
          </w:tcPr>
          <w:p w:rsidR="00422134" w:rsidRDefault="0037703E">
            <w:pPr>
              <w:jc w:val="right"/>
            </w:pPr>
            <w:r>
              <w:rPr>
                <w:color w:val="000000"/>
                <w:szCs w:val="21"/>
              </w:rPr>
              <w:t>-</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华泰证券股份有限公司</w:t>
            </w:r>
          </w:p>
        </w:tc>
        <w:tc>
          <w:tcPr>
            <w:tcW w:w="1319" w:type="dxa"/>
            <w:vAlign w:val="center"/>
          </w:tcPr>
          <w:p w:rsidR="00422134" w:rsidRDefault="0037703E">
            <w:pPr>
              <w:jc w:val="right"/>
            </w:pPr>
            <w:r>
              <w:rPr>
                <w:color w:val="000000"/>
                <w:szCs w:val="21"/>
              </w:rPr>
              <w:t>536,355.19</w:t>
            </w:r>
          </w:p>
        </w:tc>
        <w:tc>
          <w:tcPr>
            <w:tcW w:w="1080" w:type="dxa"/>
            <w:vAlign w:val="center"/>
          </w:tcPr>
          <w:p w:rsidR="00422134" w:rsidRDefault="0037703E">
            <w:pPr>
              <w:jc w:val="right"/>
            </w:pPr>
            <w:r>
              <w:rPr>
                <w:color w:val="000000"/>
                <w:szCs w:val="21"/>
              </w:rPr>
              <w:t>0.49%</w:t>
            </w:r>
          </w:p>
        </w:tc>
        <w:tc>
          <w:tcPr>
            <w:tcW w:w="1143" w:type="dxa"/>
            <w:vAlign w:val="center"/>
          </w:tcPr>
          <w:p w:rsidR="00422134" w:rsidRDefault="0037703E">
            <w:pPr>
              <w:jc w:val="right"/>
            </w:pPr>
            <w:r>
              <w:rPr>
                <w:color w:val="000000"/>
                <w:szCs w:val="21"/>
              </w:rPr>
              <w:t>4,517,800,000.00</w:t>
            </w:r>
          </w:p>
        </w:tc>
        <w:tc>
          <w:tcPr>
            <w:tcW w:w="1197" w:type="dxa"/>
            <w:vAlign w:val="center"/>
          </w:tcPr>
          <w:p w:rsidR="00422134" w:rsidRDefault="0037703E">
            <w:pPr>
              <w:jc w:val="right"/>
            </w:pPr>
            <w:r>
              <w:rPr>
                <w:color w:val="000000"/>
                <w:szCs w:val="21"/>
              </w:rPr>
              <w:t>12.43%</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华宝证券有限责任公司</w:t>
            </w:r>
          </w:p>
        </w:tc>
        <w:tc>
          <w:tcPr>
            <w:tcW w:w="1319" w:type="dxa"/>
            <w:vAlign w:val="center"/>
          </w:tcPr>
          <w:p w:rsidR="00422134" w:rsidRDefault="0037703E">
            <w:pPr>
              <w:jc w:val="right"/>
            </w:pPr>
            <w:r>
              <w:rPr>
                <w:color w:val="000000"/>
                <w:szCs w:val="21"/>
              </w:rPr>
              <w:t>501,600.00</w:t>
            </w:r>
          </w:p>
        </w:tc>
        <w:tc>
          <w:tcPr>
            <w:tcW w:w="1080" w:type="dxa"/>
            <w:vAlign w:val="center"/>
          </w:tcPr>
          <w:p w:rsidR="00422134" w:rsidRDefault="0037703E">
            <w:pPr>
              <w:jc w:val="right"/>
            </w:pPr>
            <w:r>
              <w:rPr>
                <w:color w:val="000000"/>
                <w:szCs w:val="21"/>
              </w:rPr>
              <w:t>0.46%</w:t>
            </w:r>
          </w:p>
        </w:tc>
        <w:tc>
          <w:tcPr>
            <w:tcW w:w="1143" w:type="dxa"/>
            <w:vAlign w:val="center"/>
          </w:tcPr>
          <w:p w:rsidR="00422134" w:rsidRDefault="0037703E">
            <w:pPr>
              <w:jc w:val="right"/>
            </w:pPr>
            <w:r>
              <w:rPr>
                <w:color w:val="000000"/>
                <w:szCs w:val="21"/>
              </w:rPr>
              <w:t>438,500,000.00</w:t>
            </w:r>
          </w:p>
        </w:tc>
        <w:tc>
          <w:tcPr>
            <w:tcW w:w="1197" w:type="dxa"/>
            <w:vAlign w:val="center"/>
          </w:tcPr>
          <w:p w:rsidR="00422134" w:rsidRDefault="0037703E">
            <w:pPr>
              <w:jc w:val="right"/>
            </w:pPr>
            <w:r>
              <w:rPr>
                <w:color w:val="000000"/>
                <w:szCs w:val="21"/>
              </w:rPr>
              <w:t>1.21%</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招商证券股份有限公司</w:t>
            </w:r>
          </w:p>
        </w:tc>
        <w:tc>
          <w:tcPr>
            <w:tcW w:w="1319" w:type="dxa"/>
            <w:vAlign w:val="center"/>
          </w:tcPr>
          <w:p w:rsidR="00422134" w:rsidRDefault="0037703E">
            <w:pPr>
              <w:jc w:val="right"/>
            </w:pPr>
            <w:r>
              <w:rPr>
                <w:color w:val="000000"/>
                <w:szCs w:val="21"/>
              </w:rPr>
              <w:t>4,170,608.82</w:t>
            </w:r>
          </w:p>
        </w:tc>
        <w:tc>
          <w:tcPr>
            <w:tcW w:w="1080" w:type="dxa"/>
            <w:vAlign w:val="center"/>
          </w:tcPr>
          <w:p w:rsidR="00422134" w:rsidRDefault="0037703E">
            <w:pPr>
              <w:jc w:val="right"/>
            </w:pPr>
            <w:r>
              <w:rPr>
                <w:color w:val="000000"/>
                <w:szCs w:val="21"/>
              </w:rPr>
              <w:t>3.81%</w:t>
            </w:r>
          </w:p>
        </w:tc>
        <w:tc>
          <w:tcPr>
            <w:tcW w:w="1143" w:type="dxa"/>
            <w:vAlign w:val="center"/>
          </w:tcPr>
          <w:p w:rsidR="00422134" w:rsidRDefault="0037703E">
            <w:pPr>
              <w:jc w:val="right"/>
            </w:pPr>
            <w:r>
              <w:rPr>
                <w:color w:val="000000"/>
                <w:szCs w:val="21"/>
              </w:rPr>
              <w:t>2,179,000,000.00</w:t>
            </w:r>
          </w:p>
        </w:tc>
        <w:tc>
          <w:tcPr>
            <w:tcW w:w="1197" w:type="dxa"/>
            <w:vAlign w:val="center"/>
          </w:tcPr>
          <w:p w:rsidR="00422134" w:rsidRDefault="0037703E">
            <w:pPr>
              <w:jc w:val="right"/>
            </w:pPr>
            <w:r>
              <w:rPr>
                <w:color w:val="000000"/>
                <w:szCs w:val="21"/>
              </w:rPr>
              <w:t>6.00%</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天风证券股份有限公司</w:t>
            </w:r>
          </w:p>
        </w:tc>
        <w:tc>
          <w:tcPr>
            <w:tcW w:w="1319" w:type="dxa"/>
            <w:vAlign w:val="center"/>
          </w:tcPr>
          <w:p w:rsidR="00422134" w:rsidRDefault="0037703E">
            <w:pPr>
              <w:jc w:val="right"/>
            </w:pPr>
            <w:r>
              <w:rPr>
                <w:color w:val="000000"/>
                <w:szCs w:val="21"/>
              </w:rPr>
              <w:t>39,122,088.21</w:t>
            </w:r>
          </w:p>
        </w:tc>
        <w:tc>
          <w:tcPr>
            <w:tcW w:w="1080" w:type="dxa"/>
            <w:vAlign w:val="center"/>
          </w:tcPr>
          <w:p w:rsidR="00422134" w:rsidRDefault="0037703E">
            <w:pPr>
              <w:jc w:val="right"/>
            </w:pPr>
            <w:r>
              <w:rPr>
                <w:color w:val="000000"/>
                <w:szCs w:val="21"/>
              </w:rPr>
              <w:t>35.78%</w:t>
            </w:r>
          </w:p>
        </w:tc>
        <w:tc>
          <w:tcPr>
            <w:tcW w:w="1143" w:type="dxa"/>
            <w:vAlign w:val="center"/>
          </w:tcPr>
          <w:p w:rsidR="00422134" w:rsidRDefault="0037703E">
            <w:pPr>
              <w:jc w:val="right"/>
            </w:pPr>
            <w:r>
              <w:rPr>
                <w:color w:val="000000"/>
                <w:szCs w:val="21"/>
              </w:rPr>
              <w:t>7,630,500,000.00</w:t>
            </w:r>
          </w:p>
        </w:tc>
        <w:tc>
          <w:tcPr>
            <w:tcW w:w="1197" w:type="dxa"/>
            <w:vAlign w:val="center"/>
          </w:tcPr>
          <w:p w:rsidR="00422134" w:rsidRDefault="0037703E">
            <w:pPr>
              <w:jc w:val="right"/>
            </w:pPr>
            <w:r>
              <w:rPr>
                <w:color w:val="000000"/>
                <w:szCs w:val="21"/>
              </w:rPr>
              <w:t>20.99%</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长江证券股份有限公司</w:t>
            </w:r>
          </w:p>
        </w:tc>
        <w:tc>
          <w:tcPr>
            <w:tcW w:w="1319" w:type="dxa"/>
            <w:vAlign w:val="center"/>
          </w:tcPr>
          <w:p w:rsidR="00422134" w:rsidRDefault="0037703E">
            <w:pPr>
              <w:jc w:val="right"/>
            </w:pPr>
            <w:r>
              <w:rPr>
                <w:color w:val="000000"/>
                <w:szCs w:val="21"/>
              </w:rPr>
              <w:t>33,433,738.68</w:t>
            </w:r>
          </w:p>
        </w:tc>
        <w:tc>
          <w:tcPr>
            <w:tcW w:w="1080" w:type="dxa"/>
            <w:vAlign w:val="center"/>
          </w:tcPr>
          <w:p w:rsidR="00422134" w:rsidRDefault="0037703E">
            <w:pPr>
              <w:jc w:val="right"/>
            </w:pPr>
            <w:r>
              <w:rPr>
                <w:color w:val="000000"/>
                <w:szCs w:val="21"/>
              </w:rPr>
              <w:t>30.58%</w:t>
            </w:r>
          </w:p>
        </w:tc>
        <w:tc>
          <w:tcPr>
            <w:tcW w:w="1143" w:type="dxa"/>
            <w:vAlign w:val="center"/>
          </w:tcPr>
          <w:p w:rsidR="00422134" w:rsidRDefault="0037703E">
            <w:pPr>
              <w:jc w:val="right"/>
            </w:pPr>
            <w:r>
              <w:rPr>
                <w:color w:val="000000"/>
                <w:szCs w:val="21"/>
              </w:rPr>
              <w:t>3,037,100,000.00</w:t>
            </w:r>
          </w:p>
        </w:tc>
        <w:tc>
          <w:tcPr>
            <w:tcW w:w="1197" w:type="dxa"/>
            <w:vAlign w:val="center"/>
          </w:tcPr>
          <w:p w:rsidR="00422134" w:rsidRDefault="0037703E">
            <w:pPr>
              <w:jc w:val="right"/>
            </w:pPr>
            <w:r>
              <w:rPr>
                <w:color w:val="000000"/>
                <w:szCs w:val="21"/>
              </w:rPr>
              <w:t>8.36%</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瑞银证券有限责任公司</w:t>
            </w:r>
          </w:p>
        </w:tc>
        <w:tc>
          <w:tcPr>
            <w:tcW w:w="1319" w:type="dxa"/>
            <w:vAlign w:val="center"/>
          </w:tcPr>
          <w:p w:rsidR="00422134" w:rsidRDefault="0037703E">
            <w:pPr>
              <w:jc w:val="right"/>
            </w:pPr>
            <w:r>
              <w:rPr>
                <w:color w:val="000000"/>
                <w:szCs w:val="21"/>
              </w:rPr>
              <w:t>2,501,500.00</w:t>
            </w:r>
          </w:p>
        </w:tc>
        <w:tc>
          <w:tcPr>
            <w:tcW w:w="1080" w:type="dxa"/>
            <w:vAlign w:val="center"/>
          </w:tcPr>
          <w:p w:rsidR="00422134" w:rsidRDefault="0037703E">
            <w:pPr>
              <w:jc w:val="right"/>
            </w:pPr>
            <w:r>
              <w:rPr>
                <w:color w:val="000000"/>
                <w:szCs w:val="21"/>
              </w:rPr>
              <w:t>2.29%</w:t>
            </w:r>
          </w:p>
        </w:tc>
        <w:tc>
          <w:tcPr>
            <w:tcW w:w="1143" w:type="dxa"/>
            <w:vAlign w:val="center"/>
          </w:tcPr>
          <w:p w:rsidR="00422134" w:rsidRDefault="0037703E">
            <w:pPr>
              <w:jc w:val="right"/>
            </w:pPr>
            <w:r>
              <w:rPr>
                <w:color w:val="000000"/>
                <w:szCs w:val="21"/>
              </w:rPr>
              <w:t>3,059,500,000.00</w:t>
            </w:r>
          </w:p>
        </w:tc>
        <w:tc>
          <w:tcPr>
            <w:tcW w:w="1197" w:type="dxa"/>
            <w:vAlign w:val="center"/>
          </w:tcPr>
          <w:p w:rsidR="00422134" w:rsidRDefault="0037703E">
            <w:pPr>
              <w:jc w:val="right"/>
            </w:pPr>
            <w:r>
              <w:rPr>
                <w:color w:val="000000"/>
                <w:szCs w:val="21"/>
              </w:rPr>
              <w:t>8.42%</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兴业证券股份有限公司</w:t>
            </w:r>
          </w:p>
        </w:tc>
        <w:tc>
          <w:tcPr>
            <w:tcW w:w="1319" w:type="dxa"/>
            <w:vAlign w:val="center"/>
          </w:tcPr>
          <w:p w:rsidR="00422134" w:rsidRDefault="0037703E">
            <w:pPr>
              <w:jc w:val="right"/>
            </w:pPr>
            <w:r>
              <w:rPr>
                <w:color w:val="000000"/>
                <w:szCs w:val="21"/>
              </w:rPr>
              <w:t>11,922,256.71</w:t>
            </w:r>
          </w:p>
        </w:tc>
        <w:tc>
          <w:tcPr>
            <w:tcW w:w="1080" w:type="dxa"/>
            <w:vAlign w:val="center"/>
          </w:tcPr>
          <w:p w:rsidR="00422134" w:rsidRDefault="0037703E">
            <w:pPr>
              <w:jc w:val="right"/>
            </w:pPr>
            <w:r>
              <w:rPr>
                <w:color w:val="000000"/>
                <w:szCs w:val="21"/>
              </w:rPr>
              <w:t>10.90%</w:t>
            </w:r>
          </w:p>
        </w:tc>
        <w:tc>
          <w:tcPr>
            <w:tcW w:w="1143" w:type="dxa"/>
            <w:vAlign w:val="center"/>
          </w:tcPr>
          <w:p w:rsidR="00422134" w:rsidRDefault="0037703E">
            <w:pPr>
              <w:jc w:val="right"/>
            </w:pPr>
            <w:r>
              <w:rPr>
                <w:color w:val="000000"/>
                <w:szCs w:val="21"/>
              </w:rPr>
              <w:t>3,468,700,000.00</w:t>
            </w:r>
          </w:p>
        </w:tc>
        <w:tc>
          <w:tcPr>
            <w:tcW w:w="1197" w:type="dxa"/>
            <w:vAlign w:val="center"/>
          </w:tcPr>
          <w:p w:rsidR="00422134" w:rsidRDefault="0037703E">
            <w:pPr>
              <w:jc w:val="right"/>
            </w:pPr>
            <w:r>
              <w:rPr>
                <w:color w:val="000000"/>
                <w:szCs w:val="21"/>
              </w:rPr>
              <w:t>9.54%</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川财证券有限责任公司</w:t>
            </w:r>
          </w:p>
        </w:tc>
        <w:tc>
          <w:tcPr>
            <w:tcW w:w="1319"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143" w:type="dxa"/>
            <w:vAlign w:val="center"/>
          </w:tcPr>
          <w:p w:rsidR="00422134" w:rsidRDefault="0037703E">
            <w:pPr>
              <w:jc w:val="right"/>
            </w:pPr>
            <w:r>
              <w:rPr>
                <w:color w:val="000000"/>
                <w:szCs w:val="21"/>
              </w:rPr>
              <w:t>919,000,000.00</w:t>
            </w:r>
          </w:p>
        </w:tc>
        <w:tc>
          <w:tcPr>
            <w:tcW w:w="1197" w:type="dxa"/>
            <w:vAlign w:val="center"/>
          </w:tcPr>
          <w:p w:rsidR="00422134" w:rsidRDefault="0037703E">
            <w:pPr>
              <w:jc w:val="right"/>
            </w:pPr>
            <w:r>
              <w:rPr>
                <w:color w:val="000000"/>
                <w:szCs w:val="21"/>
              </w:rPr>
              <w:t>2.53%</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东方证券股份有限公司</w:t>
            </w:r>
          </w:p>
        </w:tc>
        <w:tc>
          <w:tcPr>
            <w:tcW w:w="1319"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143" w:type="dxa"/>
            <w:vAlign w:val="center"/>
          </w:tcPr>
          <w:p w:rsidR="00422134" w:rsidRDefault="0037703E">
            <w:pPr>
              <w:jc w:val="right"/>
            </w:pPr>
            <w:r>
              <w:rPr>
                <w:color w:val="000000"/>
                <w:szCs w:val="21"/>
              </w:rPr>
              <w:t>767,700,000.00</w:t>
            </w:r>
          </w:p>
        </w:tc>
        <w:tc>
          <w:tcPr>
            <w:tcW w:w="1197" w:type="dxa"/>
            <w:vAlign w:val="center"/>
          </w:tcPr>
          <w:p w:rsidR="00422134" w:rsidRDefault="0037703E">
            <w:pPr>
              <w:jc w:val="right"/>
            </w:pPr>
            <w:r>
              <w:rPr>
                <w:color w:val="000000"/>
                <w:szCs w:val="21"/>
              </w:rPr>
              <w:t>2.11%</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申万宏源证券有限公司</w:t>
            </w:r>
          </w:p>
        </w:tc>
        <w:tc>
          <w:tcPr>
            <w:tcW w:w="1319"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143" w:type="dxa"/>
            <w:vAlign w:val="center"/>
          </w:tcPr>
          <w:p w:rsidR="00422134" w:rsidRDefault="0037703E">
            <w:pPr>
              <w:jc w:val="right"/>
            </w:pPr>
            <w:r>
              <w:rPr>
                <w:color w:val="000000"/>
                <w:szCs w:val="21"/>
              </w:rPr>
              <w:t>2,338,500,000.00</w:t>
            </w:r>
          </w:p>
        </w:tc>
        <w:tc>
          <w:tcPr>
            <w:tcW w:w="1197" w:type="dxa"/>
            <w:vAlign w:val="center"/>
          </w:tcPr>
          <w:p w:rsidR="00422134" w:rsidRDefault="0037703E">
            <w:pPr>
              <w:jc w:val="right"/>
            </w:pPr>
            <w:r>
              <w:rPr>
                <w:color w:val="000000"/>
                <w:szCs w:val="21"/>
              </w:rPr>
              <w:t>6.43%</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广发证券股份有限公司</w:t>
            </w:r>
          </w:p>
        </w:tc>
        <w:tc>
          <w:tcPr>
            <w:tcW w:w="1319"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143" w:type="dxa"/>
            <w:vAlign w:val="center"/>
          </w:tcPr>
          <w:p w:rsidR="00422134" w:rsidRDefault="0037703E">
            <w:pPr>
              <w:jc w:val="right"/>
            </w:pPr>
            <w:r>
              <w:rPr>
                <w:color w:val="000000"/>
                <w:szCs w:val="21"/>
              </w:rPr>
              <w:t>4,866,600,000.00</w:t>
            </w:r>
          </w:p>
        </w:tc>
        <w:tc>
          <w:tcPr>
            <w:tcW w:w="1197" w:type="dxa"/>
            <w:vAlign w:val="center"/>
          </w:tcPr>
          <w:p w:rsidR="00422134" w:rsidRDefault="0037703E">
            <w:pPr>
              <w:jc w:val="right"/>
            </w:pPr>
            <w:r>
              <w:rPr>
                <w:color w:val="000000"/>
                <w:szCs w:val="21"/>
              </w:rPr>
              <w:t>13.39%</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r w:rsidR="00422134">
        <w:tc>
          <w:tcPr>
            <w:tcW w:w="1559" w:type="dxa"/>
            <w:vAlign w:val="center"/>
          </w:tcPr>
          <w:p w:rsidR="00422134" w:rsidRDefault="0037703E">
            <w:pPr>
              <w:jc w:val="left"/>
            </w:pPr>
            <w:r>
              <w:rPr>
                <w:color w:val="000000"/>
                <w:szCs w:val="21"/>
              </w:rPr>
              <w:t>西南证券股份有限公司</w:t>
            </w:r>
          </w:p>
        </w:tc>
        <w:tc>
          <w:tcPr>
            <w:tcW w:w="1319" w:type="dxa"/>
            <w:vAlign w:val="center"/>
          </w:tcPr>
          <w:p w:rsidR="00422134" w:rsidRDefault="0037703E">
            <w:pPr>
              <w:jc w:val="right"/>
            </w:pPr>
            <w:r>
              <w:rPr>
                <w:color w:val="000000"/>
                <w:szCs w:val="21"/>
              </w:rPr>
              <w:t>-</w:t>
            </w:r>
          </w:p>
        </w:tc>
        <w:tc>
          <w:tcPr>
            <w:tcW w:w="1080" w:type="dxa"/>
            <w:vAlign w:val="center"/>
          </w:tcPr>
          <w:p w:rsidR="00422134" w:rsidRDefault="0037703E">
            <w:pPr>
              <w:jc w:val="right"/>
            </w:pPr>
            <w:r>
              <w:rPr>
                <w:color w:val="000000"/>
                <w:szCs w:val="21"/>
              </w:rPr>
              <w:t>-</w:t>
            </w:r>
          </w:p>
        </w:tc>
        <w:tc>
          <w:tcPr>
            <w:tcW w:w="1143" w:type="dxa"/>
            <w:vAlign w:val="center"/>
          </w:tcPr>
          <w:p w:rsidR="00422134" w:rsidRDefault="0037703E">
            <w:pPr>
              <w:jc w:val="right"/>
            </w:pPr>
            <w:r>
              <w:rPr>
                <w:color w:val="000000"/>
                <w:szCs w:val="21"/>
              </w:rPr>
              <w:t>3,119,500,000.00</w:t>
            </w:r>
          </w:p>
        </w:tc>
        <w:tc>
          <w:tcPr>
            <w:tcW w:w="1197" w:type="dxa"/>
            <w:vAlign w:val="center"/>
          </w:tcPr>
          <w:p w:rsidR="00422134" w:rsidRDefault="0037703E">
            <w:pPr>
              <w:jc w:val="right"/>
            </w:pPr>
            <w:r>
              <w:rPr>
                <w:color w:val="000000"/>
                <w:szCs w:val="21"/>
              </w:rPr>
              <w:t>8.58%</w:t>
            </w:r>
          </w:p>
        </w:tc>
        <w:tc>
          <w:tcPr>
            <w:tcW w:w="1497" w:type="dxa"/>
            <w:vAlign w:val="center"/>
          </w:tcPr>
          <w:p w:rsidR="00422134" w:rsidRDefault="0037703E">
            <w:pPr>
              <w:jc w:val="right"/>
            </w:pPr>
            <w:r>
              <w:rPr>
                <w:color w:val="000000"/>
                <w:szCs w:val="21"/>
              </w:rPr>
              <w:t>-</w:t>
            </w:r>
          </w:p>
        </w:tc>
        <w:tc>
          <w:tcPr>
            <w:tcW w:w="1203" w:type="dxa"/>
            <w:vAlign w:val="center"/>
          </w:tcPr>
          <w:p w:rsidR="00422134" w:rsidRDefault="0037703E">
            <w:pPr>
              <w:jc w:val="right"/>
            </w:pPr>
            <w:r>
              <w:rPr>
                <w:color w:val="000000"/>
                <w:szCs w:val="21"/>
              </w:rPr>
              <w:t>-</w:t>
            </w:r>
          </w:p>
        </w:tc>
      </w:tr>
    </w:tbl>
    <w:p w:rsidR="00422134" w:rsidRDefault="0037703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、报告期内，本基金新增加交易单元为中信证券股份有限公司和西部证券股份有限公司，其它交易单元未发生变化；</w:t>
      </w:r>
      <w:r>
        <w:rPr>
          <w:kern w:val="0"/>
          <w:sz w:val="24"/>
        </w:rPr>
        <w:t xml:space="preserve">   </w:t>
      </w:r>
    </w:p>
    <w:p w:rsidR="00422134" w:rsidRDefault="0037703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E04655" w:rsidRDefault="0037703E" w:rsidP="00214CDC">
      <w:pPr>
        <w:pStyle w:val="1"/>
        <w:keepNext/>
        <w:keepLines/>
        <w:widowControl w:val="0"/>
        <w:spacing w:beforeLines="100" w:before="312" w:afterLines="100" w:after="312" w:line="360" w:lineRule="auto"/>
        <w:jc w:val="center"/>
        <w:rPr>
          <w:rFonts w:eastAsiaTheme="minorEastAsia"/>
          <w:b/>
          <w:bCs/>
          <w:szCs w:val="24"/>
          <w:lang w:val="en-US"/>
        </w:rPr>
      </w:pPr>
      <w:bookmarkStart w:id="97" w:name="_Toc374532345"/>
      <w:bookmarkEnd w:id="96"/>
      <w:r w:rsidRPr="0037703E">
        <w:rPr>
          <w:rFonts w:hint="eastAsia"/>
          <w:b/>
          <w:bCs/>
          <w:szCs w:val="24"/>
          <w:lang w:val="en-US"/>
        </w:rPr>
        <w:t>§</w:t>
      </w:r>
      <w:r w:rsidR="001320FD" w:rsidRPr="00E04655">
        <w:rPr>
          <w:rFonts w:eastAsiaTheme="minorEastAsia"/>
          <w:b/>
          <w:bCs/>
          <w:szCs w:val="24"/>
          <w:lang w:val="en-US"/>
        </w:rPr>
        <w:t xml:space="preserve">12  </w:t>
      </w:r>
      <w:r w:rsidR="001320FD" w:rsidRPr="00E04655">
        <w:rPr>
          <w:rFonts w:eastAsiaTheme="minorEastAsia" w:hint="eastAsia"/>
          <w:b/>
          <w:bCs/>
          <w:szCs w:val="24"/>
          <w:lang w:val="en-US"/>
        </w:rPr>
        <w:t>影</w:t>
      </w:r>
      <w:bookmarkStart w:id="98" w:name="_GoBack"/>
      <w:bookmarkEnd w:id="98"/>
      <w:r w:rsidR="001320FD" w:rsidRPr="00E04655">
        <w:rPr>
          <w:rFonts w:eastAsiaTheme="minorEastAsia" w:hint="eastAsia"/>
          <w:b/>
          <w:bCs/>
          <w:szCs w:val="24"/>
          <w:lang w:val="en-US"/>
        </w:rPr>
        <w:t>响投资者决策的其他重要信息</w:t>
      </w:r>
      <w:bookmarkEnd w:id="97"/>
    </w:p>
    <w:p w:rsidR="001320FD" w:rsidRPr="00E04655" w:rsidRDefault="001320FD" w:rsidP="001320FD">
      <w:pPr>
        <w:autoSpaceDE w:val="0"/>
        <w:autoSpaceDN w:val="0"/>
        <w:adjustRightInd w:val="0"/>
        <w:spacing w:line="360" w:lineRule="auto"/>
        <w:jc w:val="left"/>
        <w:rPr>
          <w:rFonts w:ascii="宋体" w:hAnsi="宋体"/>
          <w:b/>
          <w:bCs/>
          <w:color w:val="000000"/>
          <w:kern w:val="0"/>
          <w:sz w:val="24"/>
        </w:rPr>
      </w:pPr>
      <w:r w:rsidRPr="00E04655">
        <w:rPr>
          <w:rFonts w:ascii="宋体" w:hAnsi="宋体"/>
          <w:b/>
          <w:bCs/>
          <w:color w:val="000000"/>
          <w:kern w:val="0"/>
          <w:sz w:val="24"/>
        </w:rPr>
        <w:t xml:space="preserve">12.1 </w:t>
      </w:r>
      <w:r w:rsidRPr="00E04655">
        <w:rPr>
          <w:rFonts w:ascii="宋体" w:hAnsi="宋体" w:hint="eastAsia"/>
          <w:b/>
          <w:bCs/>
          <w:color w:val="000000"/>
          <w:kern w:val="0"/>
          <w:sz w:val="24"/>
        </w:rPr>
        <w:t>影响投资者决策的其他重要信息</w:t>
      </w:r>
    </w:p>
    <w:p w:rsidR="00422134" w:rsidRPr="00E04655" w:rsidRDefault="0037703E">
      <w:pPr>
        <w:spacing w:line="360" w:lineRule="auto"/>
        <w:ind w:firstLineChars="200" w:firstLine="480"/>
        <w:rPr>
          <w:rFonts w:ascii="宋体" w:hAnsi="宋体"/>
          <w:color w:val="000000"/>
          <w:sz w:val="24"/>
        </w:rPr>
      </w:pPr>
      <w:r w:rsidRPr="00E04655">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E04655" w:rsidRDefault="001320FD" w:rsidP="001320FD">
      <w:pPr>
        <w:spacing w:line="360" w:lineRule="auto"/>
        <w:ind w:firstLineChars="200" w:firstLine="480"/>
        <w:rPr>
          <w:rFonts w:ascii="宋体" w:hAnsi="宋体"/>
          <w:color w:val="000000"/>
          <w:sz w:val="24"/>
        </w:rPr>
      </w:pPr>
      <w:r w:rsidRPr="00E04655">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E04655">
      <w:rPr>
        <w:noProof/>
        <w:kern w:val="0"/>
        <w:szCs w:val="21"/>
      </w:rPr>
      <w:t>33</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E04655">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交银施罗德荣祥保本混合型证券投资基金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03E"/>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134"/>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655"/>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14ADFD8B-8833-4630-92B3-7729DBFC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TotalTime>
  <Pages>34</Pages>
  <Words>3740</Words>
  <Characters>21324</Characters>
  <Application>Microsoft Office Word</Application>
  <DocSecurity>0</DocSecurity>
  <Lines>177</Lines>
  <Paragraphs>50</Paragraphs>
  <ScaleCrop>false</ScaleCrop>
  <Company/>
  <LinksUpToDate>false</LinksUpToDate>
  <CharactersWithSpaces>25014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555</cp:revision>
  <cp:lastPrinted>2007-07-19T00:46:00Z</cp:lastPrinted>
  <dcterms:created xsi:type="dcterms:W3CDTF">2013-10-15T01:57:00Z</dcterms:created>
  <dcterms:modified xsi:type="dcterms:W3CDTF">2019-03-26T08:07:00Z</dcterms:modified>
</cp:coreProperties>
</file>