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交银施罗德股息优化混合型证券投资基金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6710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6710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413707" w:rsidRDefault="00532CE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13707" w:rsidRDefault="00532CE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13707" w:rsidRDefault="00532CE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13707" w:rsidRDefault="00532CED">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FF5BB0"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67102" w:history="1">
        <w:r w:rsidR="00FF5BB0" w:rsidRPr="00DA320C">
          <w:rPr>
            <w:rStyle w:val="a9"/>
            <w:b/>
            <w:bCs/>
            <w:noProof/>
          </w:rPr>
          <w:t xml:space="preserve">§1  </w:t>
        </w:r>
        <w:r w:rsidR="00FF5BB0" w:rsidRPr="00DA320C">
          <w:rPr>
            <w:rStyle w:val="a9"/>
            <w:rFonts w:hint="eastAsia"/>
            <w:b/>
            <w:bCs/>
            <w:noProof/>
          </w:rPr>
          <w:t>重要提示及目录</w:t>
        </w:r>
        <w:r w:rsidR="00FF5BB0">
          <w:rPr>
            <w:noProof/>
            <w:webHidden/>
          </w:rPr>
          <w:tab/>
        </w:r>
        <w:r w:rsidR="00FF5BB0">
          <w:rPr>
            <w:noProof/>
            <w:webHidden/>
          </w:rPr>
          <w:fldChar w:fldCharType="begin"/>
        </w:r>
        <w:r w:rsidR="00FF5BB0">
          <w:rPr>
            <w:noProof/>
            <w:webHidden/>
          </w:rPr>
          <w:instrText xml:space="preserve"> PAGEREF _Toc4167102 \h </w:instrText>
        </w:r>
        <w:r w:rsidR="00FF5BB0">
          <w:rPr>
            <w:noProof/>
            <w:webHidden/>
          </w:rPr>
        </w:r>
        <w:r w:rsidR="00FF5BB0">
          <w:rPr>
            <w:noProof/>
            <w:webHidden/>
          </w:rPr>
          <w:fldChar w:fldCharType="separate"/>
        </w:r>
        <w:r w:rsidR="00FF5BB0">
          <w:rPr>
            <w:noProof/>
            <w:webHidden/>
          </w:rPr>
          <w:t>2</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03" w:history="1">
        <w:r w:rsidR="00FF5BB0" w:rsidRPr="00DA320C">
          <w:rPr>
            <w:rStyle w:val="a9"/>
            <w:noProof/>
          </w:rPr>
          <w:t xml:space="preserve">1.1 </w:t>
        </w:r>
        <w:r w:rsidR="00FF5BB0" w:rsidRPr="00DA320C">
          <w:rPr>
            <w:rStyle w:val="a9"/>
            <w:rFonts w:hint="eastAsia"/>
            <w:noProof/>
          </w:rPr>
          <w:t>重要提示</w:t>
        </w:r>
        <w:r w:rsidR="00FF5BB0">
          <w:rPr>
            <w:noProof/>
            <w:webHidden/>
          </w:rPr>
          <w:tab/>
        </w:r>
        <w:r w:rsidR="00FF5BB0">
          <w:rPr>
            <w:noProof/>
            <w:webHidden/>
          </w:rPr>
          <w:fldChar w:fldCharType="begin"/>
        </w:r>
        <w:r w:rsidR="00FF5BB0">
          <w:rPr>
            <w:noProof/>
            <w:webHidden/>
          </w:rPr>
          <w:instrText xml:space="preserve"> PAGEREF _Toc4167103 \h </w:instrText>
        </w:r>
        <w:r w:rsidR="00FF5BB0">
          <w:rPr>
            <w:noProof/>
            <w:webHidden/>
          </w:rPr>
        </w:r>
        <w:r w:rsidR="00FF5BB0">
          <w:rPr>
            <w:noProof/>
            <w:webHidden/>
          </w:rPr>
          <w:fldChar w:fldCharType="separate"/>
        </w:r>
        <w:r w:rsidR="00FF5BB0">
          <w:rPr>
            <w:noProof/>
            <w:webHidden/>
          </w:rPr>
          <w:t>2</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104" w:history="1">
        <w:r w:rsidR="00FF5BB0" w:rsidRPr="00DA320C">
          <w:rPr>
            <w:rStyle w:val="a9"/>
            <w:b/>
            <w:bCs/>
            <w:noProof/>
          </w:rPr>
          <w:t xml:space="preserve">§2  </w:t>
        </w:r>
        <w:r w:rsidR="00FF5BB0" w:rsidRPr="00DA320C">
          <w:rPr>
            <w:rStyle w:val="a9"/>
            <w:rFonts w:hint="eastAsia"/>
            <w:b/>
            <w:bCs/>
            <w:noProof/>
          </w:rPr>
          <w:t>基金简介</w:t>
        </w:r>
        <w:r w:rsidR="00FF5BB0">
          <w:rPr>
            <w:noProof/>
            <w:webHidden/>
          </w:rPr>
          <w:tab/>
        </w:r>
        <w:r w:rsidR="00FF5BB0">
          <w:rPr>
            <w:noProof/>
            <w:webHidden/>
          </w:rPr>
          <w:fldChar w:fldCharType="begin"/>
        </w:r>
        <w:r w:rsidR="00FF5BB0">
          <w:rPr>
            <w:noProof/>
            <w:webHidden/>
          </w:rPr>
          <w:instrText xml:space="preserve"> PAGEREF _Toc4167104 \h </w:instrText>
        </w:r>
        <w:r w:rsidR="00FF5BB0">
          <w:rPr>
            <w:noProof/>
            <w:webHidden/>
          </w:rPr>
        </w:r>
        <w:r w:rsidR="00FF5BB0">
          <w:rPr>
            <w:noProof/>
            <w:webHidden/>
          </w:rPr>
          <w:fldChar w:fldCharType="separate"/>
        </w:r>
        <w:r w:rsidR="00FF5BB0">
          <w:rPr>
            <w:noProof/>
            <w:webHidden/>
          </w:rPr>
          <w:t>7</w:t>
        </w:r>
        <w:r w:rsidR="00FF5BB0">
          <w:rPr>
            <w:noProof/>
            <w:webHidden/>
          </w:rPr>
          <w:fldChar w:fldCharType="end"/>
        </w:r>
      </w:hyperlink>
    </w:p>
    <w:p w:rsidR="00FF5BB0" w:rsidRDefault="001D17B9" w:rsidP="00FF5BB0">
      <w:pPr>
        <w:pStyle w:val="22"/>
        <w:tabs>
          <w:tab w:val="left" w:pos="840"/>
        </w:tabs>
        <w:rPr>
          <w:rFonts w:asciiTheme="minorHAnsi" w:eastAsiaTheme="minorEastAsia" w:hAnsiTheme="minorHAnsi" w:cstheme="minorBidi"/>
          <w:noProof/>
          <w:kern w:val="2"/>
          <w:szCs w:val="22"/>
        </w:rPr>
      </w:pPr>
      <w:hyperlink w:anchor="_Toc4167105" w:history="1">
        <w:r w:rsidR="00FF5BB0" w:rsidRPr="00DA320C">
          <w:rPr>
            <w:rStyle w:val="a9"/>
            <w:noProof/>
          </w:rPr>
          <w:t>2.1</w:t>
        </w:r>
        <w:r w:rsidR="00FF5BB0">
          <w:rPr>
            <w:rFonts w:asciiTheme="minorHAnsi" w:eastAsiaTheme="minorEastAsia" w:hAnsiTheme="minorHAnsi" w:cstheme="minorBidi"/>
            <w:noProof/>
            <w:kern w:val="2"/>
            <w:szCs w:val="22"/>
          </w:rPr>
          <w:tab/>
        </w:r>
        <w:r w:rsidR="00FF5BB0" w:rsidRPr="00DA320C">
          <w:rPr>
            <w:rStyle w:val="a9"/>
            <w:rFonts w:hint="eastAsia"/>
            <w:noProof/>
          </w:rPr>
          <w:t>基金基本情况</w:t>
        </w:r>
        <w:r w:rsidR="00FF5BB0">
          <w:rPr>
            <w:noProof/>
            <w:webHidden/>
          </w:rPr>
          <w:tab/>
        </w:r>
        <w:r w:rsidR="00FF5BB0">
          <w:rPr>
            <w:noProof/>
            <w:webHidden/>
          </w:rPr>
          <w:fldChar w:fldCharType="begin"/>
        </w:r>
        <w:r w:rsidR="00FF5BB0">
          <w:rPr>
            <w:noProof/>
            <w:webHidden/>
          </w:rPr>
          <w:instrText xml:space="preserve"> PAGEREF _Toc4167105 \h </w:instrText>
        </w:r>
        <w:r w:rsidR="00FF5BB0">
          <w:rPr>
            <w:noProof/>
            <w:webHidden/>
          </w:rPr>
        </w:r>
        <w:r w:rsidR="00FF5BB0">
          <w:rPr>
            <w:noProof/>
            <w:webHidden/>
          </w:rPr>
          <w:fldChar w:fldCharType="separate"/>
        </w:r>
        <w:r w:rsidR="00FF5BB0">
          <w:rPr>
            <w:noProof/>
            <w:webHidden/>
          </w:rPr>
          <w:t>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06" w:history="1">
        <w:r w:rsidR="00FF5BB0" w:rsidRPr="00DA320C">
          <w:rPr>
            <w:rStyle w:val="a9"/>
            <w:noProof/>
          </w:rPr>
          <w:t xml:space="preserve">2.2 </w:t>
        </w:r>
        <w:r w:rsidR="00FF5BB0" w:rsidRPr="00DA320C">
          <w:rPr>
            <w:rStyle w:val="a9"/>
            <w:rFonts w:hint="eastAsia"/>
            <w:noProof/>
          </w:rPr>
          <w:t>基金产品说明</w:t>
        </w:r>
        <w:r w:rsidR="00FF5BB0">
          <w:rPr>
            <w:noProof/>
            <w:webHidden/>
          </w:rPr>
          <w:tab/>
        </w:r>
        <w:r w:rsidR="00FF5BB0">
          <w:rPr>
            <w:noProof/>
            <w:webHidden/>
          </w:rPr>
          <w:fldChar w:fldCharType="begin"/>
        </w:r>
        <w:r w:rsidR="00FF5BB0">
          <w:rPr>
            <w:noProof/>
            <w:webHidden/>
          </w:rPr>
          <w:instrText xml:space="preserve"> PAGEREF _Toc4167106 \h </w:instrText>
        </w:r>
        <w:r w:rsidR="00FF5BB0">
          <w:rPr>
            <w:noProof/>
            <w:webHidden/>
          </w:rPr>
        </w:r>
        <w:r w:rsidR="00FF5BB0">
          <w:rPr>
            <w:noProof/>
            <w:webHidden/>
          </w:rPr>
          <w:fldChar w:fldCharType="separate"/>
        </w:r>
        <w:r w:rsidR="00FF5BB0">
          <w:rPr>
            <w:noProof/>
            <w:webHidden/>
          </w:rPr>
          <w:t>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07" w:history="1">
        <w:r w:rsidR="00FF5BB0" w:rsidRPr="00DA320C">
          <w:rPr>
            <w:rStyle w:val="a9"/>
            <w:noProof/>
          </w:rPr>
          <w:t xml:space="preserve">2.3 </w:t>
        </w:r>
        <w:r w:rsidR="00FF5BB0" w:rsidRPr="00DA320C">
          <w:rPr>
            <w:rStyle w:val="a9"/>
            <w:rFonts w:hint="eastAsia"/>
            <w:noProof/>
          </w:rPr>
          <w:t>基金管理人和基金托管人</w:t>
        </w:r>
        <w:r w:rsidR="00FF5BB0">
          <w:rPr>
            <w:noProof/>
            <w:webHidden/>
          </w:rPr>
          <w:tab/>
        </w:r>
        <w:r w:rsidR="00FF5BB0">
          <w:rPr>
            <w:noProof/>
            <w:webHidden/>
          </w:rPr>
          <w:fldChar w:fldCharType="begin"/>
        </w:r>
        <w:r w:rsidR="00FF5BB0">
          <w:rPr>
            <w:noProof/>
            <w:webHidden/>
          </w:rPr>
          <w:instrText xml:space="preserve"> PAGEREF _Toc4167107 \h </w:instrText>
        </w:r>
        <w:r w:rsidR="00FF5BB0">
          <w:rPr>
            <w:noProof/>
            <w:webHidden/>
          </w:rPr>
        </w:r>
        <w:r w:rsidR="00FF5BB0">
          <w:rPr>
            <w:noProof/>
            <w:webHidden/>
          </w:rPr>
          <w:fldChar w:fldCharType="separate"/>
        </w:r>
        <w:r w:rsidR="00FF5BB0">
          <w:rPr>
            <w:noProof/>
            <w:webHidden/>
          </w:rPr>
          <w:t>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08" w:history="1">
        <w:r w:rsidR="00FF5BB0" w:rsidRPr="00DA320C">
          <w:rPr>
            <w:rStyle w:val="a9"/>
            <w:noProof/>
          </w:rPr>
          <w:t xml:space="preserve">2.4 </w:t>
        </w:r>
        <w:r w:rsidR="00FF5BB0" w:rsidRPr="00DA320C">
          <w:rPr>
            <w:rStyle w:val="a9"/>
            <w:rFonts w:hint="eastAsia"/>
            <w:noProof/>
          </w:rPr>
          <w:t>信息披露方式</w:t>
        </w:r>
        <w:r w:rsidR="00FF5BB0">
          <w:rPr>
            <w:noProof/>
            <w:webHidden/>
          </w:rPr>
          <w:tab/>
        </w:r>
        <w:r w:rsidR="00FF5BB0">
          <w:rPr>
            <w:noProof/>
            <w:webHidden/>
          </w:rPr>
          <w:fldChar w:fldCharType="begin"/>
        </w:r>
        <w:r w:rsidR="00FF5BB0">
          <w:rPr>
            <w:noProof/>
            <w:webHidden/>
          </w:rPr>
          <w:instrText xml:space="preserve"> PAGEREF _Toc4167108 \h </w:instrText>
        </w:r>
        <w:r w:rsidR="00FF5BB0">
          <w:rPr>
            <w:noProof/>
            <w:webHidden/>
          </w:rPr>
        </w:r>
        <w:r w:rsidR="00FF5BB0">
          <w:rPr>
            <w:noProof/>
            <w:webHidden/>
          </w:rPr>
          <w:fldChar w:fldCharType="separate"/>
        </w:r>
        <w:r w:rsidR="00FF5BB0">
          <w:rPr>
            <w:noProof/>
            <w:webHidden/>
          </w:rPr>
          <w:t>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09" w:history="1">
        <w:r w:rsidR="00FF5BB0" w:rsidRPr="00DA320C">
          <w:rPr>
            <w:rStyle w:val="a9"/>
            <w:noProof/>
          </w:rPr>
          <w:t xml:space="preserve">2.5 </w:t>
        </w:r>
        <w:r w:rsidR="00FF5BB0" w:rsidRPr="00DA320C">
          <w:rPr>
            <w:rStyle w:val="a9"/>
            <w:rFonts w:hint="eastAsia"/>
            <w:noProof/>
          </w:rPr>
          <w:t>其他相关资料</w:t>
        </w:r>
        <w:r w:rsidR="00FF5BB0">
          <w:rPr>
            <w:noProof/>
            <w:webHidden/>
          </w:rPr>
          <w:tab/>
        </w:r>
        <w:r w:rsidR="00FF5BB0">
          <w:rPr>
            <w:noProof/>
            <w:webHidden/>
          </w:rPr>
          <w:fldChar w:fldCharType="begin"/>
        </w:r>
        <w:r w:rsidR="00FF5BB0">
          <w:rPr>
            <w:noProof/>
            <w:webHidden/>
          </w:rPr>
          <w:instrText xml:space="preserve"> PAGEREF _Toc4167109 \h </w:instrText>
        </w:r>
        <w:r w:rsidR="00FF5BB0">
          <w:rPr>
            <w:noProof/>
            <w:webHidden/>
          </w:rPr>
        </w:r>
        <w:r w:rsidR="00FF5BB0">
          <w:rPr>
            <w:noProof/>
            <w:webHidden/>
          </w:rPr>
          <w:fldChar w:fldCharType="separate"/>
        </w:r>
        <w:r w:rsidR="00FF5BB0">
          <w:rPr>
            <w:noProof/>
            <w:webHidden/>
          </w:rPr>
          <w:t>8</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110" w:history="1">
        <w:r w:rsidR="00FF5BB0" w:rsidRPr="00DA320C">
          <w:rPr>
            <w:rStyle w:val="a9"/>
            <w:b/>
            <w:bCs/>
            <w:noProof/>
          </w:rPr>
          <w:t xml:space="preserve">§3 </w:t>
        </w:r>
        <w:r w:rsidR="00FF5BB0" w:rsidRPr="00DA320C">
          <w:rPr>
            <w:rStyle w:val="a9"/>
            <w:rFonts w:hint="eastAsia"/>
            <w:b/>
            <w:bCs/>
            <w:noProof/>
          </w:rPr>
          <w:t>主要财务指标、基金净值表现及利润分配情况</w:t>
        </w:r>
        <w:r w:rsidR="00FF5BB0">
          <w:rPr>
            <w:noProof/>
            <w:webHidden/>
          </w:rPr>
          <w:tab/>
        </w:r>
        <w:r w:rsidR="00FF5BB0">
          <w:rPr>
            <w:noProof/>
            <w:webHidden/>
          </w:rPr>
          <w:fldChar w:fldCharType="begin"/>
        </w:r>
        <w:r w:rsidR="00FF5BB0">
          <w:rPr>
            <w:noProof/>
            <w:webHidden/>
          </w:rPr>
          <w:instrText xml:space="preserve"> PAGEREF _Toc4167110 \h </w:instrText>
        </w:r>
        <w:r w:rsidR="00FF5BB0">
          <w:rPr>
            <w:noProof/>
            <w:webHidden/>
          </w:rPr>
        </w:r>
        <w:r w:rsidR="00FF5BB0">
          <w:rPr>
            <w:noProof/>
            <w:webHidden/>
          </w:rPr>
          <w:fldChar w:fldCharType="separate"/>
        </w:r>
        <w:r w:rsidR="00FF5BB0">
          <w:rPr>
            <w:noProof/>
            <w:webHidden/>
          </w:rPr>
          <w:t>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11" w:history="1">
        <w:r w:rsidR="00FF5BB0" w:rsidRPr="00DA320C">
          <w:rPr>
            <w:rStyle w:val="a9"/>
            <w:noProof/>
          </w:rPr>
          <w:t xml:space="preserve">3.1 </w:t>
        </w:r>
        <w:r w:rsidR="00FF5BB0" w:rsidRPr="00DA320C">
          <w:rPr>
            <w:rStyle w:val="a9"/>
            <w:rFonts w:hint="eastAsia"/>
            <w:noProof/>
          </w:rPr>
          <w:t>主要会计数据和财务指标</w:t>
        </w:r>
        <w:r w:rsidR="00FF5BB0">
          <w:rPr>
            <w:noProof/>
            <w:webHidden/>
          </w:rPr>
          <w:tab/>
        </w:r>
        <w:r w:rsidR="00FF5BB0">
          <w:rPr>
            <w:noProof/>
            <w:webHidden/>
          </w:rPr>
          <w:fldChar w:fldCharType="begin"/>
        </w:r>
        <w:r w:rsidR="00FF5BB0">
          <w:rPr>
            <w:noProof/>
            <w:webHidden/>
          </w:rPr>
          <w:instrText xml:space="preserve"> PAGEREF _Toc4167111 \h </w:instrText>
        </w:r>
        <w:r w:rsidR="00FF5BB0">
          <w:rPr>
            <w:noProof/>
            <w:webHidden/>
          </w:rPr>
        </w:r>
        <w:r w:rsidR="00FF5BB0">
          <w:rPr>
            <w:noProof/>
            <w:webHidden/>
          </w:rPr>
          <w:fldChar w:fldCharType="separate"/>
        </w:r>
        <w:r w:rsidR="00FF5BB0">
          <w:rPr>
            <w:noProof/>
            <w:webHidden/>
          </w:rPr>
          <w:t>9</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12" w:history="1">
        <w:r w:rsidR="00FF5BB0" w:rsidRPr="00DA320C">
          <w:rPr>
            <w:rStyle w:val="a9"/>
            <w:noProof/>
          </w:rPr>
          <w:t xml:space="preserve">3.2 </w:t>
        </w:r>
        <w:r w:rsidR="00FF5BB0" w:rsidRPr="00DA320C">
          <w:rPr>
            <w:rStyle w:val="a9"/>
            <w:rFonts w:hint="eastAsia"/>
            <w:noProof/>
          </w:rPr>
          <w:t>基金净值表现</w:t>
        </w:r>
        <w:r w:rsidR="00FF5BB0">
          <w:rPr>
            <w:noProof/>
            <w:webHidden/>
          </w:rPr>
          <w:tab/>
        </w:r>
        <w:r w:rsidR="00FF5BB0">
          <w:rPr>
            <w:noProof/>
            <w:webHidden/>
          </w:rPr>
          <w:fldChar w:fldCharType="begin"/>
        </w:r>
        <w:r w:rsidR="00FF5BB0">
          <w:rPr>
            <w:noProof/>
            <w:webHidden/>
          </w:rPr>
          <w:instrText xml:space="preserve"> PAGEREF _Toc4167112 \h </w:instrText>
        </w:r>
        <w:r w:rsidR="00FF5BB0">
          <w:rPr>
            <w:noProof/>
            <w:webHidden/>
          </w:rPr>
        </w:r>
        <w:r w:rsidR="00FF5BB0">
          <w:rPr>
            <w:noProof/>
            <w:webHidden/>
          </w:rPr>
          <w:fldChar w:fldCharType="separate"/>
        </w:r>
        <w:r w:rsidR="00FF5BB0">
          <w:rPr>
            <w:noProof/>
            <w:webHidden/>
          </w:rPr>
          <w:t>9</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14" w:history="1">
        <w:r w:rsidR="00FF5BB0" w:rsidRPr="00DA320C">
          <w:rPr>
            <w:rStyle w:val="a9"/>
            <w:noProof/>
          </w:rPr>
          <w:t>3.3</w:t>
        </w:r>
        <w:r w:rsidR="00FF5BB0">
          <w:rPr>
            <w:rStyle w:val="a9"/>
            <w:noProof/>
          </w:rPr>
          <w:t xml:space="preserve"> </w:t>
        </w:r>
        <w:r w:rsidR="00FF5BB0" w:rsidRPr="00DA320C">
          <w:rPr>
            <w:rStyle w:val="a9"/>
            <w:rFonts w:hint="eastAsia"/>
            <w:noProof/>
          </w:rPr>
          <w:t>过去三年基金的利润分配情况</w:t>
        </w:r>
        <w:r w:rsidR="00FF5BB0">
          <w:rPr>
            <w:noProof/>
            <w:webHidden/>
          </w:rPr>
          <w:tab/>
        </w:r>
        <w:r w:rsidR="00FF5BB0">
          <w:rPr>
            <w:noProof/>
            <w:webHidden/>
          </w:rPr>
          <w:fldChar w:fldCharType="begin"/>
        </w:r>
        <w:r w:rsidR="00FF5BB0">
          <w:rPr>
            <w:noProof/>
            <w:webHidden/>
          </w:rPr>
          <w:instrText xml:space="preserve"> PAGEREF _Toc4167114 \h </w:instrText>
        </w:r>
        <w:r w:rsidR="00FF5BB0">
          <w:rPr>
            <w:noProof/>
            <w:webHidden/>
          </w:rPr>
        </w:r>
        <w:r w:rsidR="00FF5BB0">
          <w:rPr>
            <w:noProof/>
            <w:webHidden/>
          </w:rPr>
          <w:fldChar w:fldCharType="separate"/>
        </w:r>
        <w:r w:rsidR="00FF5BB0">
          <w:rPr>
            <w:noProof/>
            <w:webHidden/>
          </w:rPr>
          <w:t>11</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115" w:history="1">
        <w:r w:rsidR="00FF5BB0" w:rsidRPr="00DA320C">
          <w:rPr>
            <w:rStyle w:val="a9"/>
            <w:b/>
            <w:bCs/>
            <w:noProof/>
          </w:rPr>
          <w:t xml:space="preserve">§4  </w:t>
        </w:r>
        <w:r w:rsidR="00FF5BB0" w:rsidRPr="00DA320C">
          <w:rPr>
            <w:rStyle w:val="a9"/>
            <w:rFonts w:hint="eastAsia"/>
            <w:b/>
            <w:bCs/>
            <w:noProof/>
          </w:rPr>
          <w:t>管理人报告</w:t>
        </w:r>
        <w:r w:rsidR="00FF5BB0">
          <w:rPr>
            <w:noProof/>
            <w:webHidden/>
          </w:rPr>
          <w:tab/>
        </w:r>
        <w:r w:rsidR="00FF5BB0">
          <w:rPr>
            <w:noProof/>
            <w:webHidden/>
          </w:rPr>
          <w:fldChar w:fldCharType="begin"/>
        </w:r>
        <w:r w:rsidR="00FF5BB0">
          <w:rPr>
            <w:noProof/>
            <w:webHidden/>
          </w:rPr>
          <w:instrText xml:space="preserve"> PAGEREF _Toc4167115 \h </w:instrText>
        </w:r>
        <w:r w:rsidR="00FF5BB0">
          <w:rPr>
            <w:noProof/>
            <w:webHidden/>
          </w:rPr>
        </w:r>
        <w:r w:rsidR="00FF5BB0">
          <w:rPr>
            <w:noProof/>
            <w:webHidden/>
          </w:rPr>
          <w:fldChar w:fldCharType="separate"/>
        </w:r>
        <w:r w:rsidR="00FF5BB0">
          <w:rPr>
            <w:noProof/>
            <w:webHidden/>
          </w:rPr>
          <w:t>11</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16" w:history="1">
        <w:r w:rsidR="00FF5BB0" w:rsidRPr="00DA320C">
          <w:rPr>
            <w:rStyle w:val="a9"/>
            <w:noProof/>
          </w:rPr>
          <w:t xml:space="preserve">4.1 </w:t>
        </w:r>
        <w:r w:rsidR="00FF5BB0" w:rsidRPr="00DA320C">
          <w:rPr>
            <w:rStyle w:val="a9"/>
            <w:rFonts w:hint="eastAsia"/>
            <w:noProof/>
          </w:rPr>
          <w:t>基金管理人及基金经理情况</w:t>
        </w:r>
        <w:r w:rsidR="00FF5BB0">
          <w:rPr>
            <w:noProof/>
            <w:webHidden/>
          </w:rPr>
          <w:tab/>
        </w:r>
        <w:r w:rsidR="00FF5BB0">
          <w:rPr>
            <w:noProof/>
            <w:webHidden/>
          </w:rPr>
          <w:fldChar w:fldCharType="begin"/>
        </w:r>
        <w:r w:rsidR="00FF5BB0">
          <w:rPr>
            <w:noProof/>
            <w:webHidden/>
          </w:rPr>
          <w:instrText xml:space="preserve"> PAGEREF _Toc4167116 \h </w:instrText>
        </w:r>
        <w:r w:rsidR="00FF5BB0">
          <w:rPr>
            <w:noProof/>
            <w:webHidden/>
          </w:rPr>
        </w:r>
        <w:r w:rsidR="00FF5BB0">
          <w:rPr>
            <w:noProof/>
            <w:webHidden/>
          </w:rPr>
          <w:fldChar w:fldCharType="separate"/>
        </w:r>
        <w:r w:rsidR="00FF5BB0">
          <w:rPr>
            <w:noProof/>
            <w:webHidden/>
          </w:rPr>
          <w:t>11</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19" w:history="1">
        <w:r w:rsidR="00FF5BB0" w:rsidRPr="00DA320C">
          <w:rPr>
            <w:rStyle w:val="a9"/>
            <w:noProof/>
          </w:rPr>
          <w:t xml:space="preserve">4.2 </w:t>
        </w:r>
        <w:r w:rsidR="00FF5BB0" w:rsidRPr="00DA320C">
          <w:rPr>
            <w:rStyle w:val="a9"/>
            <w:rFonts w:hint="eastAsia"/>
            <w:noProof/>
          </w:rPr>
          <w:t>管理人对报告期内本基金运作遵规守信情况的说明</w:t>
        </w:r>
        <w:r w:rsidR="00FF5BB0">
          <w:rPr>
            <w:noProof/>
            <w:webHidden/>
          </w:rPr>
          <w:tab/>
        </w:r>
        <w:r w:rsidR="00FF5BB0">
          <w:rPr>
            <w:noProof/>
            <w:webHidden/>
          </w:rPr>
          <w:fldChar w:fldCharType="begin"/>
        </w:r>
        <w:r w:rsidR="00FF5BB0">
          <w:rPr>
            <w:noProof/>
            <w:webHidden/>
          </w:rPr>
          <w:instrText xml:space="preserve"> PAGEREF _Toc4167119 \h </w:instrText>
        </w:r>
        <w:r w:rsidR="00FF5BB0">
          <w:rPr>
            <w:noProof/>
            <w:webHidden/>
          </w:rPr>
        </w:r>
        <w:r w:rsidR="00FF5BB0">
          <w:rPr>
            <w:noProof/>
            <w:webHidden/>
          </w:rPr>
          <w:fldChar w:fldCharType="separate"/>
        </w:r>
        <w:r w:rsidR="00FF5BB0">
          <w:rPr>
            <w:noProof/>
            <w:webHidden/>
          </w:rPr>
          <w:t>12</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20" w:history="1">
        <w:r w:rsidR="00FF5BB0" w:rsidRPr="00DA320C">
          <w:rPr>
            <w:rStyle w:val="a9"/>
            <w:noProof/>
          </w:rPr>
          <w:t xml:space="preserve">4.3 </w:t>
        </w:r>
        <w:r w:rsidR="00FF5BB0" w:rsidRPr="00DA320C">
          <w:rPr>
            <w:rStyle w:val="a9"/>
            <w:rFonts w:hint="eastAsia"/>
            <w:noProof/>
          </w:rPr>
          <w:t>管理人对报告期内公平交易情况的专项说明</w:t>
        </w:r>
        <w:r w:rsidR="00FF5BB0">
          <w:rPr>
            <w:noProof/>
            <w:webHidden/>
          </w:rPr>
          <w:tab/>
        </w:r>
        <w:r w:rsidR="00FF5BB0">
          <w:rPr>
            <w:noProof/>
            <w:webHidden/>
          </w:rPr>
          <w:fldChar w:fldCharType="begin"/>
        </w:r>
        <w:r w:rsidR="00FF5BB0">
          <w:rPr>
            <w:noProof/>
            <w:webHidden/>
          </w:rPr>
          <w:instrText xml:space="preserve"> PAGEREF _Toc4167120 \h </w:instrText>
        </w:r>
        <w:r w:rsidR="00FF5BB0">
          <w:rPr>
            <w:noProof/>
            <w:webHidden/>
          </w:rPr>
        </w:r>
        <w:r w:rsidR="00FF5BB0">
          <w:rPr>
            <w:noProof/>
            <w:webHidden/>
          </w:rPr>
          <w:fldChar w:fldCharType="separate"/>
        </w:r>
        <w:r w:rsidR="00FF5BB0">
          <w:rPr>
            <w:noProof/>
            <w:webHidden/>
          </w:rPr>
          <w:t>12</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24" w:history="1">
        <w:r w:rsidR="00FF5BB0" w:rsidRPr="00DA320C">
          <w:rPr>
            <w:rStyle w:val="a9"/>
            <w:noProof/>
          </w:rPr>
          <w:t xml:space="preserve">4.4 </w:t>
        </w:r>
        <w:r w:rsidR="00FF5BB0" w:rsidRPr="00DA320C">
          <w:rPr>
            <w:rStyle w:val="a9"/>
            <w:rFonts w:hint="eastAsia"/>
            <w:noProof/>
          </w:rPr>
          <w:t>管理人对报告期内基金的投资策略和业绩表现的说明</w:t>
        </w:r>
        <w:r w:rsidR="00FF5BB0">
          <w:rPr>
            <w:noProof/>
            <w:webHidden/>
          </w:rPr>
          <w:tab/>
        </w:r>
        <w:r w:rsidR="00FF5BB0">
          <w:rPr>
            <w:noProof/>
            <w:webHidden/>
          </w:rPr>
          <w:fldChar w:fldCharType="begin"/>
        </w:r>
        <w:r w:rsidR="00FF5BB0">
          <w:rPr>
            <w:noProof/>
            <w:webHidden/>
          </w:rPr>
          <w:instrText xml:space="preserve"> PAGEREF _Toc4167124 \h </w:instrText>
        </w:r>
        <w:r w:rsidR="00FF5BB0">
          <w:rPr>
            <w:noProof/>
            <w:webHidden/>
          </w:rPr>
        </w:r>
        <w:r w:rsidR="00FF5BB0">
          <w:rPr>
            <w:noProof/>
            <w:webHidden/>
          </w:rPr>
          <w:fldChar w:fldCharType="separate"/>
        </w:r>
        <w:r w:rsidR="00FF5BB0">
          <w:rPr>
            <w:noProof/>
            <w:webHidden/>
          </w:rPr>
          <w:t>14</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27" w:history="1">
        <w:r w:rsidR="00FF5BB0" w:rsidRPr="00DA320C">
          <w:rPr>
            <w:rStyle w:val="a9"/>
            <w:noProof/>
          </w:rPr>
          <w:t xml:space="preserve">4.5 </w:t>
        </w:r>
        <w:r w:rsidR="00FF5BB0" w:rsidRPr="00DA320C">
          <w:rPr>
            <w:rStyle w:val="a9"/>
            <w:rFonts w:hint="eastAsia"/>
            <w:noProof/>
          </w:rPr>
          <w:t>管理人对宏观经济、证券市场及行业走势的简要展望</w:t>
        </w:r>
        <w:r w:rsidR="00FF5BB0">
          <w:rPr>
            <w:noProof/>
            <w:webHidden/>
          </w:rPr>
          <w:tab/>
        </w:r>
        <w:r w:rsidR="00FF5BB0">
          <w:rPr>
            <w:noProof/>
            <w:webHidden/>
          </w:rPr>
          <w:fldChar w:fldCharType="begin"/>
        </w:r>
        <w:r w:rsidR="00FF5BB0">
          <w:rPr>
            <w:noProof/>
            <w:webHidden/>
          </w:rPr>
          <w:instrText xml:space="preserve"> PAGEREF _Toc4167127 \h </w:instrText>
        </w:r>
        <w:r w:rsidR="00FF5BB0">
          <w:rPr>
            <w:noProof/>
            <w:webHidden/>
          </w:rPr>
        </w:r>
        <w:r w:rsidR="00FF5BB0">
          <w:rPr>
            <w:noProof/>
            <w:webHidden/>
          </w:rPr>
          <w:fldChar w:fldCharType="separate"/>
        </w:r>
        <w:r w:rsidR="00FF5BB0">
          <w:rPr>
            <w:noProof/>
            <w:webHidden/>
          </w:rPr>
          <w:t>15</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28" w:history="1">
        <w:r w:rsidR="00FF5BB0" w:rsidRPr="00DA320C">
          <w:rPr>
            <w:rStyle w:val="a9"/>
            <w:noProof/>
          </w:rPr>
          <w:t xml:space="preserve">4.6 </w:t>
        </w:r>
        <w:r w:rsidR="00FF5BB0" w:rsidRPr="00DA320C">
          <w:rPr>
            <w:rStyle w:val="a9"/>
            <w:rFonts w:hint="eastAsia"/>
            <w:noProof/>
          </w:rPr>
          <w:t>管理人内部有关本基金的监察稽核工作情况</w:t>
        </w:r>
        <w:r w:rsidR="00FF5BB0">
          <w:rPr>
            <w:noProof/>
            <w:webHidden/>
          </w:rPr>
          <w:tab/>
        </w:r>
        <w:r w:rsidR="00FF5BB0">
          <w:rPr>
            <w:noProof/>
            <w:webHidden/>
          </w:rPr>
          <w:fldChar w:fldCharType="begin"/>
        </w:r>
        <w:r w:rsidR="00FF5BB0">
          <w:rPr>
            <w:noProof/>
            <w:webHidden/>
          </w:rPr>
          <w:instrText xml:space="preserve"> PAGEREF _Toc4167128 \h </w:instrText>
        </w:r>
        <w:r w:rsidR="00FF5BB0">
          <w:rPr>
            <w:noProof/>
            <w:webHidden/>
          </w:rPr>
        </w:r>
        <w:r w:rsidR="00FF5BB0">
          <w:rPr>
            <w:noProof/>
            <w:webHidden/>
          </w:rPr>
          <w:fldChar w:fldCharType="separate"/>
        </w:r>
        <w:r w:rsidR="00FF5BB0">
          <w:rPr>
            <w:noProof/>
            <w:webHidden/>
          </w:rPr>
          <w:t>15</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29" w:history="1">
        <w:r w:rsidR="00FF5BB0" w:rsidRPr="00DA320C">
          <w:rPr>
            <w:rStyle w:val="a9"/>
            <w:noProof/>
          </w:rPr>
          <w:t xml:space="preserve">4.7 </w:t>
        </w:r>
        <w:r w:rsidR="00FF5BB0" w:rsidRPr="00DA320C">
          <w:rPr>
            <w:rStyle w:val="a9"/>
            <w:rFonts w:hint="eastAsia"/>
            <w:noProof/>
          </w:rPr>
          <w:t>管理人对报告期内基金估值程序等事项的说明</w:t>
        </w:r>
        <w:r w:rsidR="00FF5BB0">
          <w:rPr>
            <w:noProof/>
            <w:webHidden/>
          </w:rPr>
          <w:tab/>
        </w:r>
        <w:r w:rsidR="00FF5BB0">
          <w:rPr>
            <w:noProof/>
            <w:webHidden/>
          </w:rPr>
          <w:fldChar w:fldCharType="begin"/>
        </w:r>
        <w:r w:rsidR="00FF5BB0">
          <w:rPr>
            <w:noProof/>
            <w:webHidden/>
          </w:rPr>
          <w:instrText xml:space="preserve"> PAGEREF _Toc4167129 \h </w:instrText>
        </w:r>
        <w:r w:rsidR="00FF5BB0">
          <w:rPr>
            <w:noProof/>
            <w:webHidden/>
          </w:rPr>
        </w:r>
        <w:r w:rsidR="00FF5BB0">
          <w:rPr>
            <w:noProof/>
            <w:webHidden/>
          </w:rPr>
          <w:fldChar w:fldCharType="separate"/>
        </w:r>
        <w:r w:rsidR="00FF5BB0">
          <w:rPr>
            <w:noProof/>
            <w:webHidden/>
          </w:rPr>
          <w:t>16</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0" w:history="1">
        <w:r w:rsidR="00FF5BB0" w:rsidRPr="00DA320C">
          <w:rPr>
            <w:rStyle w:val="a9"/>
            <w:noProof/>
          </w:rPr>
          <w:t>4.8</w:t>
        </w:r>
        <w:r w:rsidR="00FF5BB0">
          <w:rPr>
            <w:rStyle w:val="a9"/>
            <w:noProof/>
          </w:rPr>
          <w:t xml:space="preserve"> </w:t>
        </w:r>
        <w:r w:rsidR="00FF5BB0" w:rsidRPr="00DA320C">
          <w:rPr>
            <w:rStyle w:val="a9"/>
            <w:rFonts w:hint="eastAsia"/>
            <w:noProof/>
          </w:rPr>
          <w:t>管理人对报告期内基金利润分配情况的说明</w:t>
        </w:r>
        <w:r w:rsidR="00FF5BB0">
          <w:rPr>
            <w:noProof/>
            <w:webHidden/>
          </w:rPr>
          <w:tab/>
        </w:r>
        <w:r w:rsidR="00FF5BB0">
          <w:rPr>
            <w:noProof/>
            <w:webHidden/>
          </w:rPr>
          <w:fldChar w:fldCharType="begin"/>
        </w:r>
        <w:r w:rsidR="00FF5BB0">
          <w:rPr>
            <w:noProof/>
            <w:webHidden/>
          </w:rPr>
          <w:instrText xml:space="preserve"> PAGEREF _Toc4167130 \h </w:instrText>
        </w:r>
        <w:r w:rsidR="00FF5BB0">
          <w:rPr>
            <w:noProof/>
            <w:webHidden/>
          </w:rPr>
        </w:r>
        <w:r w:rsidR="00FF5BB0">
          <w:rPr>
            <w:noProof/>
            <w:webHidden/>
          </w:rPr>
          <w:fldChar w:fldCharType="separate"/>
        </w:r>
        <w:r w:rsidR="00FF5BB0">
          <w:rPr>
            <w:noProof/>
            <w:webHidden/>
          </w:rPr>
          <w:t>16</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1" w:history="1">
        <w:r w:rsidR="00FF5BB0" w:rsidRPr="00DA320C">
          <w:rPr>
            <w:rStyle w:val="a9"/>
            <w:noProof/>
          </w:rPr>
          <w:t>4.9</w:t>
        </w:r>
        <w:r w:rsidR="00FF5BB0">
          <w:rPr>
            <w:rStyle w:val="a9"/>
            <w:noProof/>
          </w:rPr>
          <w:t xml:space="preserve"> </w:t>
        </w:r>
        <w:r w:rsidR="00FF5BB0" w:rsidRPr="00DA320C">
          <w:rPr>
            <w:rStyle w:val="a9"/>
            <w:rFonts w:hint="eastAsia"/>
            <w:noProof/>
          </w:rPr>
          <w:t>报告期内管理人对本基金持有人数或基金资产净值预警情形的说明</w:t>
        </w:r>
        <w:r w:rsidR="00FF5BB0">
          <w:rPr>
            <w:noProof/>
            <w:webHidden/>
          </w:rPr>
          <w:tab/>
        </w:r>
        <w:r w:rsidR="00FF5BB0">
          <w:rPr>
            <w:noProof/>
            <w:webHidden/>
          </w:rPr>
          <w:fldChar w:fldCharType="begin"/>
        </w:r>
        <w:r w:rsidR="00FF5BB0">
          <w:rPr>
            <w:noProof/>
            <w:webHidden/>
          </w:rPr>
          <w:instrText xml:space="preserve"> PAGEREF _Toc4167131 \h </w:instrText>
        </w:r>
        <w:r w:rsidR="00FF5BB0">
          <w:rPr>
            <w:noProof/>
            <w:webHidden/>
          </w:rPr>
        </w:r>
        <w:r w:rsidR="00FF5BB0">
          <w:rPr>
            <w:noProof/>
            <w:webHidden/>
          </w:rPr>
          <w:fldChar w:fldCharType="separate"/>
        </w:r>
        <w:r w:rsidR="00FF5BB0">
          <w:rPr>
            <w:noProof/>
            <w:webHidden/>
          </w:rPr>
          <w:t>16</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132" w:history="1">
        <w:r w:rsidR="00FF5BB0" w:rsidRPr="00DA320C">
          <w:rPr>
            <w:rStyle w:val="a9"/>
            <w:b/>
            <w:bCs/>
            <w:noProof/>
          </w:rPr>
          <w:t xml:space="preserve">§5  </w:t>
        </w:r>
        <w:r w:rsidR="00FF5BB0" w:rsidRPr="00DA320C">
          <w:rPr>
            <w:rStyle w:val="a9"/>
            <w:rFonts w:hint="eastAsia"/>
            <w:b/>
            <w:bCs/>
            <w:noProof/>
          </w:rPr>
          <w:t>托管人报告</w:t>
        </w:r>
        <w:r w:rsidR="00FF5BB0">
          <w:rPr>
            <w:noProof/>
            <w:webHidden/>
          </w:rPr>
          <w:tab/>
        </w:r>
        <w:r w:rsidR="00FF5BB0">
          <w:rPr>
            <w:noProof/>
            <w:webHidden/>
          </w:rPr>
          <w:fldChar w:fldCharType="begin"/>
        </w:r>
        <w:r w:rsidR="00FF5BB0">
          <w:rPr>
            <w:noProof/>
            <w:webHidden/>
          </w:rPr>
          <w:instrText xml:space="preserve"> PAGEREF _Toc4167132 \h </w:instrText>
        </w:r>
        <w:r w:rsidR="00FF5BB0">
          <w:rPr>
            <w:noProof/>
            <w:webHidden/>
          </w:rPr>
        </w:r>
        <w:r w:rsidR="00FF5BB0">
          <w:rPr>
            <w:noProof/>
            <w:webHidden/>
          </w:rPr>
          <w:fldChar w:fldCharType="separate"/>
        </w:r>
        <w:r w:rsidR="00FF5BB0">
          <w:rPr>
            <w:noProof/>
            <w:webHidden/>
          </w:rPr>
          <w:t>16</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3" w:history="1">
        <w:r w:rsidR="00FF5BB0" w:rsidRPr="00DA320C">
          <w:rPr>
            <w:rStyle w:val="a9"/>
            <w:noProof/>
          </w:rPr>
          <w:t xml:space="preserve">5.1 </w:t>
        </w:r>
        <w:r w:rsidR="00FF5BB0" w:rsidRPr="00DA320C">
          <w:rPr>
            <w:rStyle w:val="a9"/>
            <w:rFonts w:hint="eastAsia"/>
            <w:noProof/>
          </w:rPr>
          <w:t>报告期内本基金托管人遵规守信情况声明</w:t>
        </w:r>
        <w:r w:rsidR="00FF5BB0">
          <w:rPr>
            <w:noProof/>
            <w:webHidden/>
          </w:rPr>
          <w:tab/>
        </w:r>
        <w:r w:rsidR="00FF5BB0">
          <w:rPr>
            <w:noProof/>
            <w:webHidden/>
          </w:rPr>
          <w:fldChar w:fldCharType="begin"/>
        </w:r>
        <w:r w:rsidR="00FF5BB0">
          <w:rPr>
            <w:noProof/>
            <w:webHidden/>
          </w:rPr>
          <w:instrText xml:space="preserve"> PAGEREF _Toc4167133 \h </w:instrText>
        </w:r>
        <w:r w:rsidR="00FF5BB0">
          <w:rPr>
            <w:noProof/>
            <w:webHidden/>
          </w:rPr>
        </w:r>
        <w:r w:rsidR="00FF5BB0">
          <w:rPr>
            <w:noProof/>
            <w:webHidden/>
          </w:rPr>
          <w:fldChar w:fldCharType="separate"/>
        </w:r>
        <w:r w:rsidR="00FF5BB0">
          <w:rPr>
            <w:noProof/>
            <w:webHidden/>
          </w:rPr>
          <w:t>16</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4" w:history="1">
        <w:r w:rsidR="00FF5BB0" w:rsidRPr="00DA320C">
          <w:rPr>
            <w:rStyle w:val="a9"/>
            <w:noProof/>
          </w:rPr>
          <w:t xml:space="preserve">5.2 </w:t>
        </w:r>
        <w:r w:rsidR="00FF5BB0" w:rsidRPr="00DA320C">
          <w:rPr>
            <w:rStyle w:val="a9"/>
            <w:rFonts w:hint="eastAsia"/>
            <w:noProof/>
          </w:rPr>
          <w:t>托管人对报告期内本基金投资运作遵规守信、净值计算、利润分配等情况的说明</w:t>
        </w:r>
        <w:r w:rsidR="00FF5BB0">
          <w:rPr>
            <w:noProof/>
            <w:webHidden/>
          </w:rPr>
          <w:tab/>
        </w:r>
        <w:r w:rsidR="00FF5BB0">
          <w:rPr>
            <w:noProof/>
            <w:webHidden/>
          </w:rPr>
          <w:fldChar w:fldCharType="begin"/>
        </w:r>
        <w:r w:rsidR="00FF5BB0">
          <w:rPr>
            <w:noProof/>
            <w:webHidden/>
          </w:rPr>
          <w:instrText xml:space="preserve"> PAGEREF _Toc4167134 \h </w:instrText>
        </w:r>
        <w:r w:rsidR="00FF5BB0">
          <w:rPr>
            <w:noProof/>
            <w:webHidden/>
          </w:rPr>
        </w:r>
        <w:r w:rsidR="00FF5BB0">
          <w:rPr>
            <w:noProof/>
            <w:webHidden/>
          </w:rPr>
          <w:fldChar w:fldCharType="separate"/>
        </w:r>
        <w:r w:rsidR="00FF5BB0">
          <w:rPr>
            <w:noProof/>
            <w:webHidden/>
          </w:rPr>
          <w:t>17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5" w:history="1">
        <w:r w:rsidR="00FF5BB0" w:rsidRPr="00DA320C">
          <w:rPr>
            <w:rStyle w:val="a9"/>
            <w:noProof/>
          </w:rPr>
          <w:t xml:space="preserve">5.3 </w:t>
        </w:r>
        <w:r w:rsidR="00FF5BB0" w:rsidRPr="00DA320C">
          <w:rPr>
            <w:rStyle w:val="a9"/>
            <w:rFonts w:hint="eastAsia"/>
            <w:noProof/>
          </w:rPr>
          <w:t>托管人对本年度报告中财务信息等内容的真实、准确和完整发表意见</w:t>
        </w:r>
        <w:r w:rsidR="00FF5BB0">
          <w:rPr>
            <w:noProof/>
            <w:webHidden/>
          </w:rPr>
          <w:tab/>
        </w:r>
        <w:r w:rsidR="00FF5BB0">
          <w:rPr>
            <w:noProof/>
            <w:webHidden/>
          </w:rPr>
          <w:fldChar w:fldCharType="begin"/>
        </w:r>
        <w:r w:rsidR="00FF5BB0">
          <w:rPr>
            <w:noProof/>
            <w:webHidden/>
          </w:rPr>
          <w:instrText xml:space="preserve"> PAGEREF _Toc4167135 \h </w:instrText>
        </w:r>
        <w:r w:rsidR="00FF5BB0">
          <w:rPr>
            <w:noProof/>
            <w:webHidden/>
          </w:rPr>
        </w:r>
        <w:r w:rsidR="00FF5BB0">
          <w:rPr>
            <w:noProof/>
            <w:webHidden/>
          </w:rPr>
          <w:fldChar w:fldCharType="separate"/>
        </w:r>
        <w:r w:rsidR="00FF5BB0">
          <w:rPr>
            <w:noProof/>
            <w:webHidden/>
          </w:rPr>
          <w:t>17</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136" w:history="1">
        <w:r w:rsidR="00FF5BB0" w:rsidRPr="00DA320C">
          <w:rPr>
            <w:rStyle w:val="a9"/>
            <w:b/>
            <w:bCs/>
            <w:noProof/>
          </w:rPr>
          <w:t xml:space="preserve">§6  </w:t>
        </w:r>
        <w:r w:rsidR="00FF5BB0" w:rsidRPr="00DA320C">
          <w:rPr>
            <w:rStyle w:val="a9"/>
            <w:rFonts w:hint="eastAsia"/>
            <w:b/>
            <w:bCs/>
            <w:noProof/>
          </w:rPr>
          <w:t>审计报告</w:t>
        </w:r>
        <w:r w:rsidR="00FF5BB0">
          <w:rPr>
            <w:noProof/>
            <w:webHidden/>
          </w:rPr>
          <w:tab/>
        </w:r>
        <w:r w:rsidR="00FF5BB0">
          <w:rPr>
            <w:noProof/>
            <w:webHidden/>
          </w:rPr>
          <w:fldChar w:fldCharType="begin"/>
        </w:r>
        <w:r w:rsidR="00FF5BB0">
          <w:rPr>
            <w:noProof/>
            <w:webHidden/>
          </w:rPr>
          <w:instrText xml:space="preserve"> PAGEREF _Toc4167136 \h </w:instrText>
        </w:r>
        <w:r w:rsidR="00FF5BB0">
          <w:rPr>
            <w:noProof/>
            <w:webHidden/>
          </w:rPr>
        </w:r>
        <w:r w:rsidR="00FF5BB0">
          <w:rPr>
            <w:noProof/>
            <w:webHidden/>
          </w:rPr>
          <w:fldChar w:fldCharType="separate"/>
        </w:r>
        <w:r w:rsidR="00FF5BB0">
          <w:rPr>
            <w:noProof/>
            <w:webHidden/>
          </w:rPr>
          <w:t>17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7" w:history="1">
        <w:r w:rsidR="00FF5BB0" w:rsidRPr="00DA320C">
          <w:rPr>
            <w:rStyle w:val="a9"/>
            <w:noProof/>
          </w:rPr>
          <w:t xml:space="preserve">6.1 </w:t>
        </w:r>
        <w:r w:rsidR="00FF5BB0" w:rsidRPr="00DA320C">
          <w:rPr>
            <w:rStyle w:val="a9"/>
            <w:rFonts w:hint="eastAsia"/>
            <w:noProof/>
          </w:rPr>
          <w:t>审计意见</w:t>
        </w:r>
        <w:r w:rsidR="00FF5BB0">
          <w:rPr>
            <w:noProof/>
            <w:webHidden/>
          </w:rPr>
          <w:tab/>
        </w:r>
        <w:r w:rsidR="00FF5BB0">
          <w:rPr>
            <w:noProof/>
            <w:webHidden/>
          </w:rPr>
          <w:fldChar w:fldCharType="begin"/>
        </w:r>
        <w:r w:rsidR="00FF5BB0">
          <w:rPr>
            <w:noProof/>
            <w:webHidden/>
          </w:rPr>
          <w:instrText xml:space="preserve"> PAGEREF _Toc4167137 \h </w:instrText>
        </w:r>
        <w:r w:rsidR="00FF5BB0">
          <w:rPr>
            <w:noProof/>
            <w:webHidden/>
          </w:rPr>
        </w:r>
        <w:r w:rsidR="00FF5BB0">
          <w:rPr>
            <w:noProof/>
            <w:webHidden/>
          </w:rPr>
          <w:fldChar w:fldCharType="separate"/>
        </w:r>
        <w:r w:rsidR="00FF5BB0">
          <w:rPr>
            <w:noProof/>
            <w:webHidden/>
          </w:rPr>
          <w:t>17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8" w:history="1">
        <w:r w:rsidR="00FF5BB0" w:rsidRPr="00DA320C">
          <w:rPr>
            <w:rStyle w:val="a9"/>
            <w:noProof/>
          </w:rPr>
          <w:t xml:space="preserve">6.2 </w:t>
        </w:r>
        <w:r w:rsidR="00FF5BB0" w:rsidRPr="00DA320C">
          <w:rPr>
            <w:rStyle w:val="a9"/>
            <w:rFonts w:hint="eastAsia"/>
            <w:noProof/>
          </w:rPr>
          <w:t>形成审计意见的基础</w:t>
        </w:r>
        <w:r w:rsidR="00FF5BB0">
          <w:rPr>
            <w:noProof/>
            <w:webHidden/>
          </w:rPr>
          <w:tab/>
        </w:r>
        <w:r w:rsidR="00FF5BB0">
          <w:rPr>
            <w:noProof/>
            <w:webHidden/>
          </w:rPr>
          <w:fldChar w:fldCharType="begin"/>
        </w:r>
        <w:r w:rsidR="00FF5BB0">
          <w:rPr>
            <w:noProof/>
            <w:webHidden/>
          </w:rPr>
          <w:instrText xml:space="preserve"> PAGEREF _Toc4167138 \h </w:instrText>
        </w:r>
        <w:r w:rsidR="00FF5BB0">
          <w:rPr>
            <w:noProof/>
            <w:webHidden/>
          </w:rPr>
        </w:r>
        <w:r w:rsidR="00FF5BB0">
          <w:rPr>
            <w:noProof/>
            <w:webHidden/>
          </w:rPr>
          <w:fldChar w:fldCharType="separate"/>
        </w:r>
        <w:r w:rsidR="00FF5BB0">
          <w:rPr>
            <w:noProof/>
            <w:webHidden/>
          </w:rPr>
          <w:t>17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39" w:history="1">
        <w:r w:rsidR="00FF5BB0" w:rsidRPr="00DA320C">
          <w:rPr>
            <w:rStyle w:val="a9"/>
            <w:noProof/>
          </w:rPr>
          <w:t xml:space="preserve">6.3 </w:t>
        </w:r>
        <w:r w:rsidR="00FF5BB0" w:rsidRPr="00DA320C">
          <w:rPr>
            <w:rStyle w:val="a9"/>
            <w:rFonts w:hint="eastAsia"/>
            <w:noProof/>
          </w:rPr>
          <w:t>管理层和治理层对财务报表的责任</w:t>
        </w:r>
        <w:r w:rsidR="00FF5BB0">
          <w:rPr>
            <w:noProof/>
            <w:webHidden/>
          </w:rPr>
          <w:tab/>
        </w:r>
        <w:r w:rsidR="00FF5BB0">
          <w:rPr>
            <w:noProof/>
            <w:webHidden/>
          </w:rPr>
          <w:fldChar w:fldCharType="begin"/>
        </w:r>
        <w:r w:rsidR="00FF5BB0">
          <w:rPr>
            <w:noProof/>
            <w:webHidden/>
          </w:rPr>
          <w:instrText xml:space="preserve"> PAGEREF _Toc4167139 \h </w:instrText>
        </w:r>
        <w:r w:rsidR="00FF5BB0">
          <w:rPr>
            <w:noProof/>
            <w:webHidden/>
          </w:rPr>
        </w:r>
        <w:r w:rsidR="00FF5BB0">
          <w:rPr>
            <w:noProof/>
            <w:webHidden/>
          </w:rPr>
          <w:fldChar w:fldCharType="separate"/>
        </w:r>
        <w:r w:rsidR="00FF5BB0">
          <w:rPr>
            <w:noProof/>
            <w:webHidden/>
          </w:rPr>
          <w:t>18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40" w:history="1">
        <w:r w:rsidR="00FF5BB0" w:rsidRPr="00DA320C">
          <w:rPr>
            <w:rStyle w:val="a9"/>
            <w:noProof/>
          </w:rPr>
          <w:t xml:space="preserve">6.4 </w:t>
        </w:r>
        <w:r w:rsidR="00FF5BB0" w:rsidRPr="00DA320C">
          <w:rPr>
            <w:rStyle w:val="a9"/>
            <w:rFonts w:hint="eastAsia"/>
            <w:noProof/>
          </w:rPr>
          <w:t>注册会计师对财务报表审计的责任</w:t>
        </w:r>
        <w:r w:rsidR="00FF5BB0">
          <w:rPr>
            <w:noProof/>
            <w:webHidden/>
          </w:rPr>
          <w:tab/>
        </w:r>
        <w:r w:rsidR="00FF5BB0">
          <w:rPr>
            <w:noProof/>
            <w:webHidden/>
          </w:rPr>
          <w:fldChar w:fldCharType="begin"/>
        </w:r>
        <w:r w:rsidR="00FF5BB0">
          <w:rPr>
            <w:noProof/>
            <w:webHidden/>
          </w:rPr>
          <w:instrText xml:space="preserve"> PAGEREF _Toc4167140 \h </w:instrText>
        </w:r>
        <w:r w:rsidR="00FF5BB0">
          <w:rPr>
            <w:noProof/>
            <w:webHidden/>
          </w:rPr>
        </w:r>
        <w:r w:rsidR="00FF5BB0">
          <w:rPr>
            <w:noProof/>
            <w:webHidden/>
          </w:rPr>
          <w:fldChar w:fldCharType="separate"/>
        </w:r>
        <w:r w:rsidR="00FF5BB0">
          <w:rPr>
            <w:noProof/>
            <w:webHidden/>
          </w:rPr>
          <w:t>18</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141" w:history="1">
        <w:r w:rsidR="00FF5BB0" w:rsidRPr="00DA320C">
          <w:rPr>
            <w:rStyle w:val="a9"/>
            <w:b/>
            <w:bCs/>
            <w:noProof/>
          </w:rPr>
          <w:t>§7</w:t>
        </w:r>
        <w:r w:rsidR="00FF5BB0" w:rsidRPr="00DA320C">
          <w:rPr>
            <w:rStyle w:val="a9"/>
            <w:rFonts w:hint="eastAsia"/>
            <w:b/>
            <w:bCs/>
            <w:noProof/>
          </w:rPr>
          <w:t>年度财务报表</w:t>
        </w:r>
        <w:r w:rsidR="00FF5BB0">
          <w:rPr>
            <w:noProof/>
            <w:webHidden/>
          </w:rPr>
          <w:tab/>
        </w:r>
        <w:r w:rsidR="00FF5BB0">
          <w:rPr>
            <w:noProof/>
            <w:webHidden/>
          </w:rPr>
          <w:fldChar w:fldCharType="begin"/>
        </w:r>
        <w:r w:rsidR="00FF5BB0">
          <w:rPr>
            <w:noProof/>
            <w:webHidden/>
          </w:rPr>
          <w:instrText xml:space="preserve"> PAGEREF _Toc4167141 \h </w:instrText>
        </w:r>
        <w:r w:rsidR="00FF5BB0">
          <w:rPr>
            <w:noProof/>
            <w:webHidden/>
          </w:rPr>
        </w:r>
        <w:r w:rsidR="00FF5BB0">
          <w:rPr>
            <w:noProof/>
            <w:webHidden/>
          </w:rPr>
          <w:fldChar w:fldCharType="separate"/>
        </w:r>
        <w:r w:rsidR="00FF5BB0">
          <w:rPr>
            <w:noProof/>
            <w:webHidden/>
          </w:rPr>
          <w:t>19</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42" w:history="1">
        <w:r w:rsidR="00FF5BB0" w:rsidRPr="00DA320C">
          <w:rPr>
            <w:rStyle w:val="a9"/>
            <w:noProof/>
          </w:rPr>
          <w:t xml:space="preserve">7.1 </w:t>
        </w:r>
        <w:r w:rsidR="00FF5BB0" w:rsidRPr="00DA320C">
          <w:rPr>
            <w:rStyle w:val="a9"/>
            <w:rFonts w:hint="eastAsia"/>
            <w:noProof/>
          </w:rPr>
          <w:t>资产负债表</w:t>
        </w:r>
        <w:r w:rsidR="00FF5BB0">
          <w:rPr>
            <w:noProof/>
            <w:webHidden/>
          </w:rPr>
          <w:tab/>
        </w:r>
        <w:r w:rsidR="00FF5BB0">
          <w:rPr>
            <w:noProof/>
            <w:webHidden/>
          </w:rPr>
          <w:fldChar w:fldCharType="begin"/>
        </w:r>
        <w:r w:rsidR="00FF5BB0">
          <w:rPr>
            <w:noProof/>
            <w:webHidden/>
          </w:rPr>
          <w:instrText xml:space="preserve"> PAGEREF _Toc4167142 \h </w:instrText>
        </w:r>
        <w:r w:rsidR="00FF5BB0">
          <w:rPr>
            <w:noProof/>
            <w:webHidden/>
          </w:rPr>
        </w:r>
        <w:r w:rsidR="00FF5BB0">
          <w:rPr>
            <w:noProof/>
            <w:webHidden/>
          </w:rPr>
          <w:fldChar w:fldCharType="separate"/>
        </w:r>
        <w:r w:rsidR="00FF5BB0">
          <w:rPr>
            <w:noProof/>
            <w:webHidden/>
          </w:rPr>
          <w:t>19</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43" w:history="1">
        <w:r w:rsidR="00FF5BB0" w:rsidRPr="00DA320C">
          <w:rPr>
            <w:rStyle w:val="a9"/>
            <w:noProof/>
          </w:rPr>
          <w:t xml:space="preserve">7.2 </w:t>
        </w:r>
        <w:r w:rsidR="00FF5BB0" w:rsidRPr="00DA320C">
          <w:rPr>
            <w:rStyle w:val="a9"/>
            <w:rFonts w:hint="eastAsia"/>
            <w:noProof/>
          </w:rPr>
          <w:t>利润表</w:t>
        </w:r>
        <w:r w:rsidR="00FF5BB0">
          <w:rPr>
            <w:noProof/>
            <w:webHidden/>
          </w:rPr>
          <w:tab/>
        </w:r>
        <w:r w:rsidR="00FF5BB0">
          <w:rPr>
            <w:noProof/>
            <w:webHidden/>
          </w:rPr>
          <w:fldChar w:fldCharType="begin"/>
        </w:r>
        <w:r w:rsidR="00FF5BB0">
          <w:rPr>
            <w:noProof/>
            <w:webHidden/>
          </w:rPr>
          <w:instrText xml:space="preserve"> PAGEREF _Toc4167143 \h </w:instrText>
        </w:r>
        <w:r w:rsidR="00FF5BB0">
          <w:rPr>
            <w:noProof/>
            <w:webHidden/>
          </w:rPr>
        </w:r>
        <w:r w:rsidR="00FF5BB0">
          <w:rPr>
            <w:noProof/>
            <w:webHidden/>
          </w:rPr>
          <w:fldChar w:fldCharType="separate"/>
        </w:r>
        <w:r w:rsidR="00FF5BB0">
          <w:rPr>
            <w:noProof/>
            <w:webHidden/>
          </w:rPr>
          <w:t>20</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44" w:history="1">
        <w:r w:rsidR="00FF5BB0" w:rsidRPr="00DA320C">
          <w:rPr>
            <w:rStyle w:val="a9"/>
            <w:noProof/>
          </w:rPr>
          <w:t xml:space="preserve">7.3 </w:t>
        </w:r>
        <w:r w:rsidR="00FF5BB0" w:rsidRPr="00DA320C">
          <w:rPr>
            <w:rStyle w:val="a9"/>
            <w:rFonts w:hint="eastAsia"/>
            <w:noProof/>
          </w:rPr>
          <w:t>所有者权益（基金净值）变动表</w:t>
        </w:r>
        <w:r w:rsidR="00FF5BB0">
          <w:rPr>
            <w:noProof/>
            <w:webHidden/>
          </w:rPr>
          <w:tab/>
        </w:r>
        <w:r w:rsidR="00FF5BB0">
          <w:rPr>
            <w:noProof/>
            <w:webHidden/>
          </w:rPr>
          <w:fldChar w:fldCharType="begin"/>
        </w:r>
        <w:r w:rsidR="00FF5BB0">
          <w:rPr>
            <w:noProof/>
            <w:webHidden/>
          </w:rPr>
          <w:instrText xml:space="preserve"> PAGEREF _Toc4167144 \h </w:instrText>
        </w:r>
        <w:r w:rsidR="00FF5BB0">
          <w:rPr>
            <w:noProof/>
            <w:webHidden/>
          </w:rPr>
        </w:r>
        <w:r w:rsidR="00FF5BB0">
          <w:rPr>
            <w:noProof/>
            <w:webHidden/>
          </w:rPr>
          <w:fldChar w:fldCharType="separate"/>
        </w:r>
        <w:r w:rsidR="00FF5BB0">
          <w:rPr>
            <w:noProof/>
            <w:webHidden/>
          </w:rPr>
          <w:t>22</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145" w:history="1">
        <w:r w:rsidR="00FF5BB0" w:rsidRPr="00DA320C">
          <w:rPr>
            <w:rStyle w:val="a9"/>
            <w:noProof/>
          </w:rPr>
          <w:t xml:space="preserve">7.4 </w:t>
        </w:r>
        <w:r w:rsidR="00FF5BB0" w:rsidRPr="00DA320C">
          <w:rPr>
            <w:rStyle w:val="a9"/>
            <w:rFonts w:hint="eastAsia"/>
            <w:noProof/>
          </w:rPr>
          <w:t>报表附注</w:t>
        </w:r>
        <w:r w:rsidR="00FF5BB0">
          <w:rPr>
            <w:noProof/>
            <w:webHidden/>
          </w:rPr>
          <w:tab/>
        </w:r>
        <w:r w:rsidR="00FF5BB0">
          <w:rPr>
            <w:noProof/>
            <w:webHidden/>
          </w:rPr>
          <w:fldChar w:fldCharType="begin"/>
        </w:r>
        <w:r w:rsidR="00FF5BB0">
          <w:rPr>
            <w:noProof/>
            <w:webHidden/>
          </w:rPr>
          <w:instrText xml:space="preserve"> PAGEREF _Toc4167145 \h </w:instrText>
        </w:r>
        <w:r w:rsidR="00FF5BB0">
          <w:rPr>
            <w:noProof/>
            <w:webHidden/>
          </w:rPr>
        </w:r>
        <w:r w:rsidR="00FF5BB0">
          <w:rPr>
            <w:noProof/>
            <w:webHidden/>
          </w:rPr>
          <w:fldChar w:fldCharType="separate"/>
        </w:r>
        <w:r w:rsidR="00FF5BB0">
          <w:rPr>
            <w:noProof/>
            <w:webHidden/>
          </w:rPr>
          <w:t>23</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216" w:history="1">
        <w:r w:rsidR="00FF5BB0" w:rsidRPr="00DA320C">
          <w:rPr>
            <w:rStyle w:val="a9"/>
            <w:b/>
            <w:noProof/>
          </w:rPr>
          <w:t>§8</w:t>
        </w:r>
        <w:r w:rsidR="00FF5BB0" w:rsidRPr="00DA320C">
          <w:rPr>
            <w:rStyle w:val="a9"/>
            <w:rFonts w:hint="eastAsia"/>
            <w:b/>
            <w:noProof/>
          </w:rPr>
          <w:t>投资组合报告</w:t>
        </w:r>
        <w:r w:rsidR="00FF5BB0">
          <w:rPr>
            <w:noProof/>
            <w:webHidden/>
          </w:rPr>
          <w:tab/>
        </w:r>
        <w:r w:rsidR="00FF5BB0">
          <w:rPr>
            <w:noProof/>
            <w:webHidden/>
          </w:rPr>
          <w:fldChar w:fldCharType="begin"/>
        </w:r>
        <w:r w:rsidR="00FF5BB0">
          <w:rPr>
            <w:noProof/>
            <w:webHidden/>
          </w:rPr>
          <w:instrText xml:space="preserve"> PAGEREF _Toc4167216 \h </w:instrText>
        </w:r>
        <w:r w:rsidR="00FF5BB0">
          <w:rPr>
            <w:noProof/>
            <w:webHidden/>
          </w:rPr>
        </w:r>
        <w:r w:rsidR="00FF5BB0">
          <w:rPr>
            <w:noProof/>
            <w:webHidden/>
          </w:rPr>
          <w:fldChar w:fldCharType="separate"/>
        </w:r>
        <w:r w:rsidR="00FF5BB0">
          <w:rPr>
            <w:noProof/>
            <w:webHidden/>
          </w:rPr>
          <w:t>46</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17" w:history="1">
        <w:r w:rsidR="00FF5BB0">
          <w:rPr>
            <w:rStyle w:val="a9"/>
            <w:noProof/>
          </w:rPr>
          <w:t>8.1</w:t>
        </w:r>
        <w:r w:rsidR="00FF5BB0" w:rsidRPr="00DA320C">
          <w:rPr>
            <w:rStyle w:val="a9"/>
            <w:rFonts w:hint="eastAsia"/>
            <w:noProof/>
          </w:rPr>
          <w:t>期末基金资产组合情况</w:t>
        </w:r>
        <w:r w:rsidR="00FF5BB0">
          <w:rPr>
            <w:noProof/>
            <w:webHidden/>
          </w:rPr>
          <w:tab/>
        </w:r>
        <w:r w:rsidR="00FF5BB0">
          <w:rPr>
            <w:noProof/>
            <w:webHidden/>
          </w:rPr>
          <w:fldChar w:fldCharType="begin"/>
        </w:r>
        <w:r w:rsidR="00FF5BB0">
          <w:rPr>
            <w:noProof/>
            <w:webHidden/>
          </w:rPr>
          <w:instrText xml:space="preserve"> PAGEREF _Toc4167217 \h </w:instrText>
        </w:r>
        <w:r w:rsidR="00FF5BB0">
          <w:rPr>
            <w:noProof/>
            <w:webHidden/>
          </w:rPr>
        </w:r>
        <w:r w:rsidR="00FF5BB0">
          <w:rPr>
            <w:noProof/>
            <w:webHidden/>
          </w:rPr>
          <w:fldChar w:fldCharType="separate"/>
        </w:r>
        <w:r w:rsidR="00FF5BB0">
          <w:rPr>
            <w:noProof/>
            <w:webHidden/>
          </w:rPr>
          <w:t>46</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18" w:history="1">
        <w:r w:rsidR="00FF5BB0" w:rsidRPr="00DA320C">
          <w:rPr>
            <w:rStyle w:val="a9"/>
            <w:noProof/>
          </w:rPr>
          <w:t>8.2</w:t>
        </w:r>
        <w:r w:rsidR="00FF5BB0" w:rsidRPr="00DA320C">
          <w:rPr>
            <w:rStyle w:val="a9"/>
            <w:rFonts w:hint="eastAsia"/>
            <w:noProof/>
          </w:rPr>
          <w:t>期末按行业分类的股票投资组合</w:t>
        </w:r>
        <w:r w:rsidR="00FF5BB0">
          <w:rPr>
            <w:noProof/>
            <w:webHidden/>
          </w:rPr>
          <w:tab/>
        </w:r>
        <w:r w:rsidR="00FF5BB0">
          <w:rPr>
            <w:noProof/>
            <w:webHidden/>
          </w:rPr>
          <w:fldChar w:fldCharType="begin"/>
        </w:r>
        <w:r w:rsidR="00FF5BB0">
          <w:rPr>
            <w:noProof/>
            <w:webHidden/>
          </w:rPr>
          <w:instrText xml:space="preserve"> PAGEREF _Toc4167218 \h </w:instrText>
        </w:r>
        <w:r w:rsidR="00FF5BB0">
          <w:rPr>
            <w:noProof/>
            <w:webHidden/>
          </w:rPr>
        </w:r>
        <w:r w:rsidR="00FF5BB0">
          <w:rPr>
            <w:noProof/>
            <w:webHidden/>
          </w:rPr>
          <w:fldChar w:fldCharType="separate"/>
        </w:r>
        <w:r w:rsidR="00FF5BB0">
          <w:rPr>
            <w:noProof/>
            <w:webHidden/>
          </w:rPr>
          <w:t>47</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19" w:history="1">
        <w:r w:rsidR="00FF5BB0" w:rsidRPr="00DA320C">
          <w:rPr>
            <w:rStyle w:val="a9"/>
            <w:noProof/>
          </w:rPr>
          <w:t>8.3</w:t>
        </w:r>
        <w:r w:rsidR="00FF5BB0" w:rsidRPr="00DA320C">
          <w:rPr>
            <w:rStyle w:val="a9"/>
            <w:rFonts w:hint="eastAsia"/>
            <w:noProof/>
          </w:rPr>
          <w:t>期末按公允价值占基金资产净值比例大小排序的所有股票投资明细</w:t>
        </w:r>
        <w:r w:rsidR="00FF5BB0">
          <w:rPr>
            <w:noProof/>
            <w:webHidden/>
          </w:rPr>
          <w:tab/>
        </w:r>
        <w:r w:rsidR="00FF5BB0">
          <w:rPr>
            <w:noProof/>
            <w:webHidden/>
          </w:rPr>
          <w:fldChar w:fldCharType="begin"/>
        </w:r>
        <w:r w:rsidR="00FF5BB0">
          <w:rPr>
            <w:noProof/>
            <w:webHidden/>
          </w:rPr>
          <w:instrText xml:space="preserve"> PAGEREF _Toc4167219 \h </w:instrText>
        </w:r>
        <w:r w:rsidR="00FF5BB0">
          <w:rPr>
            <w:noProof/>
            <w:webHidden/>
          </w:rPr>
        </w:r>
        <w:r w:rsidR="00FF5BB0">
          <w:rPr>
            <w:noProof/>
            <w:webHidden/>
          </w:rPr>
          <w:fldChar w:fldCharType="separate"/>
        </w:r>
        <w:r w:rsidR="00FF5BB0">
          <w:rPr>
            <w:noProof/>
            <w:webHidden/>
          </w:rPr>
          <w:t>48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20" w:history="1">
        <w:r w:rsidR="00FF5BB0" w:rsidRPr="00DA320C">
          <w:rPr>
            <w:rStyle w:val="a9"/>
            <w:noProof/>
          </w:rPr>
          <w:t>8.4</w:t>
        </w:r>
        <w:r w:rsidR="00FF5BB0" w:rsidRPr="00DA320C">
          <w:rPr>
            <w:rStyle w:val="a9"/>
            <w:rFonts w:hint="eastAsia"/>
            <w:noProof/>
          </w:rPr>
          <w:t>报告期内股票投资组合的重大变动</w:t>
        </w:r>
        <w:r w:rsidR="00FF5BB0">
          <w:rPr>
            <w:noProof/>
            <w:webHidden/>
          </w:rPr>
          <w:tab/>
        </w:r>
        <w:r w:rsidR="00FF5BB0">
          <w:rPr>
            <w:noProof/>
            <w:webHidden/>
          </w:rPr>
          <w:fldChar w:fldCharType="begin"/>
        </w:r>
        <w:r w:rsidR="00FF5BB0">
          <w:rPr>
            <w:noProof/>
            <w:webHidden/>
          </w:rPr>
          <w:instrText xml:space="preserve"> PAGEREF _Toc4167220 \h </w:instrText>
        </w:r>
        <w:r w:rsidR="00FF5BB0">
          <w:rPr>
            <w:noProof/>
            <w:webHidden/>
          </w:rPr>
        </w:r>
        <w:r w:rsidR="00FF5BB0">
          <w:rPr>
            <w:noProof/>
            <w:webHidden/>
          </w:rPr>
          <w:fldChar w:fldCharType="separate"/>
        </w:r>
        <w:r w:rsidR="00FF5BB0">
          <w:rPr>
            <w:noProof/>
            <w:webHidden/>
          </w:rPr>
          <w:t>48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24" w:history="1">
        <w:r w:rsidR="00FF5BB0" w:rsidRPr="00DA320C">
          <w:rPr>
            <w:rStyle w:val="a9"/>
            <w:noProof/>
          </w:rPr>
          <w:t>8.5</w:t>
        </w:r>
        <w:r w:rsidR="00FF5BB0" w:rsidRPr="00DA320C">
          <w:rPr>
            <w:rStyle w:val="a9"/>
            <w:rFonts w:hint="eastAsia"/>
            <w:noProof/>
          </w:rPr>
          <w:t>期末按债券品种分类的债券投资组合</w:t>
        </w:r>
        <w:r w:rsidR="00FF5BB0">
          <w:rPr>
            <w:noProof/>
            <w:webHidden/>
          </w:rPr>
          <w:tab/>
        </w:r>
        <w:r w:rsidR="00FF5BB0">
          <w:rPr>
            <w:noProof/>
            <w:webHidden/>
          </w:rPr>
          <w:fldChar w:fldCharType="begin"/>
        </w:r>
        <w:r w:rsidR="00FF5BB0">
          <w:rPr>
            <w:noProof/>
            <w:webHidden/>
          </w:rPr>
          <w:instrText xml:space="preserve"> PAGEREF _Toc4167224 \h </w:instrText>
        </w:r>
        <w:r w:rsidR="00FF5BB0">
          <w:rPr>
            <w:noProof/>
            <w:webHidden/>
          </w:rPr>
        </w:r>
        <w:r w:rsidR="00FF5BB0">
          <w:rPr>
            <w:noProof/>
            <w:webHidden/>
          </w:rPr>
          <w:fldChar w:fldCharType="separate"/>
        </w:r>
        <w:r w:rsidR="00FF5BB0">
          <w:rPr>
            <w:noProof/>
            <w:webHidden/>
          </w:rPr>
          <w:t>50</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25" w:history="1">
        <w:r w:rsidR="00FF5BB0" w:rsidRPr="00DA320C">
          <w:rPr>
            <w:rStyle w:val="a9"/>
            <w:noProof/>
          </w:rPr>
          <w:t>8.6</w:t>
        </w:r>
        <w:r w:rsidR="00FF5BB0" w:rsidRPr="00DA320C">
          <w:rPr>
            <w:rStyle w:val="a9"/>
            <w:rFonts w:hint="eastAsia"/>
            <w:noProof/>
          </w:rPr>
          <w:t>期末按公允价值占基金资产净值比例大小排序的前五名债券投资明细</w:t>
        </w:r>
        <w:r w:rsidR="00FF5BB0">
          <w:rPr>
            <w:noProof/>
            <w:webHidden/>
          </w:rPr>
          <w:tab/>
        </w:r>
        <w:r w:rsidR="00FF5BB0">
          <w:rPr>
            <w:noProof/>
            <w:webHidden/>
          </w:rPr>
          <w:fldChar w:fldCharType="begin"/>
        </w:r>
        <w:r w:rsidR="00FF5BB0">
          <w:rPr>
            <w:noProof/>
            <w:webHidden/>
          </w:rPr>
          <w:instrText xml:space="preserve"> PAGEREF _Toc4167225 \h </w:instrText>
        </w:r>
        <w:r w:rsidR="00FF5BB0">
          <w:rPr>
            <w:noProof/>
            <w:webHidden/>
          </w:rPr>
        </w:r>
        <w:r w:rsidR="00FF5BB0">
          <w:rPr>
            <w:noProof/>
            <w:webHidden/>
          </w:rPr>
          <w:fldChar w:fldCharType="separate"/>
        </w:r>
        <w:r w:rsidR="00FF5BB0">
          <w:rPr>
            <w:noProof/>
            <w:webHidden/>
          </w:rPr>
          <w:t>50</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26" w:history="1">
        <w:r w:rsidR="00FF5BB0" w:rsidRPr="00DA320C">
          <w:rPr>
            <w:rStyle w:val="a9"/>
            <w:noProof/>
          </w:rPr>
          <w:t>8.7</w:t>
        </w:r>
        <w:r w:rsidR="00FF5BB0" w:rsidRPr="00DA320C">
          <w:rPr>
            <w:rStyle w:val="a9"/>
            <w:rFonts w:hint="eastAsia"/>
            <w:noProof/>
          </w:rPr>
          <w:t>期末按公允价值占基金资产净值比例大小排序的所有资产支持证券投资明细</w:t>
        </w:r>
        <w:r w:rsidR="00FF5BB0">
          <w:rPr>
            <w:noProof/>
            <w:webHidden/>
          </w:rPr>
          <w:tab/>
        </w:r>
        <w:r w:rsidR="00FF5BB0">
          <w:rPr>
            <w:noProof/>
            <w:webHidden/>
          </w:rPr>
          <w:fldChar w:fldCharType="begin"/>
        </w:r>
        <w:r w:rsidR="00FF5BB0">
          <w:rPr>
            <w:noProof/>
            <w:webHidden/>
          </w:rPr>
          <w:instrText xml:space="preserve"> PAGEREF _Toc4167226 \h </w:instrText>
        </w:r>
        <w:r w:rsidR="00FF5BB0">
          <w:rPr>
            <w:noProof/>
            <w:webHidden/>
          </w:rPr>
        </w:r>
        <w:r w:rsidR="00FF5BB0">
          <w:rPr>
            <w:noProof/>
            <w:webHidden/>
          </w:rPr>
          <w:fldChar w:fldCharType="separate"/>
        </w:r>
        <w:r w:rsidR="00FF5BB0">
          <w:rPr>
            <w:noProof/>
            <w:webHidden/>
          </w:rPr>
          <w:t>50</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27" w:history="1">
        <w:r w:rsidR="00FF5BB0" w:rsidRPr="00DA320C">
          <w:rPr>
            <w:rStyle w:val="a9"/>
            <w:noProof/>
          </w:rPr>
          <w:t>8.8</w:t>
        </w:r>
        <w:r w:rsidR="00FF5BB0" w:rsidRPr="00DA320C">
          <w:rPr>
            <w:rStyle w:val="a9"/>
            <w:rFonts w:hint="eastAsia"/>
            <w:noProof/>
          </w:rPr>
          <w:t>报告期末按公允价值占基金资产净值比例大小排序的前五名贵金属投资明细</w:t>
        </w:r>
        <w:r w:rsidR="00FF5BB0">
          <w:rPr>
            <w:noProof/>
            <w:webHidden/>
          </w:rPr>
          <w:tab/>
        </w:r>
        <w:r w:rsidR="00FF5BB0">
          <w:rPr>
            <w:noProof/>
            <w:webHidden/>
          </w:rPr>
          <w:fldChar w:fldCharType="begin"/>
        </w:r>
        <w:r w:rsidR="00FF5BB0">
          <w:rPr>
            <w:noProof/>
            <w:webHidden/>
          </w:rPr>
          <w:instrText xml:space="preserve"> PAGEREF _Toc4167227 \h </w:instrText>
        </w:r>
        <w:r w:rsidR="00FF5BB0">
          <w:rPr>
            <w:noProof/>
            <w:webHidden/>
          </w:rPr>
        </w:r>
        <w:r w:rsidR="00FF5BB0">
          <w:rPr>
            <w:noProof/>
            <w:webHidden/>
          </w:rPr>
          <w:fldChar w:fldCharType="separate"/>
        </w:r>
        <w:r w:rsidR="00FF5BB0">
          <w:rPr>
            <w:noProof/>
            <w:webHidden/>
          </w:rPr>
          <w:t>50</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28" w:history="1">
        <w:r w:rsidR="00FF5BB0" w:rsidRPr="00DA320C">
          <w:rPr>
            <w:rStyle w:val="a9"/>
            <w:noProof/>
          </w:rPr>
          <w:t>8.9</w:t>
        </w:r>
        <w:r w:rsidR="00FF5BB0" w:rsidRPr="00DA320C">
          <w:rPr>
            <w:rStyle w:val="a9"/>
            <w:rFonts w:hint="eastAsia"/>
            <w:noProof/>
          </w:rPr>
          <w:t>期末按公允价值占基金资产净值比例大小排序的前五名权证投资明细</w:t>
        </w:r>
        <w:r w:rsidR="00FF5BB0">
          <w:rPr>
            <w:noProof/>
            <w:webHidden/>
          </w:rPr>
          <w:tab/>
        </w:r>
        <w:r w:rsidR="00FF5BB0">
          <w:rPr>
            <w:noProof/>
            <w:webHidden/>
          </w:rPr>
          <w:fldChar w:fldCharType="begin"/>
        </w:r>
        <w:r w:rsidR="00FF5BB0">
          <w:rPr>
            <w:noProof/>
            <w:webHidden/>
          </w:rPr>
          <w:instrText xml:space="preserve"> PAGEREF _Toc4167228 \h </w:instrText>
        </w:r>
        <w:r w:rsidR="00FF5BB0">
          <w:rPr>
            <w:noProof/>
            <w:webHidden/>
          </w:rPr>
        </w:r>
        <w:r w:rsidR="00FF5BB0">
          <w:rPr>
            <w:noProof/>
            <w:webHidden/>
          </w:rPr>
          <w:fldChar w:fldCharType="separate"/>
        </w:r>
        <w:r w:rsidR="00FF5BB0">
          <w:rPr>
            <w:noProof/>
            <w:webHidden/>
          </w:rPr>
          <w:t>50</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29" w:history="1">
        <w:r w:rsidR="00FF5BB0" w:rsidRPr="00DA320C">
          <w:rPr>
            <w:rStyle w:val="a9"/>
            <w:noProof/>
          </w:rPr>
          <w:t xml:space="preserve">8.10 </w:t>
        </w:r>
        <w:r w:rsidR="00FF5BB0" w:rsidRPr="00DA320C">
          <w:rPr>
            <w:rStyle w:val="a9"/>
            <w:rFonts w:hint="eastAsia"/>
            <w:noProof/>
          </w:rPr>
          <w:t>报告期末本基金投资的股指期货交易情况说明</w:t>
        </w:r>
        <w:r w:rsidR="00FF5BB0">
          <w:rPr>
            <w:noProof/>
            <w:webHidden/>
          </w:rPr>
          <w:tab/>
        </w:r>
        <w:r w:rsidR="00FF5BB0">
          <w:rPr>
            <w:noProof/>
            <w:webHidden/>
          </w:rPr>
          <w:fldChar w:fldCharType="begin"/>
        </w:r>
        <w:r w:rsidR="00FF5BB0">
          <w:rPr>
            <w:noProof/>
            <w:webHidden/>
          </w:rPr>
          <w:instrText xml:space="preserve"> PAGEREF _Toc4167229 \h </w:instrText>
        </w:r>
        <w:r w:rsidR="00FF5BB0">
          <w:rPr>
            <w:noProof/>
            <w:webHidden/>
          </w:rPr>
        </w:r>
        <w:r w:rsidR="00FF5BB0">
          <w:rPr>
            <w:noProof/>
            <w:webHidden/>
          </w:rPr>
          <w:fldChar w:fldCharType="separate"/>
        </w:r>
        <w:r w:rsidR="00FF5BB0">
          <w:rPr>
            <w:noProof/>
            <w:webHidden/>
          </w:rPr>
          <w:t>51</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30" w:history="1">
        <w:r w:rsidR="00FF5BB0" w:rsidRPr="00DA320C">
          <w:rPr>
            <w:rStyle w:val="a9"/>
            <w:noProof/>
          </w:rPr>
          <w:t>8.11</w:t>
        </w:r>
        <w:r w:rsidR="00FF5BB0">
          <w:rPr>
            <w:rStyle w:val="a9"/>
            <w:noProof/>
          </w:rPr>
          <w:t xml:space="preserve"> </w:t>
        </w:r>
        <w:r w:rsidR="00FF5BB0" w:rsidRPr="00DA320C">
          <w:rPr>
            <w:rStyle w:val="a9"/>
            <w:rFonts w:hint="eastAsia"/>
            <w:noProof/>
          </w:rPr>
          <w:t>报告期末本基金投资的国债期货交易情况说明</w:t>
        </w:r>
        <w:r w:rsidR="00FF5BB0">
          <w:rPr>
            <w:noProof/>
            <w:webHidden/>
          </w:rPr>
          <w:tab/>
        </w:r>
        <w:r w:rsidR="00FF5BB0">
          <w:rPr>
            <w:noProof/>
            <w:webHidden/>
          </w:rPr>
          <w:fldChar w:fldCharType="begin"/>
        </w:r>
        <w:r w:rsidR="00FF5BB0">
          <w:rPr>
            <w:noProof/>
            <w:webHidden/>
          </w:rPr>
          <w:instrText xml:space="preserve"> PAGEREF _Toc4167230 \h </w:instrText>
        </w:r>
        <w:r w:rsidR="00FF5BB0">
          <w:rPr>
            <w:noProof/>
            <w:webHidden/>
          </w:rPr>
        </w:r>
        <w:r w:rsidR="00FF5BB0">
          <w:rPr>
            <w:noProof/>
            <w:webHidden/>
          </w:rPr>
          <w:fldChar w:fldCharType="separate"/>
        </w:r>
        <w:r w:rsidR="00FF5BB0">
          <w:rPr>
            <w:noProof/>
            <w:webHidden/>
          </w:rPr>
          <w:t>51</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31" w:history="1">
        <w:r w:rsidR="00FF5BB0" w:rsidRPr="00DA320C">
          <w:rPr>
            <w:rStyle w:val="a9"/>
            <w:noProof/>
          </w:rPr>
          <w:t xml:space="preserve">8.12 </w:t>
        </w:r>
        <w:r w:rsidR="00FF5BB0" w:rsidRPr="00DA320C">
          <w:rPr>
            <w:rStyle w:val="a9"/>
            <w:rFonts w:hint="eastAsia"/>
            <w:noProof/>
          </w:rPr>
          <w:t>投资组合报告附注</w:t>
        </w:r>
        <w:r w:rsidR="00FF5BB0">
          <w:rPr>
            <w:noProof/>
            <w:webHidden/>
          </w:rPr>
          <w:tab/>
        </w:r>
        <w:r w:rsidR="00FF5BB0">
          <w:rPr>
            <w:noProof/>
            <w:webHidden/>
          </w:rPr>
          <w:fldChar w:fldCharType="begin"/>
        </w:r>
        <w:r w:rsidR="00FF5BB0">
          <w:rPr>
            <w:noProof/>
            <w:webHidden/>
          </w:rPr>
          <w:instrText xml:space="preserve"> PAGEREF _Toc4167231 \h </w:instrText>
        </w:r>
        <w:r w:rsidR="00FF5BB0">
          <w:rPr>
            <w:noProof/>
            <w:webHidden/>
          </w:rPr>
        </w:r>
        <w:r w:rsidR="00FF5BB0">
          <w:rPr>
            <w:noProof/>
            <w:webHidden/>
          </w:rPr>
          <w:fldChar w:fldCharType="separate"/>
        </w:r>
        <w:r w:rsidR="00FF5BB0">
          <w:rPr>
            <w:noProof/>
            <w:webHidden/>
          </w:rPr>
          <w:t>51</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236" w:history="1">
        <w:r w:rsidR="00FF5BB0" w:rsidRPr="00DA320C">
          <w:rPr>
            <w:rStyle w:val="a9"/>
            <w:b/>
            <w:noProof/>
          </w:rPr>
          <w:t>§9</w:t>
        </w:r>
        <w:r w:rsidR="00FF5BB0" w:rsidRPr="00DA320C">
          <w:rPr>
            <w:rStyle w:val="a9"/>
            <w:rFonts w:hint="eastAsia"/>
            <w:b/>
            <w:noProof/>
          </w:rPr>
          <w:t>基金份额持有人信息</w:t>
        </w:r>
        <w:r w:rsidR="00FF5BB0">
          <w:rPr>
            <w:noProof/>
            <w:webHidden/>
          </w:rPr>
          <w:tab/>
        </w:r>
        <w:r w:rsidR="00FF5BB0">
          <w:rPr>
            <w:noProof/>
            <w:webHidden/>
          </w:rPr>
          <w:fldChar w:fldCharType="begin"/>
        </w:r>
        <w:r w:rsidR="00FF5BB0">
          <w:rPr>
            <w:noProof/>
            <w:webHidden/>
          </w:rPr>
          <w:instrText xml:space="preserve"> PAGEREF _Toc4167236 \h </w:instrText>
        </w:r>
        <w:r w:rsidR="00FF5BB0">
          <w:rPr>
            <w:noProof/>
            <w:webHidden/>
          </w:rPr>
        </w:r>
        <w:r w:rsidR="00FF5BB0">
          <w:rPr>
            <w:noProof/>
            <w:webHidden/>
          </w:rPr>
          <w:fldChar w:fldCharType="separate"/>
        </w:r>
        <w:r w:rsidR="00FF5BB0">
          <w:rPr>
            <w:noProof/>
            <w:webHidden/>
          </w:rPr>
          <w:t>52</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37" w:history="1">
        <w:r w:rsidR="00FF5BB0" w:rsidRPr="00DA320C">
          <w:rPr>
            <w:rStyle w:val="a9"/>
            <w:noProof/>
          </w:rPr>
          <w:t xml:space="preserve">9.1 </w:t>
        </w:r>
        <w:r w:rsidR="00FF5BB0" w:rsidRPr="00DA320C">
          <w:rPr>
            <w:rStyle w:val="a9"/>
            <w:rFonts w:hint="eastAsia"/>
            <w:noProof/>
          </w:rPr>
          <w:t>期末基金份额持有人户数及持有人结构</w:t>
        </w:r>
        <w:r w:rsidR="00FF5BB0">
          <w:rPr>
            <w:noProof/>
            <w:webHidden/>
          </w:rPr>
          <w:tab/>
        </w:r>
        <w:r w:rsidR="00FF5BB0">
          <w:rPr>
            <w:noProof/>
            <w:webHidden/>
          </w:rPr>
          <w:fldChar w:fldCharType="begin"/>
        </w:r>
        <w:r w:rsidR="00FF5BB0">
          <w:rPr>
            <w:noProof/>
            <w:webHidden/>
          </w:rPr>
          <w:instrText xml:space="preserve"> PAGEREF _Toc4167237 \h </w:instrText>
        </w:r>
        <w:r w:rsidR="00FF5BB0">
          <w:rPr>
            <w:noProof/>
            <w:webHidden/>
          </w:rPr>
        </w:r>
        <w:r w:rsidR="00FF5BB0">
          <w:rPr>
            <w:noProof/>
            <w:webHidden/>
          </w:rPr>
          <w:fldChar w:fldCharType="separate"/>
        </w:r>
        <w:r w:rsidR="00FF5BB0">
          <w:rPr>
            <w:noProof/>
            <w:webHidden/>
          </w:rPr>
          <w:t>52</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38" w:history="1">
        <w:r w:rsidR="00FF5BB0" w:rsidRPr="00DA320C">
          <w:rPr>
            <w:rStyle w:val="a9"/>
            <w:noProof/>
          </w:rPr>
          <w:t>9.2</w:t>
        </w:r>
        <w:r w:rsidR="00FF5BB0">
          <w:rPr>
            <w:rStyle w:val="a9"/>
            <w:noProof/>
          </w:rPr>
          <w:t xml:space="preserve"> </w:t>
        </w:r>
        <w:r w:rsidR="00FF5BB0" w:rsidRPr="00DA320C">
          <w:rPr>
            <w:rStyle w:val="a9"/>
            <w:rFonts w:hint="eastAsia"/>
            <w:noProof/>
          </w:rPr>
          <w:t>期末基金管理人的从业人员持有本基金的情况</w:t>
        </w:r>
        <w:r w:rsidR="00FF5BB0">
          <w:rPr>
            <w:noProof/>
            <w:webHidden/>
          </w:rPr>
          <w:tab/>
        </w:r>
        <w:r w:rsidR="00FF5BB0">
          <w:rPr>
            <w:noProof/>
            <w:webHidden/>
          </w:rPr>
          <w:fldChar w:fldCharType="begin"/>
        </w:r>
        <w:r w:rsidR="00FF5BB0">
          <w:rPr>
            <w:noProof/>
            <w:webHidden/>
          </w:rPr>
          <w:instrText xml:space="preserve"> PAGEREF _Toc4167238 \h </w:instrText>
        </w:r>
        <w:r w:rsidR="00FF5BB0">
          <w:rPr>
            <w:noProof/>
            <w:webHidden/>
          </w:rPr>
        </w:r>
        <w:r w:rsidR="00FF5BB0">
          <w:rPr>
            <w:noProof/>
            <w:webHidden/>
          </w:rPr>
          <w:fldChar w:fldCharType="separate"/>
        </w:r>
        <w:r w:rsidR="00FF5BB0">
          <w:rPr>
            <w:noProof/>
            <w:webHidden/>
          </w:rPr>
          <w:t>52</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39" w:history="1">
        <w:r w:rsidR="00FF5BB0" w:rsidRPr="00DA320C">
          <w:rPr>
            <w:rStyle w:val="a9"/>
            <w:noProof/>
          </w:rPr>
          <w:t>9.3</w:t>
        </w:r>
        <w:r w:rsidR="00FF5BB0">
          <w:rPr>
            <w:rStyle w:val="a9"/>
            <w:noProof/>
          </w:rPr>
          <w:t xml:space="preserve"> </w:t>
        </w:r>
        <w:r w:rsidR="00FF5BB0" w:rsidRPr="00DA320C">
          <w:rPr>
            <w:rStyle w:val="a9"/>
            <w:rFonts w:hint="eastAsia"/>
            <w:noProof/>
          </w:rPr>
          <w:t>期末基金管理人的从业人员持有本开放式基金份额总量区间的情况</w:t>
        </w:r>
        <w:r w:rsidR="00FF5BB0">
          <w:rPr>
            <w:noProof/>
            <w:webHidden/>
          </w:rPr>
          <w:tab/>
        </w:r>
        <w:r w:rsidR="00FF5BB0">
          <w:rPr>
            <w:noProof/>
            <w:webHidden/>
          </w:rPr>
          <w:fldChar w:fldCharType="begin"/>
        </w:r>
        <w:r w:rsidR="00FF5BB0">
          <w:rPr>
            <w:noProof/>
            <w:webHidden/>
          </w:rPr>
          <w:instrText xml:space="preserve"> PAGEREF _Toc4167239 \h </w:instrText>
        </w:r>
        <w:r w:rsidR="00FF5BB0">
          <w:rPr>
            <w:noProof/>
            <w:webHidden/>
          </w:rPr>
        </w:r>
        <w:r w:rsidR="00FF5BB0">
          <w:rPr>
            <w:noProof/>
            <w:webHidden/>
          </w:rPr>
          <w:fldChar w:fldCharType="separate"/>
        </w:r>
        <w:r w:rsidR="00FF5BB0">
          <w:rPr>
            <w:noProof/>
            <w:webHidden/>
          </w:rPr>
          <w:t>52</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240" w:history="1">
        <w:r w:rsidR="00FF5BB0" w:rsidRPr="00DA320C">
          <w:rPr>
            <w:rStyle w:val="a9"/>
            <w:b/>
            <w:bCs/>
            <w:noProof/>
          </w:rPr>
          <w:t>§10</w:t>
        </w:r>
        <w:r w:rsidR="00FF5BB0" w:rsidRPr="00DA320C">
          <w:rPr>
            <w:rStyle w:val="a9"/>
            <w:rFonts w:hint="eastAsia"/>
            <w:b/>
            <w:bCs/>
            <w:noProof/>
          </w:rPr>
          <w:t>开放式基金份额变动</w:t>
        </w:r>
        <w:r w:rsidR="00FF5BB0">
          <w:rPr>
            <w:noProof/>
            <w:webHidden/>
          </w:rPr>
          <w:tab/>
        </w:r>
        <w:r w:rsidR="00FF5BB0">
          <w:rPr>
            <w:noProof/>
            <w:webHidden/>
          </w:rPr>
          <w:fldChar w:fldCharType="begin"/>
        </w:r>
        <w:r w:rsidR="00FF5BB0">
          <w:rPr>
            <w:noProof/>
            <w:webHidden/>
          </w:rPr>
          <w:instrText xml:space="preserve"> PAGEREF _Toc4167240 \h </w:instrText>
        </w:r>
        <w:r w:rsidR="00FF5BB0">
          <w:rPr>
            <w:noProof/>
            <w:webHidden/>
          </w:rPr>
        </w:r>
        <w:r w:rsidR="00FF5BB0">
          <w:rPr>
            <w:noProof/>
            <w:webHidden/>
          </w:rPr>
          <w:fldChar w:fldCharType="separate"/>
        </w:r>
        <w:r w:rsidR="00FF5BB0">
          <w:rPr>
            <w:noProof/>
            <w:webHidden/>
          </w:rPr>
          <w:t>52</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241" w:history="1">
        <w:r w:rsidR="00FF5BB0" w:rsidRPr="00DA320C">
          <w:rPr>
            <w:rStyle w:val="a9"/>
            <w:b/>
            <w:bCs/>
            <w:noProof/>
          </w:rPr>
          <w:t>§11</w:t>
        </w:r>
        <w:r w:rsidR="00FF5BB0" w:rsidRPr="00DA320C">
          <w:rPr>
            <w:rStyle w:val="a9"/>
            <w:rFonts w:hint="eastAsia"/>
            <w:b/>
            <w:bCs/>
            <w:noProof/>
          </w:rPr>
          <w:t>重大事件揭示</w:t>
        </w:r>
        <w:r w:rsidR="00FF5BB0">
          <w:rPr>
            <w:noProof/>
            <w:webHidden/>
          </w:rPr>
          <w:tab/>
        </w:r>
        <w:r w:rsidR="00FF5BB0">
          <w:rPr>
            <w:noProof/>
            <w:webHidden/>
          </w:rPr>
          <w:fldChar w:fldCharType="begin"/>
        </w:r>
        <w:r w:rsidR="00FF5BB0">
          <w:rPr>
            <w:noProof/>
            <w:webHidden/>
          </w:rPr>
          <w:instrText xml:space="preserve"> PAGEREF _Toc4167241 \h </w:instrText>
        </w:r>
        <w:r w:rsidR="00FF5BB0">
          <w:rPr>
            <w:noProof/>
            <w:webHidden/>
          </w:rPr>
        </w:r>
        <w:r w:rsidR="00FF5BB0">
          <w:rPr>
            <w:noProof/>
            <w:webHidden/>
          </w:rPr>
          <w:fldChar w:fldCharType="separate"/>
        </w:r>
        <w:r w:rsidR="00FF5BB0">
          <w:rPr>
            <w:noProof/>
            <w:webHidden/>
          </w:rPr>
          <w:t>53</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2" w:history="1">
        <w:r w:rsidR="00FF5BB0" w:rsidRPr="00DA320C">
          <w:rPr>
            <w:rStyle w:val="a9"/>
            <w:noProof/>
          </w:rPr>
          <w:t>11.1</w:t>
        </w:r>
        <w:r w:rsidR="00FF5BB0">
          <w:rPr>
            <w:rStyle w:val="a9"/>
            <w:noProof/>
          </w:rPr>
          <w:t xml:space="preserve"> </w:t>
        </w:r>
        <w:r w:rsidR="00FF5BB0" w:rsidRPr="00DA320C">
          <w:rPr>
            <w:rStyle w:val="a9"/>
            <w:rFonts w:hint="eastAsia"/>
            <w:noProof/>
          </w:rPr>
          <w:t>基金份额持有人大会决议</w:t>
        </w:r>
        <w:r w:rsidR="00FF5BB0">
          <w:rPr>
            <w:noProof/>
            <w:webHidden/>
          </w:rPr>
          <w:tab/>
        </w:r>
        <w:r w:rsidR="00FF5BB0">
          <w:rPr>
            <w:noProof/>
            <w:webHidden/>
          </w:rPr>
          <w:fldChar w:fldCharType="begin"/>
        </w:r>
        <w:r w:rsidR="00FF5BB0">
          <w:rPr>
            <w:noProof/>
            <w:webHidden/>
          </w:rPr>
          <w:instrText xml:space="preserve"> PAGEREF _Toc4167242 \h </w:instrText>
        </w:r>
        <w:r w:rsidR="00FF5BB0">
          <w:rPr>
            <w:noProof/>
            <w:webHidden/>
          </w:rPr>
        </w:r>
        <w:r w:rsidR="00FF5BB0">
          <w:rPr>
            <w:noProof/>
            <w:webHidden/>
          </w:rPr>
          <w:fldChar w:fldCharType="separate"/>
        </w:r>
        <w:r w:rsidR="00FF5BB0">
          <w:rPr>
            <w:noProof/>
            <w:webHidden/>
          </w:rPr>
          <w:t>53</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3" w:history="1">
        <w:r w:rsidR="00FF5BB0" w:rsidRPr="00DA320C">
          <w:rPr>
            <w:rStyle w:val="a9"/>
            <w:noProof/>
          </w:rPr>
          <w:t xml:space="preserve">11.2 </w:t>
        </w:r>
        <w:r w:rsidR="00FF5BB0" w:rsidRPr="00DA320C">
          <w:rPr>
            <w:rStyle w:val="a9"/>
            <w:rFonts w:hint="eastAsia"/>
            <w:noProof/>
          </w:rPr>
          <w:t>基金管理人、基金托管人的专门基金托管部门的重大人事变动</w:t>
        </w:r>
        <w:r w:rsidR="00FF5BB0">
          <w:rPr>
            <w:noProof/>
            <w:webHidden/>
          </w:rPr>
          <w:tab/>
        </w:r>
        <w:r w:rsidR="00FF5BB0">
          <w:rPr>
            <w:noProof/>
            <w:webHidden/>
          </w:rPr>
          <w:fldChar w:fldCharType="begin"/>
        </w:r>
        <w:r w:rsidR="00FF5BB0">
          <w:rPr>
            <w:noProof/>
            <w:webHidden/>
          </w:rPr>
          <w:instrText xml:space="preserve"> PAGEREF _Toc4167243 \h </w:instrText>
        </w:r>
        <w:r w:rsidR="00FF5BB0">
          <w:rPr>
            <w:noProof/>
            <w:webHidden/>
          </w:rPr>
        </w:r>
        <w:r w:rsidR="00FF5BB0">
          <w:rPr>
            <w:noProof/>
            <w:webHidden/>
          </w:rPr>
          <w:fldChar w:fldCharType="separate"/>
        </w:r>
        <w:r w:rsidR="00FF5BB0">
          <w:rPr>
            <w:noProof/>
            <w:webHidden/>
          </w:rPr>
          <w:t>53</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4" w:history="1">
        <w:r w:rsidR="00FF5BB0" w:rsidRPr="00DA320C">
          <w:rPr>
            <w:rStyle w:val="a9"/>
            <w:noProof/>
          </w:rPr>
          <w:t xml:space="preserve">11.3 </w:t>
        </w:r>
        <w:r w:rsidR="00FF5BB0" w:rsidRPr="00DA320C">
          <w:rPr>
            <w:rStyle w:val="a9"/>
            <w:rFonts w:hint="eastAsia"/>
            <w:noProof/>
          </w:rPr>
          <w:t>涉及基金管理人、基金财产、基金托管业务的诉讼</w:t>
        </w:r>
        <w:r w:rsidR="00FF5BB0">
          <w:rPr>
            <w:noProof/>
            <w:webHidden/>
          </w:rPr>
          <w:tab/>
        </w:r>
        <w:r w:rsidR="00FF5BB0">
          <w:rPr>
            <w:noProof/>
            <w:webHidden/>
          </w:rPr>
          <w:fldChar w:fldCharType="begin"/>
        </w:r>
        <w:r w:rsidR="00FF5BB0">
          <w:rPr>
            <w:noProof/>
            <w:webHidden/>
          </w:rPr>
          <w:instrText xml:space="preserve"> PAGEREF _Toc4167244 \h </w:instrText>
        </w:r>
        <w:r w:rsidR="00FF5BB0">
          <w:rPr>
            <w:noProof/>
            <w:webHidden/>
          </w:rPr>
        </w:r>
        <w:r w:rsidR="00FF5BB0">
          <w:rPr>
            <w:noProof/>
            <w:webHidden/>
          </w:rPr>
          <w:fldChar w:fldCharType="separate"/>
        </w:r>
        <w:r w:rsidR="00FF5BB0">
          <w:rPr>
            <w:noProof/>
            <w:webHidden/>
          </w:rPr>
          <w:t>53</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5" w:history="1">
        <w:r w:rsidR="00FF5BB0" w:rsidRPr="00DA320C">
          <w:rPr>
            <w:rStyle w:val="a9"/>
            <w:noProof/>
          </w:rPr>
          <w:t xml:space="preserve">11.4 </w:t>
        </w:r>
        <w:r w:rsidR="00FF5BB0" w:rsidRPr="00DA320C">
          <w:rPr>
            <w:rStyle w:val="a9"/>
            <w:rFonts w:hint="eastAsia"/>
            <w:noProof/>
          </w:rPr>
          <w:t>基金投资策略的改变</w:t>
        </w:r>
        <w:r w:rsidR="00FF5BB0">
          <w:rPr>
            <w:noProof/>
            <w:webHidden/>
          </w:rPr>
          <w:tab/>
        </w:r>
        <w:r w:rsidR="00FF5BB0">
          <w:rPr>
            <w:noProof/>
            <w:webHidden/>
          </w:rPr>
          <w:fldChar w:fldCharType="begin"/>
        </w:r>
        <w:r w:rsidR="00FF5BB0">
          <w:rPr>
            <w:noProof/>
            <w:webHidden/>
          </w:rPr>
          <w:instrText xml:space="preserve"> PAGEREF _Toc4167245 \h </w:instrText>
        </w:r>
        <w:r w:rsidR="00FF5BB0">
          <w:rPr>
            <w:noProof/>
            <w:webHidden/>
          </w:rPr>
        </w:r>
        <w:r w:rsidR="00FF5BB0">
          <w:rPr>
            <w:noProof/>
            <w:webHidden/>
          </w:rPr>
          <w:fldChar w:fldCharType="separate"/>
        </w:r>
        <w:r w:rsidR="00FF5BB0">
          <w:rPr>
            <w:noProof/>
            <w:webHidden/>
          </w:rPr>
          <w:t>53</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6" w:history="1">
        <w:r w:rsidR="00FF5BB0" w:rsidRPr="00DA320C">
          <w:rPr>
            <w:rStyle w:val="a9"/>
            <w:noProof/>
          </w:rPr>
          <w:t xml:space="preserve">11.5 </w:t>
        </w:r>
        <w:r w:rsidR="00FF5BB0" w:rsidRPr="00DA320C">
          <w:rPr>
            <w:rStyle w:val="a9"/>
            <w:rFonts w:hint="eastAsia"/>
            <w:noProof/>
          </w:rPr>
          <w:t>本报告期持有的基金发生的重大影响事件</w:t>
        </w:r>
        <w:r w:rsidR="00FF5BB0">
          <w:rPr>
            <w:noProof/>
            <w:webHidden/>
          </w:rPr>
          <w:tab/>
        </w:r>
        <w:r w:rsidR="00FF5BB0">
          <w:rPr>
            <w:noProof/>
            <w:webHidden/>
          </w:rPr>
          <w:fldChar w:fldCharType="begin"/>
        </w:r>
        <w:r w:rsidR="00FF5BB0">
          <w:rPr>
            <w:noProof/>
            <w:webHidden/>
          </w:rPr>
          <w:instrText xml:space="preserve"> PAGEREF _Toc4167246 \h </w:instrText>
        </w:r>
        <w:r w:rsidR="00FF5BB0">
          <w:rPr>
            <w:noProof/>
            <w:webHidden/>
          </w:rPr>
        </w:r>
        <w:r w:rsidR="00FF5BB0">
          <w:rPr>
            <w:noProof/>
            <w:webHidden/>
          </w:rPr>
          <w:fldChar w:fldCharType="separate"/>
        </w:r>
        <w:r w:rsidR="00FF5BB0">
          <w:rPr>
            <w:noProof/>
            <w:webHidden/>
          </w:rPr>
          <w:t>53</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7" w:history="1">
        <w:r w:rsidR="00FF5BB0" w:rsidRPr="00DA320C">
          <w:rPr>
            <w:rStyle w:val="a9"/>
            <w:noProof/>
          </w:rPr>
          <w:t>11.6</w:t>
        </w:r>
        <w:r w:rsidR="00FF5BB0">
          <w:rPr>
            <w:rStyle w:val="a9"/>
            <w:noProof/>
          </w:rPr>
          <w:t xml:space="preserve"> </w:t>
        </w:r>
        <w:r w:rsidR="00FF5BB0" w:rsidRPr="00DA320C">
          <w:rPr>
            <w:rStyle w:val="a9"/>
            <w:rFonts w:hint="eastAsia"/>
            <w:noProof/>
          </w:rPr>
          <w:t>为基金进行审计的会计师事务所情况</w:t>
        </w:r>
        <w:r w:rsidR="00FF5BB0">
          <w:rPr>
            <w:noProof/>
            <w:webHidden/>
          </w:rPr>
          <w:tab/>
        </w:r>
        <w:r w:rsidR="00FF5BB0">
          <w:rPr>
            <w:noProof/>
            <w:webHidden/>
          </w:rPr>
          <w:fldChar w:fldCharType="begin"/>
        </w:r>
        <w:r w:rsidR="00FF5BB0">
          <w:rPr>
            <w:noProof/>
            <w:webHidden/>
          </w:rPr>
          <w:instrText xml:space="preserve"> PAGEREF _Toc4167247 \h </w:instrText>
        </w:r>
        <w:r w:rsidR="00FF5BB0">
          <w:rPr>
            <w:noProof/>
            <w:webHidden/>
          </w:rPr>
        </w:r>
        <w:r w:rsidR="00FF5BB0">
          <w:rPr>
            <w:noProof/>
            <w:webHidden/>
          </w:rPr>
          <w:fldChar w:fldCharType="separate"/>
        </w:r>
        <w:r w:rsidR="00FF5BB0">
          <w:rPr>
            <w:noProof/>
            <w:webHidden/>
          </w:rPr>
          <w:t>53</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8" w:history="1">
        <w:r w:rsidR="00FF5BB0" w:rsidRPr="00DA320C">
          <w:rPr>
            <w:rStyle w:val="a9"/>
            <w:noProof/>
          </w:rPr>
          <w:t xml:space="preserve">11.7 </w:t>
        </w:r>
        <w:r w:rsidR="00FF5BB0" w:rsidRPr="00DA320C">
          <w:rPr>
            <w:rStyle w:val="a9"/>
            <w:rFonts w:hint="eastAsia"/>
            <w:noProof/>
          </w:rPr>
          <w:t>管理人、托管人及其高级管理人员受稽查或处罚等情况</w:t>
        </w:r>
        <w:r w:rsidR="00FF5BB0">
          <w:rPr>
            <w:noProof/>
            <w:webHidden/>
          </w:rPr>
          <w:tab/>
        </w:r>
        <w:r w:rsidR="00FF5BB0">
          <w:rPr>
            <w:noProof/>
            <w:webHidden/>
          </w:rPr>
          <w:fldChar w:fldCharType="begin"/>
        </w:r>
        <w:r w:rsidR="00FF5BB0">
          <w:rPr>
            <w:noProof/>
            <w:webHidden/>
          </w:rPr>
          <w:instrText xml:space="preserve"> PAGEREF _Toc4167248 \h </w:instrText>
        </w:r>
        <w:r w:rsidR="00FF5BB0">
          <w:rPr>
            <w:noProof/>
            <w:webHidden/>
          </w:rPr>
        </w:r>
        <w:r w:rsidR="00FF5BB0">
          <w:rPr>
            <w:noProof/>
            <w:webHidden/>
          </w:rPr>
          <w:fldChar w:fldCharType="separate"/>
        </w:r>
        <w:r w:rsidR="00FF5BB0">
          <w:rPr>
            <w:noProof/>
            <w:webHidden/>
          </w:rPr>
          <w:t>54</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49" w:history="1">
        <w:r w:rsidR="00FF5BB0" w:rsidRPr="00DA320C">
          <w:rPr>
            <w:rStyle w:val="a9"/>
            <w:noProof/>
          </w:rPr>
          <w:t xml:space="preserve">11.8 </w:t>
        </w:r>
        <w:r w:rsidR="00FF5BB0" w:rsidRPr="00DA320C">
          <w:rPr>
            <w:rStyle w:val="a9"/>
            <w:rFonts w:hint="eastAsia"/>
            <w:noProof/>
          </w:rPr>
          <w:t>基金租用证券公司交易单元的有关情况</w:t>
        </w:r>
        <w:r w:rsidR="00FF5BB0">
          <w:rPr>
            <w:noProof/>
            <w:webHidden/>
          </w:rPr>
          <w:tab/>
        </w:r>
        <w:r w:rsidR="00FF5BB0">
          <w:rPr>
            <w:noProof/>
            <w:webHidden/>
          </w:rPr>
          <w:fldChar w:fldCharType="begin"/>
        </w:r>
        <w:r w:rsidR="00FF5BB0">
          <w:rPr>
            <w:noProof/>
            <w:webHidden/>
          </w:rPr>
          <w:instrText xml:space="preserve"> PAGEREF _Toc4167249 \h </w:instrText>
        </w:r>
        <w:r w:rsidR="00FF5BB0">
          <w:rPr>
            <w:noProof/>
            <w:webHidden/>
          </w:rPr>
        </w:r>
        <w:r w:rsidR="00FF5BB0">
          <w:rPr>
            <w:noProof/>
            <w:webHidden/>
          </w:rPr>
          <w:fldChar w:fldCharType="separate"/>
        </w:r>
        <w:r w:rsidR="00FF5BB0">
          <w:rPr>
            <w:noProof/>
            <w:webHidden/>
          </w:rPr>
          <w:t>54</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50" w:history="1">
        <w:r w:rsidR="00FF5BB0" w:rsidRPr="00DA320C">
          <w:rPr>
            <w:rStyle w:val="a9"/>
            <w:noProof/>
          </w:rPr>
          <w:t>11.9</w:t>
        </w:r>
        <w:r w:rsidR="00FF5BB0">
          <w:rPr>
            <w:rStyle w:val="a9"/>
            <w:noProof/>
          </w:rPr>
          <w:t xml:space="preserve"> </w:t>
        </w:r>
        <w:r w:rsidR="00FF5BB0" w:rsidRPr="00DA320C">
          <w:rPr>
            <w:rStyle w:val="a9"/>
            <w:rFonts w:hint="eastAsia"/>
            <w:noProof/>
          </w:rPr>
          <w:t>其他重大事件</w:t>
        </w:r>
        <w:r w:rsidR="00FF5BB0">
          <w:rPr>
            <w:noProof/>
            <w:webHidden/>
          </w:rPr>
          <w:tab/>
        </w:r>
        <w:r w:rsidR="00FF5BB0">
          <w:rPr>
            <w:noProof/>
            <w:webHidden/>
          </w:rPr>
          <w:fldChar w:fldCharType="begin"/>
        </w:r>
        <w:r w:rsidR="00FF5BB0">
          <w:rPr>
            <w:noProof/>
            <w:webHidden/>
          </w:rPr>
          <w:instrText xml:space="preserve"> PAGEREF _Toc4167250 \h </w:instrText>
        </w:r>
        <w:r w:rsidR="00FF5BB0">
          <w:rPr>
            <w:noProof/>
            <w:webHidden/>
          </w:rPr>
        </w:r>
        <w:r w:rsidR="00FF5BB0">
          <w:rPr>
            <w:noProof/>
            <w:webHidden/>
          </w:rPr>
          <w:fldChar w:fldCharType="separate"/>
        </w:r>
        <w:r w:rsidR="00FF5BB0">
          <w:rPr>
            <w:noProof/>
            <w:webHidden/>
          </w:rPr>
          <w:t>56</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251" w:history="1">
        <w:r w:rsidR="00FF5BB0" w:rsidRPr="00DA320C">
          <w:rPr>
            <w:rStyle w:val="a9"/>
            <w:b/>
            <w:bCs/>
            <w:noProof/>
          </w:rPr>
          <w:t xml:space="preserve">§12  </w:t>
        </w:r>
        <w:r w:rsidR="00FF5BB0" w:rsidRPr="00DA320C">
          <w:rPr>
            <w:rStyle w:val="a9"/>
            <w:rFonts w:hint="eastAsia"/>
            <w:b/>
            <w:bCs/>
            <w:noProof/>
          </w:rPr>
          <w:t>影响投资者决策的其他重要信息</w:t>
        </w:r>
        <w:r w:rsidR="00FF5BB0">
          <w:rPr>
            <w:noProof/>
            <w:webHidden/>
          </w:rPr>
          <w:tab/>
        </w:r>
        <w:r w:rsidR="00FF5BB0">
          <w:rPr>
            <w:noProof/>
            <w:webHidden/>
          </w:rPr>
          <w:fldChar w:fldCharType="begin"/>
        </w:r>
        <w:r w:rsidR="00FF5BB0">
          <w:rPr>
            <w:noProof/>
            <w:webHidden/>
          </w:rPr>
          <w:instrText xml:space="preserve"> PAGEREF _Toc4167251 \h </w:instrText>
        </w:r>
        <w:r w:rsidR="00FF5BB0">
          <w:rPr>
            <w:noProof/>
            <w:webHidden/>
          </w:rPr>
        </w:r>
        <w:r w:rsidR="00FF5BB0">
          <w:rPr>
            <w:noProof/>
            <w:webHidden/>
          </w:rPr>
          <w:fldChar w:fldCharType="separate"/>
        </w:r>
        <w:r w:rsidR="00FF5BB0">
          <w:rPr>
            <w:noProof/>
            <w:webHidden/>
          </w:rPr>
          <w:t>58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52" w:history="1">
        <w:r w:rsidR="00FF5BB0" w:rsidRPr="00DA320C">
          <w:rPr>
            <w:rStyle w:val="a9"/>
            <w:noProof/>
          </w:rPr>
          <w:t xml:space="preserve">12.1 </w:t>
        </w:r>
        <w:r w:rsidR="00FF5BB0" w:rsidRPr="00DA320C">
          <w:rPr>
            <w:rStyle w:val="a9"/>
            <w:rFonts w:hint="eastAsia"/>
            <w:noProof/>
          </w:rPr>
          <w:t>影响投资者决策的其他重要信息</w:t>
        </w:r>
        <w:r w:rsidR="00FF5BB0">
          <w:rPr>
            <w:noProof/>
            <w:webHidden/>
          </w:rPr>
          <w:tab/>
        </w:r>
        <w:r w:rsidR="00FF5BB0">
          <w:rPr>
            <w:noProof/>
            <w:webHidden/>
          </w:rPr>
          <w:fldChar w:fldCharType="begin"/>
        </w:r>
        <w:r w:rsidR="00FF5BB0">
          <w:rPr>
            <w:noProof/>
            <w:webHidden/>
          </w:rPr>
          <w:instrText xml:space="preserve"> PAGEREF _Toc4167252 \h </w:instrText>
        </w:r>
        <w:r w:rsidR="00FF5BB0">
          <w:rPr>
            <w:noProof/>
            <w:webHidden/>
          </w:rPr>
        </w:r>
        <w:r w:rsidR="00FF5BB0">
          <w:rPr>
            <w:noProof/>
            <w:webHidden/>
          </w:rPr>
          <w:fldChar w:fldCharType="separate"/>
        </w:r>
        <w:r w:rsidR="00FF5BB0">
          <w:rPr>
            <w:noProof/>
            <w:webHidden/>
          </w:rPr>
          <w:t>58</w:t>
        </w:r>
        <w:r w:rsidR="00FF5BB0">
          <w:rPr>
            <w:noProof/>
            <w:webHidden/>
          </w:rPr>
          <w:fldChar w:fldCharType="end"/>
        </w:r>
      </w:hyperlink>
    </w:p>
    <w:p w:rsidR="00FF5BB0" w:rsidRDefault="001D17B9">
      <w:pPr>
        <w:pStyle w:val="11"/>
        <w:rPr>
          <w:rFonts w:asciiTheme="minorHAnsi" w:eastAsiaTheme="minorEastAsia" w:hAnsiTheme="minorHAnsi" w:cstheme="minorBidi"/>
          <w:noProof/>
          <w:szCs w:val="22"/>
        </w:rPr>
      </w:pPr>
      <w:hyperlink w:anchor="_Toc4167253" w:history="1">
        <w:r w:rsidR="00FF5BB0" w:rsidRPr="00DA320C">
          <w:rPr>
            <w:rStyle w:val="a9"/>
            <w:b/>
            <w:bCs/>
            <w:noProof/>
          </w:rPr>
          <w:t>§13</w:t>
        </w:r>
        <w:r w:rsidR="00FF5BB0" w:rsidRPr="00DA320C">
          <w:rPr>
            <w:rStyle w:val="a9"/>
            <w:rFonts w:hint="eastAsia"/>
            <w:b/>
            <w:bCs/>
            <w:noProof/>
          </w:rPr>
          <w:t>备查文件目录</w:t>
        </w:r>
        <w:r w:rsidR="00FF5BB0">
          <w:rPr>
            <w:noProof/>
            <w:webHidden/>
          </w:rPr>
          <w:tab/>
        </w:r>
        <w:r w:rsidR="00FF5BB0">
          <w:rPr>
            <w:noProof/>
            <w:webHidden/>
          </w:rPr>
          <w:fldChar w:fldCharType="begin"/>
        </w:r>
        <w:r w:rsidR="00FF5BB0">
          <w:rPr>
            <w:noProof/>
            <w:webHidden/>
          </w:rPr>
          <w:instrText xml:space="preserve"> PAGEREF _Toc4167253 \h </w:instrText>
        </w:r>
        <w:r w:rsidR="00FF5BB0">
          <w:rPr>
            <w:noProof/>
            <w:webHidden/>
          </w:rPr>
        </w:r>
        <w:r w:rsidR="00FF5BB0">
          <w:rPr>
            <w:noProof/>
            <w:webHidden/>
          </w:rPr>
          <w:fldChar w:fldCharType="separate"/>
        </w:r>
        <w:r w:rsidR="00FF5BB0">
          <w:rPr>
            <w:noProof/>
            <w:webHidden/>
          </w:rPr>
          <w:t>58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54" w:history="1">
        <w:r w:rsidR="00FF5BB0" w:rsidRPr="00DA320C">
          <w:rPr>
            <w:rStyle w:val="a9"/>
            <w:noProof/>
          </w:rPr>
          <w:t xml:space="preserve">13.1 </w:t>
        </w:r>
        <w:r w:rsidR="00FF5BB0" w:rsidRPr="00DA320C">
          <w:rPr>
            <w:rStyle w:val="a9"/>
            <w:rFonts w:hint="eastAsia"/>
            <w:noProof/>
          </w:rPr>
          <w:t>备查文件目录</w:t>
        </w:r>
        <w:r w:rsidR="00FF5BB0">
          <w:rPr>
            <w:noProof/>
            <w:webHidden/>
          </w:rPr>
          <w:tab/>
        </w:r>
        <w:r w:rsidR="00FF5BB0">
          <w:rPr>
            <w:noProof/>
            <w:webHidden/>
          </w:rPr>
          <w:fldChar w:fldCharType="begin"/>
        </w:r>
        <w:r w:rsidR="00FF5BB0">
          <w:rPr>
            <w:noProof/>
            <w:webHidden/>
          </w:rPr>
          <w:instrText xml:space="preserve"> PAGEREF _Toc4167254 \h </w:instrText>
        </w:r>
        <w:r w:rsidR="00FF5BB0">
          <w:rPr>
            <w:noProof/>
            <w:webHidden/>
          </w:rPr>
        </w:r>
        <w:r w:rsidR="00FF5BB0">
          <w:rPr>
            <w:noProof/>
            <w:webHidden/>
          </w:rPr>
          <w:fldChar w:fldCharType="separate"/>
        </w:r>
        <w:r w:rsidR="00FF5BB0">
          <w:rPr>
            <w:noProof/>
            <w:webHidden/>
          </w:rPr>
          <w:t>58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55" w:history="1">
        <w:r w:rsidR="00FF5BB0" w:rsidRPr="00DA320C">
          <w:rPr>
            <w:rStyle w:val="a9"/>
            <w:noProof/>
          </w:rPr>
          <w:t>13.2</w:t>
        </w:r>
        <w:r w:rsidR="00FF5BB0">
          <w:rPr>
            <w:rStyle w:val="a9"/>
            <w:noProof/>
          </w:rPr>
          <w:t xml:space="preserve"> </w:t>
        </w:r>
        <w:r w:rsidR="00FF5BB0" w:rsidRPr="00DA320C">
          <w:rPr>
            <w:rStyle w:val="a9"/>
            <w:rFonts w:hint="eastAsia"/>
            <w:noProof/>
          </w:rPr>
          <w:t>存放地点</w:t>
        </w:r>
        <w:r w:rsidR="00FF5BB0">
          <w:rPr>
            <w:noProof/>
            <w:webHidden/>
          </w:rPr>
          <w:tab/>
        </w:r>
        <w:r w:rsidR="00FF5BB0">
          <w:rPr>
            <w:noProof/>
            <w:webHidden/>
          </w:rPr>
          <w:fldChar w:fldCharType="begin"/>
        </w:r>
        <w:r w:rsidR="00FF5BB0">
          <w:rPr>
            <w:noProof/>
            <w:webHidden/>
          </w:rPr>
          <w:instrText xml:space="preserve"> PAGEREF _Toc4167255 \h </w:instrText>
        </w:r>
        <w:r w:rsidR="00FF5BB0">
          <w:rPr>
            <w:noProof/>
            <w:webHidden/>
          </w:rPr>
        </w:r>
        <w:r w:rsidR="00FF5BB0">
          <w:rPr>
            <w:noProof/>
            <w:webHidden/>
          </w:rPr>
          <w:fldChar w:fldCharType="separate"/>
        </w:r>
        <w:r w:rsidR="00FF5BB0">
          <w:rPr>
            <w:noProof/>
            <w:webHidden/>
          </w:rPr>
          <w:t>58</w:t>
        </w:r>
        <w:r w:rsidR="00FF5BB0">
          <w:rPr>
            <w:noProof/>
            <w:webHidden/>
          </w:rPr>
          <w:fldChar w:fldCharType="end"/>
        </w:r>
      </w:hyperlink>
    </w:p>
    <w:p w:rsidR="00FF5BB0" w:rsidRDefault="001D17B9">
      <w:pPr>
        <w:pStyle w:val="22"/>
        <w:rPr>
          <w:rFonts w:asciiTheme="minorHAnsi" w:eastAsiaTheme="minorEastAsia" w:hAnsiTheme="minorHAnsi" w:cstheme="minorBidi"/>
          <w:noProof/>
          <w:kern w:val="2"/>
          <w:szCs w:val="22"/>
        </w:rPr>
      </w:pPr>
      <w:hyperlink w:anchor="_Toc4167256" w:history="1">
        <w:r w:rsidR="00FF5BB0" w:rsidRPr="00DA320C">
          <w:rPr>
            <w:rStyle w:val="a9"/>
            <w:noProof/>
          </w:rPr>
          <w:t>13.3</w:t>
        </w:r>
        <w:r w:rsidR="00FF5BB0">
          <w:rPr>
            <w:rStyle w:val="a9"/>
            <w:noProof/>
          </w:rPr>
          <w:t xml:space="preserve"> </w:t>
        </w:r>
        <w:r w:rsidR="00FF5BB0" w:rsidRPr="00DA320C">
          <w:rPr>
            <w:rStyle w:val="a9"/>
            <w:rFonts w:hint="eastAsia"/>
            <w:noProof/>
          </w:rPr>
          <w:t>查阅方式</w:t>
        </w:r>
        <w:r w:rsidR="00FF5BB0">
          <w:rPr>
            <w:noProof/>
            <w:webHidden/>
          </w:rPr>
          <w:tab/>
        </w:r>
        <w:r w:rsidR="00FF5BB0">
          <w:rPr>
            <w:noProof/>
            <w:webHidden/>
          </w:rPr>
          <w:fldChar w:fldCharType="begin"/>
        </w:r>
        <w:r w:rsidR="00FF5BB0">
          <w:rPr>
            <w:noProof/>
            <w:webHidden/>
          </w:rPr>
          <w:instrText xml:space="preserve"> PAGEREF _Toc4167256 \h </w:instrText>
        </w:r>
        <w:r w:rsidR="00FF5BB0">
          <w:rPr>
            <w:noProof/>
            <w:webHidden/>
          </w:rPr>
        </w:r>
        <w:r w:rsidR="00FF5BB0">
          <w:rPr>
            <w:noProof/>
            <w:webHidden/>
          </w:rPr>
          <w:fldChar w:fldCharType="separate"/>
        </w:r>
        <w:r w:rsidR="00FF5BB0">
          <w:rPr>
            <w:noProof/>
            <w:webHidden/>
          </w:rPr>
          <w:t>58</w:t>
        </w:r>
        <w:r w:rsidR="00FF5BB0">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6710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6710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交银施罗德股息优化混合型证券投资基金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交银股息优化混合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8</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143,075,801.38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979BF" w:rsidRDefault="001A59F9" w:rsidP="00F979BF">
      <w:pPr>
        <w:pStyle w:val="20"/>
        <w:spacing w:before="29" w:after="0" w:line="288" w:lineRule="auto"/>
        <w:rPr>
          <w:b w:val="0"/>
          <w:kern w:val="0"/>
        </w:rPr>
      </w:pPr>
      <w:bookmarkStart w:id="13" w:name="_Toc361324846"/>
      <w:bookmarkStart w:id="14" w:name="_Toc4167106"/>
      <w:r w:rsidRPr="00F979BF">
        <w:rPr>
          <w:rFonts w:ascii="Times New Roman" w:hAnsi="Times New Roman"/>
          <w:kern w:val="0"/>
          <w:szCs w:val="24"/>
        </w:rPr>
        <w:t xml:space="preserve">2.2 </w:t>
      </w:r>
      <w:r w:rsidRPr="00F979BF">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本基金主要投资于具有稳定股息收益的优质成长性上市公司，以稳健收益为目标，追求长期的资产增值。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FF5BB0" w:rsidRDefault="001A59F9" w:rsidP="00FF5BB0">
      <w:pPr>
        <w:pStyle w:val="20"/>
        <w:spacing w:before="29" w:after="0" w:line="288" w:lineRule="auto"/>
        <w:rPr>
          <w:rFonts w:ascii="Times New Roman" w:hAnsi="Times New Roman"/>
          <w:kern w:val="0"/>
          <w:szCs w:val="24"/>
        </w:rPr>
      </w:pPr>
      <w:bookmarkStart w:id="15" w:name="_Toc225498247"/>
      <w:bookmarkStart w:id="16" w:name="_Toc361324847"/>
      <w:bookmarkStart w:id="17" w:name="_Toc4167107"/>
      <w:r w:rsidRPr="00FF5BB0">
        <w:rPr>
          <w:rFonts w:ascii="Times New Roman" w:hAnsi="Times New Roman"/>
          <w:kern w:val="0"/>
          <w:szCs w:val="24"/>
        </w:rPr>
        <w:t xml:space="preserve">2.3 </w:t>
      </w:r>
      <w:r w:rsidRPr="00FF5BB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F0393C" w:rsidRPr="0091212A" w:rsidTr="00BE3EBF">
        <w:tc>
          <w:tcPr>
            <w:tcW w:w="2552" w:type="dxa"/>
            <w:gridSpan w:val="2"/>
            <w:vAlign w:val="center"/>
          </w:tcPr>
          <w:p w:rsidR="00F0393C" w:rsidRPr="002A7419" w:rsidRDefault="00F0393C" w:rsidP="00F0393C">
            <w:pPr>
              <w:spacing w:before="29" w:line="288" w:lineRule="auto"/>
              <w:rPr>
                <w:sz w:val="24"/>
              </w:rPr>
            </w:pPr>
            <w:r w:rsidRPr="002A7419">
              <w:rPr>
                <w:rFonts w:hint="eastAsia"/>
                <w:sz w:val="24"/>
              </w:rPr>
              <w:t>注册地址</w:t>
            </w:r>
          </w:p>
        </w:tc>
        <w:tc>
          <w:tcPr>
            <w:tcW w:w="3118" w:type="dxa"/>
            <w:vAlign w:val="center"/>
          </w:tcPr>
          <w:p w:rsidR="00F0393C" w:rsidRDefault="00F0393C" w:rsidP="00F0393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F0393C" w:rsidRPr="002A7419" w:rsidRDefault="00F0393C" w:rsidP="00F0393C">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F0393C" w:rsidRPr="0091212A" w:rsidTr="00BE3EBF">
        <w:tc>
          <w:tcPr>
            <w:tcW w:w="2552" w:type="dxa"/>
            <w:gridSpan w:val="2"/>
            <w:vAlign w:val="center"/>
          </w:tcPr>
          <w:p w:rsidR="00F0393C" w:rsidRPr="002A7419" w:rsidRDefault="00F0393C" w:rsidP="00F0393C">
            <w:pPr>
              <w:spacing w:before="29" w:line="288" w:lineRule="auto"/>
              <w:rPr>
                <w:sz w:val="24"/>
              </w:rPr>
            </w:pPr>
            <w:r w:rsidRPr="002A7419">
              <w:rPr>
                <w:rFonts w:hint="eastAsia"/>
                <w:sz w:val="24"/>
              </w:rPr>
              <w:t>办公地址</w:t>
            </w:r>
          </w:p>
        </w:tc>
        <w:tc>
          <w:tcPr>
            <w:tcW w:w="3118" w:type="dxa"/>
            <w:vAlign w:val="center"/>
          </w:tcPr>
          <w:p w:rsidR="00F0393C" w:rsidRDefault="00F0393C" w:rsidP="00F0393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F0393C" w:rsidRPr="002A7419" w:rsidRDefault="00F0393C" w:rsidP="00F0393C">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F0393C" w:rsidRPr="0091212A" w:rsidTr="00BE3EBF">
        <w:tc>
          <w:tcPr>
            <w:tcW w:w="2552" w:type="dxa"/>
            <w:gridSpan w:val="2"/>
            <w:vAlign w:val="center"/>
          </w:tcPr>
          <w:p w:rsidR="00F0393C" w:rsidRPr="002A7419" w:rsidRDefault="00F0393C" w:rsidP="00F0393C">
            <w:pPr>
              <w:spacing w:before="29" w:line="288" w:lineRule="auto"/>
              <w:rPr>
                <w:sz w:val="24"/>
              </w:rPr>
            </w:pPr>
            <w:r w:rsidRPr="002A7419">
              <w:rPr>
                <w:rFonts w:hint="eastAsia"/>
                <w:sz w:val="24"/>
              </w:rPr>
              <w:t>邮政编码</w:t>
            </w:r>
          </w:p>
        </w:tc>
        <w:tc>
          <w:tcPr>
            <w:tcW w:w="3118" w:type="dxa"/>
            <w:vAlign w:val="center"/>
          </w:tcPr>
          <w:p w:rsidR="00F0393C" w:rsidRDefault="00F0393C" w:rsidP="00F0393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F0393C" w:rsidRPr="002A7419" w:rsidRDefault="00F0393C" w:rsidP="00F0393C">
            <w:pPr>
              <w:spacing w:before="29" w:line="288" w:lineRule="auto"/>
              <w:jc w:val="center"/>
              <w:rPr>
                <w:sz w:val="24"/>
              </w:rPr>
            </w:pPr>
            <w:r w:rsidRPr="002A7419">
              <w:rPr>
                <w:sz w:val="24"/>
              </w:rPr>
              <w:t>100033</w:t>
            </w:r>
          </w:p>
        </w:tc>
      </w:tr>
      <w:tr w:rsidR="00F0393C" w:rsidRPr="0091212A" w:rsidTr="00BE3EBF">
        <w:tc>
          <w:tcPr>
            <w:tcW w:w="2552" w:type="dxa"/>
            <w:gridSpan w:val="2"/>
            <w:vAlign w:val="center"/>
          </w:tcPr>
          <w:p w:rsidR="00F0393C" w:rsidRPr="002A7419" w:rsidRDefault="00F0393C" w:rsidP="00F0393C">
            <w:pPr>
              <w:spacing w:before="29" w:line="288" w:lineRule="auto"/>
              <w:rPr>
                <w:sz w:val="24"/>
              </w:rPr>
            </w:pPr>
            <w:r w:rsidRPr="002A7419">
              <w:rPr>
                <w:rFonts w:hint="eastAsia"/>
                <w:sz w:val="24"/>
              </w:rPr>
              <w:t>法定代表人</w:t>
            </w:r>
          </w:p>
        </w:tc>
        <w:tc>
          <w:tcPr>
            <w:tcW w:w="3118" w:type="dxa"/>
            <w:vAlign w:val="center"/>
          </w:tcPr>
          <w:p w:rsidR="00F0393C" w:rsidRDefault="00F0393C" w:rsidP="00F0393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F0393C" w:rsidRPr="002A7419" w:rsidRDefault="00F0393C" w:rsidP="00F0393C">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F5BB0" w:rsidRDefault="001A59F9" w:rsidP="00FF5BB0">
      <w:pPr>
        <w:pStyle w:val="20"/>
        <w:spacing w:before="29" w:after="0" w:line="288" w:lineRule="auto"/>
        <w:rPr>
          <w:rFonts w:ascii="Times New Roman" w:hAnsi="Times New Roman"/>
          <w:kern w:val="0"/>
          <w:szCs w:val="24"/>
        </w:rPr>
      </w:pPr>
      <w:bookmarkStart w:id="18" w:name="_Toc225498248"/>
      <w:bookmarkStart w:id="19" w:name="_Toc361324848"/>
      <w:bookmarkStart w:id="20" w:name="_Toc4167108"/>
      <w:r w:rsidRPr="00FF5BB0">
        <w:rPr>
          <w:rFonts w:ascii="Times New Roman" w:hAnsi="Times New Roman"/>
          <w:kern w:val="0"/>
          <w:szCs w:val="24"/>
        </w:rPr>
        <w:t xml:space="preserve">2.4 </w:t>
      </w:r>
      <w:r w:rsidRPr="00FF5BB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F5BB0" w:rsidRDefault="001A59F9" w:rsidP="00FF5BB0">
      <w:pPr>
        <w:pStyle w:val="20"/>
        <w:spacing w:before="29" w:after="0" w:line="288" w:lineRule="auto"/>
        <w:rPr>
          <w:rFonts w:ascii="Times New Roman" w:hAnsi="Times New Roman"/>
          <w:kern w:val="0"/>
          <w:szCs w:val="24"/>
        </w:rPr>
      </w:pPr>
      <w:bookmarkStart w:id="21" w:name="_Toc225498249"/>
      <w:bookmarkStart w:id="22" w:name="_Toc361324849"/>
      <w:bookmarkStart w:id="23" w:name="_Toc4167109"/>
      <w:r w:rsidRPr="00FF5BB0">
        <w:rPr>
          <w:rFonts w:ascii="Times New Roman" w:hAnsi="Times New Roman"/>
          <w:kern w:val="0"/>
          <w:szCs w:val="24"/>
        </w:rPr>
        <w:t xml:space="preserve">2.5 </w:t>
      </w:r>
      <w:r w:rsidRPr="00FF5BB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6711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FF5BB0" w:rsidRDefault="001A59F9" w:rsidP="00FF5BB0">
      <w:pPr>
        <w:pStyle w:val="20"/>
        <w:spacing w:before="29" w:after="0" w:line="288" w:lineRule="auto"/>
        <w:rPr>
          <w:rFonts w:ascii="Times New Roman" w:hAnsi="Times New Roman"/>
          <w:kern w:val="0"/>
          <w:szCs w:val="24"/>
        </w:rPr>
      </w:pPr>
      <w:bookmarkStart w:id="27" w:name="_Toc286996129"/>
      <w:bookmarkStart w:id="28" w:name="_Toc361324851"/>
      <w:bookmarkStart w:id="29" w:name="_Toc4167111"/>
      <w:r w:rsidRPr="00FF5BB0">
        <w:rPr>
          <w:rFonts w:ascii="Times New Roman" w:hAnsi="Times New Roman"/>
          <w:kern w:val="0"/>
          <w:szCs w:val="24"/>
        </w:rPr>
        <w:lastRenderedPageBreak/>
        <w:t xml:space="preserve">3.1 </w:t>
      </w:r>
      <w:r w:rsidRPr="00FF5BB0">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9"/>
        <w:gridCol w:w="2973"/>
        <w:gridCol w:w="3158"/>
      </w:tblGrid>
      <w:tr w:rsidR="00E171FB" w:rsidRPr="0091212A" w:rsidTr="00E171FB">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8</w:t>
            </w:r>
            <w:r w:rsidRPr="00251D94">
              <w:rPr>
                <w:b/>
                <w:szCs w:val="21"/>
              </w:rPr>
              <w:t>月</w:t>
            </w:r>
            <w:r w:rsidRPr="00251D94">
              <w:rPr>
                <w:b/>
                <w:szCs w:val="21"/>
              </w:rPr>
              <w:t>25</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3,527,428.64</w:t>
            </w:r>
          </w:p>
        </w:tc>
        <w:tc>
          <w:tcPr>
            <w:tcW w:w="1297" w:type="pct"/>
            <w:vAlign w:val="center"/>
          </w:tcPr>
          <w:p w:rsidR="0040141B" w:rsidRPr="00251D94" w:rsidRDefault="0040141B" w:rsidP="004E3EF9">
            <w:pPr>
              <w:spacing w:before="29" w:line="288" w:lineRule="auto"/>
              <w:jc w:val="right"/>
              <w:rPr>
                <w:szCs w:val="21"/>
              </w:rPr>
            </w:pPr>
            <w:r w:rsidRPr="00251D94">
              <w:rPr>
                <w:szCs w:val="21"/>
              </w:rPr>
              <w:t>56,688,560.00</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-26,076,946.54</w:t>
            </w:r>
          </w:p>
        </w:tc>
        <w:tc>
          <w:tcPr>
            <w:tcW w:w="1297" w:type="pct"/>
            <w:vAlign w:val="center"/>
          </w:tcPr>
          <w:p w:rsidR="0040141B" w:rsidRPr="00251D94" w:rsidRDefault="0040141B" w:rsidP="004E3EF9">
            <w:pPr>
              <w:spacing w:before="29" w:line="288" w:lineRule="auto"/>
              <w:jc w:val="right"/>
              <w:rPr>
                <w:szCs w:val="21"/>
              </w:rPr>
            </w:pPr>
            <w:r w:rsidRPr="00251D94">
              <w:rPr>
                <w:szCs w:val="21"/>
              </w:rPr>
              <w:t>73,844,159.62</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-0.1618</w:t>
            </w:r>
          </w:p>
        </w:tc>
        <w:tc>
          <w:tcPr>
            <w:tcW w:w="1297" w:type="pct"/>
            <w:vAlign w:val="center"/>
          </w:tcPr>
          <w:p w:rsidR="0040141B" w:rsidRPr="00251D94" w:rsidRDefault="0040141B" w:rsidP="004E3EF9">
            <w:pPr>
              <w:spacing w:before="29" w:line="288" w:lineRule="auto"/>
              <w:jc w:val="right"/>
              <w:rPr>
                <w:szCs w:val="21"/>
              </w:rPr>
            </w:pPr>
            <w:r w:rsidRPr="00251D94">
              <w:rPr>
                <w:szCs w:val="21"/>
              </w:rPr>
              <w:t>0.1155</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3F140C">
            <w:pPr>
              <w:spacing w:before="29" w:line="288" w:lineRule="auto"/>
              <w:jc w:val="right"/>
              <w:rPr>
                <w:szCs w:val="21"/>
              </w:rPr>
            </w:pPr>
            <w:r w:rsidRPr="00251D94">
              <w:rPr>
                <w:szCs w:val="21"/>
              </w:rPr>
              <w:t>-15.5</w:t>
            </w:r>
            <w:r w:rsidR="003F140C">
              <w:rPr>
                <w:szCs w:val="21"/>
              </w:rPr>
              <w:t>1</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11.09%</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-18.82%</w:t>
            </w:r>
          </w:p>
        </w:tc>
        <w:tc>
          <w:tcPr>
            <w:tcW w:w="1297" w:type="pct"/>
            <w:vAlign w:val="center"/>
          </w:tcPr>
          <w:p w:rsidR="0040141B" w:rsidRPr="00251D94" w:rsidRDefault="0040141B" w:rsidP="004E3EF9">
            <w:pPr>
              <w:spacing w:before="29" w:line="288" w:lineRule="auto"/>
              <w:jc w:val="right"/>
              <w:rPr>
                <w:szCs w:val="21"/>
              </w:rPr>
            </w:pPr>
            <w:r w:rsidRPr="00251D94">
              <w:rPr>
                <w:szCs w:val="21"/>
              </w:rPr>
              <w:t>10.98%</w:t>
            </w:r>
          </w:p>
        </w:tc>
      </w:tr>
      <w:tr w:rsidR="00E171FB" w:rsidRPr="0091212A" w:rsidTr="00E171FB">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-14,183,597.09</w:t>
            </w:r>
          </w:p>
        </w:tc>
        <w:tc>
          <w:tcPr>
            <w:tcW w:w="1297" w:type="pct"/>
            <w:vAlign w:val="center"/>
          </w:tcPr>
          <w:p w:rsidR="0040141B" w:rsidRPr="00251D94" w:rsidRDefault="0040141B" w:rsidP="004E3EF9">
            <w:pPr>
              <w:spacing w:before="29" w:line="288" w:lineRule="auto"/>
              <w:jc w:val="right"/>
              <w:rPr>
                <w:szCs w:val="21"/>
              </w:rPr>
            </w:pPr>
            <w:r w:rsidRPr="00251D94">
              <w:rPr>
                <w:szCs w:val="21"/>
              </w:rPr>
              <w:t>32,797,120.64</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-0.0991</w:t>
            </w:r>
          </w:p>
        </w:tc>
        <w:tc>
          <w:tcPr>
            <w:tcW w:w="1297" w:type="pct"/>
            <w:vAlign w:val="center"/>
          </w:tcPr>
          <w:p w:rsidR="0040141B" w:rsidRPr="00251D94" w:rsidRDefault="0040141B" w:rsidP="004E3EF9">
            <w:pPr>
              <w:spacing w:before="29" w:line="288" w:lineRule="auto"/>
              <w:jc w:val="right"/>
              <w:rPr>
                <w:szCs w:val="21"/>
              </w:rPr>
            </w:pPr>
            <w:r w:rsidRPr="00251D94">
              <w:rPr>
                <w:szCs w:val="21"/>
              </w:rPr>
              <w:t>0.1098</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128,892,204.29</w:t>
            </w:r>
          </w:p>
        </w:tc>
        <w:tc>
          <w:tcPr>
            <w:tcW w:w="1297" w:type="pct"/>
            <w:vAlign w:val="center"/>
          </w:tcPr>
          <w:p w:rsidR="0040141B" w:rsidRPr="00251D94" w:rsidRDefault="0040141B" w:rsidP="004E3EF9">
            <w:pPr>
              <w:spacing w:before="29" w:line="288" w:lineRule="auto"/>
              <w:jc w:val="right"/>
              <w:rPr>
                <w:szCs w:val="21"/>
              </w:rPr>
            </w:pPr>
            <w:r w:rsidRPr="00251D94">
              <w:rPr>
                <w:szCs w:val="21"/>
              </w:rPr>
              <w:t>331,471,634.30</w:t>
            </w:r>
          </w:p>
        </w:tc>
      </w:tr>
      <w:tr w:rsidR="00E171FB" w:rsidRPr="0091212A" w:rsidTr="00E171F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0.9009</w:t>
            </w:r>
          </w:p>
        </w:tc>
        <w:tc>
          <w:tcPr>
            <w:tcW w:w="1297" w:type="pct"/>
            <w:vAlign w:val="center"/>
          </w:tcPr>
          <w:p w:rsidR="0040141B" w:rsidRPr="00251D94" w:rsidRDefault="0040141B" w:rsidP="004E3EF9">
            <w:pPr>
              <w:spacing w:before="29" w:line="288" w:lineRule="auto"/>
              <w:jc w:val="right"/>
              <w:rPr>
                <w:szCs w:val="21"/>
              </w:rPr>
            </w:pPr>
            <w:r w:rsidRPr="00251D94">
              <w:rPr>
                <w:szCs w:val="21"/>
              </w:rPr>
              <w:t>1.1098</w:t>
            </w:r>
          </w:p>
        </w:tc>
      </w:tr>
      <w:tr w:rsidR="00E171FB" w:rsidRPr="0091212A" w:rsidTr="00E171FB">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E171FB" w:rsidRPr="0091212A" w:rsidTr="00E171FB">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-9.91%</w:t>
            </w:r>
          </w:p>
        </w:tc>
        <w:tc>
          <w:tcPr>
            <w:tcW w:w="1297" w:type="pct"/>
            <w:vAlign w:val="center"/>
          </w:tcPr>
          <w:p w:rsidR="0040141B" w:rsidRPr="00251D94" w:rsidRDefault="0040141B" w:rsidP="004E3EF9">
            <w:pPr>
              <w:spacing w:before="29" w:line="288" w:lineRule="auto"/>
              <w:jc w:val="right"/>
              <w:rPr>
                <w:szCs w:val="21"/>
              </w:rPr>
            </w:pPr>
            <w:r w:rsidRPr="00251D94">
              <w:rPr>
                <w:szCs w:val="21"/>
              </w:rPr>
              <w:t>10.98%</w:t>
            </w:r>
          </w:p>
        </w:tc>
      </w:tr>
    </w:tbl>
    <w:p w:rsidR="00413707" w:rsidRDefault="00532CE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AA14E5">
      <w:pPr>
        <w:tabs>
          <w:tab w:val="left" w:pos="426"/>
        </w:tabs>
        <w:spacing w:before="29" w:line="288" w:lineRule="auto"/>
        <w:ind w:firstLineChars="200" w:firstLine="480"/>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6711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6711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13707">
        <w:tc>
          <w:tcPr>
            <w:tcW w:w="1286" w:type="dxa"/>
            <w:vAlign w:val="center"/>
          </w:tcPr>
          <w:p w:rsidR="00413707" w:rsidRDefault="00532CED">
            <w:pPr>
              <w:jc w:val="left"/>
            </w:pPr>
            <w:r>
              <w:rPr>
                <w:color w:val="000000"/>
                <w:sz w:val="24"/>
              </w:rPr>
              <w:t>过去三个月</w:t>
            </w:r>
          </w:p>
        </w:tc>
        <w:tc>
          <w:tcPr>
            <w:tcW w:w="1286" w:type="dxa"/>
            <w:vAlign w:val="center"/>
          </w:tcPr>
          <w:p w:rsidR="00413707" w:rsidRDefault="00532CED">
            <w:pPr>
              <w:jc w:val="center"/>
            </w:pPr>
            <w:r>
              <w:rPr>
                <w:color w:val="000000"/>
                <w:sz w:val="24"/>
              </w:rPr>
              <w:t>-11.54%</w:t>
            </w:r>
          </w:p>
        </w:tc>
        <w:tc>
          <w:tcPr>
            <w:tcW w:w="1286" w:type="dxa"/>
            <w:vAlign w:val="center"/>
          </w:tcPr>
          <w:p w:rsidR="00413707" w:rsidRDefault="00532CED">
            <w:pPr>
              <w:jc w:val="center"/>
            </w:pPr>
            <w:r>
              <w:rPr>
                <w:color w:val="000000"/>
                <w:sz w:val="24"/>
              </w:rPr>
              <w:t>1.87%</w:t>
            </w:r>
          </w:p>
        </w:tc>
        <w:tc>
          <w:tcPr>
            <w:tcW w:w="1285" w:type="dxa"/>
            <w:vAlign w:val="center"/>
          </w:tcPr>
          <w:p w:rsidR="00413707" w:rsidRDefault="00532CED">
            <w:pPr>
              <w:jc w:val="center"/>
            </w:pPr>
            <w:r>
              <w:rPr>
                <w:color w:val="000000"/>
                <w:sz w:val="24"/>
              </w:rPr>
              <w:t>-6.54%</w:t>
            </w:r>
          </w:p>
        </w:tc>
        <w:tc>
          <w:tcPr>
            <w:tcW w:w="1285" w:type="dxa"/>
            <w:vAlign w:val="center"/>
          </w:tcPr>
          <w:p w:rsidR="00413707" w:rsidRDefault="00532CED">
            <w:pPr>
              <w:jc w:val="center"/>
            </w:pPr>
            <w:r>
              <w:rPr>
                <w:color w:val="000000"/>
                <w:sz w:val="24"/>
              </w:rPr>
              <w:t>0.98%</w:t>
            </w:r>
          </w:p>
        </w:tc>
        <w:tc>
          <w:tcPr>
            <w:tcW w:w="1285" w:type="dxa"/>
            <w:vAlign w:val="center"/>
          </w:tcPr>
          <w:p w:rsidR="00413707" w:rsidRDefault="00532CED">
            <w:pPr>
              <w:jc w:val="center"/>
            </w:pPr>
            <w:r>
              <w:rPr>
                <w:color w:val="000000"/>
                <w:sz w:val="24"/>
              </w:rPr>
              <w:t>-5.00%</w:t>
            </w:r>
          </w:p>
        </w:tc>
        <w:tc>
          <w:tcPr>
            <w:tcW w:w="1285" w:type="dxa"/>
            <w:vAlign w:val="center"/>
          </w:tcPr>
          <w:p w:rsidR="00413707" w:rsidRDefault="00532CED">
            <w:pPr>
              <w:jc w:val="center"/>
            </w:pPr>
            <w:r>
              <w:rPr>
                <w:color w:val="000000"/>
                <w:sz w:val="24"/>
              </w:rPr>
              <w:t>0.89%</w:t>
            </w:r>
          </w:p>
        </w:tc>
      </w:tr>
      <w:tr w:rsidR="00413707">
        <w:tc>
          <w:tcPr>
            <w:tcW w:w="1286" w:type="dxa"/>
            <w:vAlign w:val="center"/>
          </w:tcPr>
          <w:p w:rsidR="00413707" w:rsidRDefault="00532CED">
            <w:pPr>
              <w:jc w:val="left"/>
            </w:pPr>
            <w:r>
              <w:rPr>
                <w:color w:val="000000"/>
                <w:sz w:val="24"/>
              </w:rPr>
              <w:t>过去六个月</w:t>
            </w:r>
          </w:p>
        </w:tc>
        <w:tc>
          <w:tcPr>
            <w:tcW w:w="1286" w:type="dxa"/>
            <w:vAlign w:val="center"/>
          </w:tcPr>
          <w:p w:rsidR="00413707" w:rsidRDefault="00532CED">
            <w:pPr>
              <w:jc w:val="center"/>
            </w:pPr>
            <w:r>
              <w:rPr>
                <w:color w:val="000000"/>
                <w:sz w:val="24"/>
              </w:rPr>
              <w:t>-16.51%</w:t>
            </w:r>
          </w:p>
        </w:tc>
        <w:tc>
          <w:tcPr>
            <w:tcW w:w="1286" w:type="dxa"/>
            <w:vAlign w:val="center"/>
          </w:tcPr>
          <w:p w:rsidR="00413707" w:rsidRDefault="00532CED">
            <w:pPr>
              <w:jc w:val="center"/>
            </w:pPr>
            <w:r>
              <w:rPr>
                <w:color w:val="000000"/>
                <w:sz w:val="24"/>
              </w:rPr>
              <w:t>1.73%</w:t>
            </w:r>
          </w:p>
        </w:tc>
        <w:tc>
          <w:tcPr>
            <w:tcW w:w="1285" w:type="dxa"/>
            <w:vAlign w:val="center"/>
          </w:tcPr>
          <w:p w:rsidR="00413707" w:rsidRDefault="00532CED">
            <w:pPr>
              <w:jc w:val="center"/>
            </w:pPr>
            <w:r>
              <w:rPr>
                <w:color w:val="000000"/>
                <w:sz w:val="24"/>
              </w:rPr>
              <w:t>-7.07%</w:t>
            </w:r>
          </w:p>
        </w:tc>
        <w:tc>
          <w:tcPr>
            <w:tcW w:w="1285" w:type="dxa"/>
            <w:vAlign w:val="center"/>
          </w:tcPr>
          <w:p w:rsidR="00413707" w:rsidRDefault="00532CED">
            <w:pPr>
              <w:jc w:val="center"/>
            </w:pPr>
            <w:r>
              <w:rPr>
                <w:color w:val="000000"/>
                <w:sz w:val="24"/>
              </w:rPr>
              <w:t>0.90%</w:t>
            </w:r>
          </w:p>
        </w:tc>
        <w:tc>
          <w:tcPr>
            <w:tcW w:w="1285" w:type="dxa"/>
            <w:vAlign w:val="center"/>
          </w:tcPr>
          <w:p w:rsidR="00413707" w:rsidRDefault="00532CED">
            <w:pPr>
              <w:jc w:val="center"/>
            </w:pPr>
            <w:r>
              <w:rPr>
                <w:color w:val="000000"/>
                <w:sz w:val="24"/>
              </w:rPr>
              <w:t>-9.44%</w:t>
            </w:r>
          </w:p>
        </w:tc>
        <w:tc>
          <w:tcPr>
            <w:tcW w:w="1285" w:type="dxa"/>
            <w:vAlign w:val="center"/>
          </w:tcPr>
          <w:p w:rsidR="00413707" w:rsidRDefault="00532CED">
            <w:pPr>
              <w:jc w:val="center"/>
            </w:pPr>
            <w:r>
              <w:rPr>
                <w:color w:val="000000"/>
                <w:sz w:val="24"/>
              </w:rPr>
              <w:t>0.83%</w:t>
            </w:r>
          </w:p>
        </w:tc>
      </w:tr>
      <w:tr w:rsidR="00413707">
        <w:tc>
          <w:tcPr>
            <w:tcW w:w="1286" w:type="dxa"/>
            <w:vAlign w:val="center"/>
          </w:tcPr>
          <w:p w:rsidR="00413707" w:rsidRDefault="00532CED">
            <w:pPr>
              <w:jc w:val="left"/>
            </w:pPr>
            <w:r>
              <w:rPr>
                <w:color w:val="000000"/>
                <w:sz w:val="24"/>
              </w:rPr>
              <w:t>过去一年</w:t>
            </w:r>
          </w:p>
        </w:tc>
        <w:tc>
          <w:tcPr>
            <w:tcW w:w="1286" w:type="dxa"/>
            <w:vAlign w:val="center"/>
          </w:tcPr>
          <w:p w:rsidR="00413707" w:rsidRDefault="00532CED">
            <w:pPr>
              <w:jc w:val="center"/>
            </w:pPr>
            <w:r>
              <w:rPr>
                <w:color w:val="000000"/>
                <w:sz w:val="24"/>
              </w:rPr>
              <w:t>-18.82%</w:t>
            </w:r>
          </w:p>
        </w:tc>
        <w:tc>
          <w:tcPr>
            <w:tcW w:w="1286" w:type="dxa"/>
            <w:vAlign w:val="center"/>
          </w:tcPr>
          <w:p w:rsidR="00413707" w:rsidRDefault="00532CED">
            <w:pPr>
              <w:jc w:val="center"/>
            </w:pPr>
            <w:r>
              <w:rPr>
                <w:color w:val="000000"/>
                <w:sz w:val="24"/>
              </w:rPr>
              <w:t>1.59%</w:t>
            </w:r>
          </w:p>
        </w:tc>
        <w:tc>
          <w:tcPr>
            <w:tcW w:w="1285" w:type="dxa"/>
            <w:vAlign w:val="center"/>
          </w:tcPr>
          <w:p w:rsidR="00413707" w:rsidRDefault="00532CED">
            <w:pPr>
              <w:jc w:val="center"/>
            </w:pPr>
            <w:r>
              <w:rPr>
                <w:color w:val="000000"/>
                <w:sz w:val="24"/>
              </w:rPr>
              <w:t>-12.93%</w:t>
            </w:r>
          </w:p>
        </w:tc>
        <w:tc>
          <w:tcPr>
            <w:tcW w:w="1285" w:type="dxa"/>
            <w:vAlign w:val="center"/>
          </w:tcPr>
          <w:p w:rsidR="00413707" w:rsidRDefault="00532CED">
            <w:pPr>
              <w:jc w:val="center"/>
            </w:pPr>
            <w:r>
              <w:rPr>
                <w:color w:val="000000"/>
                <w:sz w:val="24"/>
              </w:rPr>
              <w:t>0.80%</w:t>
            </w:r>
          </w:p>
        </w:tc>
        <w:tc>
          <w:tcPr>
            <w:tcW w:w="1285" w:type="dxa"/>
            <w:vAlign w:val="center"/>
          </w:tcPr>
          <w:p w:rsidR="00413707" w:rsidRDefault="00532CED">
            <w:pPr>
              <w:jc w:val="center"/>
            </w:pPr>
            <w:r>
              <w:rPr>
                <w:color w:val="000000"/>
                <w:sz w:val="24"/>
              </w:rPr>
              <w:t>-5.89%</w:t>
            </w:r>
          </w:p>
        </w:tc>
        <w:tc>
          <w:tcPr>
            <w:tcW w:w="1285" w:type="dxa"/>
            <w:vAlign w:val="center"/>
          </w:tcPr>
          <w:p w:rsidR="00413707" w:rsidRDefault="00532CED">
            <w:pPr>
              <w:jc w:val="center"/>
            </w:pPr>
            <w:r>
              <w:rPr>
                <w:color w:val="000000"/>
                <w:sz w:val="24"/>
              </w:rPr>
              <w:t>0.79%</w:t>
            </w:r>
          </w:p>
        </w:tc>
      </w:tr>
      <w:tr w:rsidR="00413707">
        <w:tc>
          <w:tcPr>
            <w:tcW w:w="1286" w:type="dxa"/>
            <w:vAlign w:val="center"/>
          </w:tcPr>
          <w:p w:rsidR="00413707" w:rsidRDefault="00532CED">
            <w:pPr>
              <w:jc w:val="left"/>
            </w:pPr>
            <w:r>
              <w:rPr>
                <w:color w:val="000000"/>
                <w:sz w:val="24"/>
              </w:rPr>
              <w:t>自基金合同生效起至今</w:t>
            </w:r>
          </w:p>
        </w:tc>
        <w:tc>
          <w:tcPr>
            <w:tcW w:w="1286" w:type="dxa"/>
            <w:vAlign w:val="center"/>
          </w:tcPr>
          <w:p w:rsidR="00413707" w:rsidRDefault="00532CED" w:rsidP="003F140C">
            <w:pPr>
              <w:jc w:val="center"/>
            </w:pPr>
            <w:r>
              <w:rPr>
                <w:color w:val="000000"/>
                <w:sz w:val="24"/>
              </w:rPr>
              <w:t>-9.9</w:t>
            </w:r>
            <w:r w:rsidR="003F140C">
              <w:rPr>
                <w:color w:val="000000"/>
                <w:sz w:val="24"/>
              </w:rPr>
              <w:t>1</w:t>
            </w:r>
            <w:r>
              <w:rPr>
                <w:color w:val="000000"/>
                <w:sz w:val="24"/>
              </w:rPr>
              <w:t>%</w:t>
            </w:r>
          </w:p>
        </w:tc>
        <w:tc>
          <w:tcPr>
            <w:tcW w:w="1286" w:type="dxa"/>
            <w:vAlign w:val="center"/>
          </w:tcPr>
          <w:p w:rsidR="00413707" w:rsidRDefault="00532CED">
            <w:pPr>
              <w:jc w:val="center"/>
            </w:pPr>
            <w:r>
              <w:rPr>
                <w:color w:val="000000"/>
                <w:sz w:val="24"/>
              </w:rPr>
              <w:t>1.44%</w:t>
            </w:r>
          </w:p>
        </w:tc>
        <w:tc>
          <w:tcPr>
            <w:tcW w:w="1285" w:type="dxa"/>
            <w:vAlign w:val="center"/>
          </w:tcPr>
          <w:p w:rsidR="00413707" w:rsidRDefault="00532CED">
            <w:pPr>
              <w:jc w:val="center"/>
            </w:pPr>
            <w:r>
              <w:rPr>
                <w:color w:val="000000"/>
                <w:sz w:val="24"/>
              </w:rPr>
              <w:t>-8.84%</w:t>
            </w:r>
          </w:p>
        </w:tc>
        <w:tc>
          <w:tcPr>
            <w:tcW w:w="1285" w:type="dxa"/>
            <w:vAlign w:val="center"/>
          </w:tcPr>
          <w:p w:rsidR="00413707" w:rsidRDefault="00532CED">
            <w:pPr>
              <w:jc w:val="center"/>
            </w:pPr>
            <w:r>
              <w:rPr>
                <w:color w:val="000000"/>
                <w:sz w:val="24"/>
              </w:rPr>
              <w:t>0.72%</w:t>
            </w:r>
          </w:p>
        </w:tc>
        <w:tc>
          <w:tcPr>
            <w:tcW w:w="1285" w:type="dxa"/>
            <w:vAlign w:val="center"/>
          </w:tcPr>
          <w:p w:rsidR="00413707" w:rsidRDefault="00532CED" w:rsidP="00C16912">
            <w:pPr>
              <w:jc w:val="center"/>
            </w:pPr>
            <w:r>
              <w:rPr>
                <w:color w:val="000000"/>
                <w:sz w:val="24"/>
              </w:rPr>
              <w:t>-1.</w:t>
            </w:r>
            <w:r w:rsidR="00C16912">
              <w:rPr>
                <w:color w:val="000000"/>
                <w:sz w:val="24"/>
              </w:rPr>
              <w:t>07</w:t>
            </w:r>
            <w:r>
              <w:rPr>
                <w:color w:val="000000"/>
                <w:sz w:val="24"/>
              </w:rPr>
              <w:t>%</w:t>
            </w:r>
          </w:p>
        </w:tc>
        <w:tc>
          <w:tcPr>
            <w:tcW w:w="1285" w:type="dxa"/>
            <w:vAlign w:val="center"/>
          </w:tcPr>
          <w:p w:rsidR="00413707" w:rsidRDefault="00532CED">
            <w:pPr>
              <w:jc w:val="center"/>
            </w:pPr>
            <w:r>
              <w:rPr>
                <w:color w:val="000000"/>
                <w:sz w:val="24"/>
              </w:rPr>
              <w:t>0.72%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lastRenderedPageBreak/>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00AA14E5" w:rsidRPr="00E15CED">
        <w:rPr>
          <w:kern w:val="0"/>
          <w:sz w:val="24"/>
        </w:rPr>
        <w:t>201</w:t>
      </w:r>
      <w:r w:rsidR="00AA14E5">
        <w:rPr>
          <w:kern w:val="0"/>
          <w:sz w:val="24"/>
        </w:rPr>
        <w:t>7</w:t>
      </w:r>
      <w:r w:rsidRPr="00E15CED">
        <w:rPr>
          <w:kern w:val="0"/>
          <w:sz w:val="24"/>
        </w:rPr>
        <w:t>年</w:t>
      </w:r>
      <w:r w:rsidR="00AA14E5">
        <w:rPr>
          <w:kern w:val="0"/>
          <w:sz w:val="24"/>
        </w:rPr>
        <w:t>8</w:t>
      </w:r>
      <w:r w:rsidRPr="00E15CED">
        <w:rPr>
          <w:kern w:val="0"/>
          <w:sz w:val="24"/>
        </w:rPr>
        <w:t>月</w:t>
      </w:r>
      <w:r w:rsidR="00AA14E5">
        <w:rPr>
          <w:kern w:val="0"/>
          <w:sz w:val="24"/>
        </w:rPr>
        <w:t>25</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w:t>
      </w:r>
      <w:r w:rsidR="0096402A" w:rsidRPr="00E15CED">
        <w:rPr>
          <w:kern w:val="0"/>
          <w:sz w:val="24"/>
        </w:rPr>
        <w:t>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F5BB0" w:rsidRDefault="00E63239" w:rsidP="00FF5BB0">
      <w:pPr>
        <w:pStyle w:val="20"/>
        <w:spacing w:before="29" w:after="0" w:line="288" w:lineRule="auto"/>
        <w:rPr>
          <w:rFonts w:ascii="Times New Roman" w:hAnsi="Times New Roman"/>
          <w:kern w:val="0"/>
          <w:szCs w:val="24"/>
        </w:rPr>
      </w:pPr>
      <w:bookmarkStart w:id="34" w:name="_Toc249760033"/>
      <w:bookmarkStart w:id="35" w:name="_Toc361324853"/>
      <w:bookmarkStart w:id="36" w:name="_Toc4167114"/>
      <w:r w:rsidRPr="00FF5BB0">
        <w:rPr>
          <w:rFonts w:ascii="Times New Roman" w:hAnsi="Times New Roman"/>
          <w:kern w:val="0"/>
          <w:szCs w:val="24"/>
        </w:rPr>
        <w:t>3.3</w:t>
      </w:r>
      <w:r w:rsidRPr="00FF5BB0">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413707">
        <w:trPr>
          <w:jc w:val="center"/>
        </w:trPr>
        <w:tc>
          <w:tcPr>
            <w:tcW w:w="1157" w:type="dxa"/>
            <w:vAlign w:val="center"/>
          </w:tcPr>
          <w:p w:rsidR="00413707" w:rsidRDefault="00532CED">
            <w:pPr>
              <w:jc w:val="center"/>
            </w:pPr>
            <w:r>
              <w:rPr>
                <w:color w:val="000000"/>
                <w:sz w:val="24"/>
              </w:rPr>
              <w:t>2017</w:t>
            </w:r>
            <w:r>
              <w:rPr>
                <w:color w:val="000000"/>
                <w:sz w:val="24"/>
              </w:rPr>
              <w:t>年</w:t>
            </w:r>
          </w:p>
        </w:tc>
        <w:tc>
          <w:tcPr>
            <w:tcW w:w="1378" w:type="dxa"/>
            <w:vAlign w:val="center"/>
          </w:tcPr>
          <w:p w:rsidR="00413707" w:rsidRDefault="00532CED">
            <w:pPr>
              <w:jc w:val="right"/>
            </w:pPr>
            <w:r>
              <w:rPr>
                <w:color w:val="000000"/>
                <w:sz w:val="24"/>
              </w:rPr>
              <w:t>-</w:t>
            </w:r>
          </w:p>
        </w:tc>
        <w:tc>
          <w:tcPr>
            <w:tcW w:w="1839" w:type="dxa"/>
            <w:vAlign w:val="center"/>
          </w:tcPr>
          <w:p w:rsidR="00413707" w:rsidRDefault="00532CED">
            <w:pPr>
              <w:jc w:val="right"/>
            </w:pPr>
            <w:r>
              <w:rPr>
                <w:color w:val="000000"/>
                <w:sz w:val="24"/>
              </w:rPr>
              <w:t>-</w:t>
            </w:r>
          </w:p>
        </w:tc>
        <w:tc>
          <w:tcPr>
            <w:tcW w:w="1950" w:type="dxa"/>
            <w:vAlign w:val="center"/>
          </w:tcPr>
          <w:p w:rsidR="00413707" w:rsidRDefault="00532CED">
            <w:pPr>
              <w:jc w:val="right"/>
            </w:pPr>
            <w:r>
              <w:rPr>
                <w:color w:val="000000"/>
                <w:sz w:val="24"/>
              </w:rPr>
              <w:t>-</w:t>
            </w:r>
          </w:p>
        </w:tc>
        <w:tc>
          <w:tcPr>
            <w:tcW w:w="1894" w:type="dxa"/>
            <w:vAlign w:val="center"/>
          </w:tcPr>
          <w:p w:rsidR="00413707" w:rsidRDefault="00532CED">
            <w:pPr>
              <w:jc w:val="right"/>
            </w:pPr>
            <w:r>
              <w:rPr>
                <w:color w:val="000000"/>
                <w:sz w:val="24"/>
              </w:rPr>
              <w:t>-</w:t>
            </w:r>
          </w:p>
        </w:tc>
        <w:tc>
          <w:tcPr>
            <w:tcW w:w="1068" w:type="dxa"/>
            <w:vAlign w:val="center"/>
          </w:tcPr>
          <w:p w:rsidR="00413707" w:rsidRDefault="00532CED">
            <w:pPr>
              <w:jc w:val="left"/>
            </w:pPr>
            <w:r>
              <w:rPr>
                <w:color w:val="000000"/>
                <w:sz w:val="24"/>
              </w:rPr>
              <w:t>-</w:t>
            </w:r>
          </w:p>
        </w:tc>
      </w:tr>
      <w:tr w:rsidR="00413707">
        <w:trPr>
          <w:jc w:val="center"/>
        </w:trPr>
        <w:tc>
          <w:tcPr>
            <w:tcW w:w="1157" w:type="dxa"/>
            <w:vAlign w:val="center"/>
          </w:tcPr>
          <w:p w:rsidR="00413707" w:rsidRDefault="00532CED">
            <w:pPr>
              <w:jc w:val="center"/>
            </w:pPr>
            <w:r>
              <w:rPr>
                <w:color w:val="000000"/>
                <w:sz w:val="24"/>
              </w:rPr>
              <w:t>2018</w:t>
            </w:r>
            <w:r w:rsidR="00AA14E5">
              <w:rPr>
                <w:rFonts w:hint="eastAsia"/>
                <w:color w:val="000000"/>
                <w:sz w:val="24"/>
              </w:rPr>
              <w:t>年</w:t>
            </w:r>
          </w:p>
        </w:tc>
        <w:tc>
          <w:tcPr>
            <w:tcW w:w="1378" w:type="dxa"/>
            <w:vAlign w:val="center"/>
          </w:tcPr>
          <w:p w:rsidR="00413707" w:rsidRDefault="00532CED">
            <w:pPr>
              <w:jc w:val="right"/>
            </w:pPr>
            <w:r>
              <w:rPr>
                <w:color w:val="000000"/>
                <w:sz w:val="24"/>
              </w:rPr>
              <w:t>-</w:t>
            </w:r>
          </w:p>
        </w:tc>
        <w:tc>
          <w:tcPr>
            <w:tcW w:w="1839" w:type="dxa"/>
            <w:vAlign w:val="center"/>
          </w:tcPr>
          <w:p w:rsidR="00413707" w:rsidRDefault="00532CED">
            <w:pPr>
              <w:jc w:val="right"/>
            </w:pPr>
            <w:r>
              <w:rPr>
                <w:color w:val="000000"/>
                <w:sz w:val="24"/>
              </w:rPr>
              <w:t>-</w:t>
            </w:r>
          </w:p>
        </w:tc>
        <w:tc>
          <w:tcPr>
            <w:tcW w:w="1950" w:type="dxa"/>
            <w:vAlign w:val="center"/>
          </w:tcPr>
          <w:p w:rsidR="00413707" w:rsidRDefault="00532CED">
            <w:pPr>
              <w:jc w:val="right"/>
            </w:pPr>
            <w:r>
              <w:rPr>
                <w:color w:val="000000"/>
                <w:sz w:val="24"/>
              </w:rPr>
              <w:t>-</w:t>
            </w:r>
          </w:p>
        </w:tc>
        <w:tc>
          <w:tcPr>
            <w:tcW w:w="1894" w:type="dxa"/>
            <w:vAlign w:val="center"/>
          </w:tcPr>
          <w:p w:rsidR="00413707" w:rsidRDefault="00532CED">
            <w:pPr>
              <w:jc w:val="right"/>
            </w:pPr>
            <w:r>
              <w:rPr>
                <w:color w:val="000000"/>
                <w:sz w:val="24"/>
              </w:rPr>
              <w:t>-</w:t>
            </w:r>
          </w:p>
        </w:tc>
        <w:tc>
          <w:tcPr>
            <w:tcW w:w="1068" w:type="dxa"/>
            <w:vAlign w:val="center"/>
          </w:tcPr>
          <w:p w:rsidR="00413707" w:rsidRDefault="00532CED">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6711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6711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6711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413707" w:rsidRDefault="00532CE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6711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13707">
        <w:tc>
          <w:tcPr>
            <w:tcW w:w="1032" w:type="dxa"/>
            <w:vAlign w:val="center"/>
          </w:tcPr>
          <w:p w:rsidR="00413707" w:rsidRDefault="00532CED">
            <w:pPr>
              <w:jc w:val="center"/>
            </w:pPr>
            <w:proofErr w:type="gramStart"/>
            <w:r>
              <w:rPr>
                <w:color w:val="000000"/>
                <w:sz w:val="24"/>
              </w:rPr>
              <w:t>韩威俊</w:t>
            </w:r>
            <w:proofErr w:type="gramEnd"/>
          </w:p>
        </w:tc>
        <w:tc>
          <w:tcPr>
            <w:tcW w:w="1416" w:type="dxa"/>
            <w:vAlign w:val="center"/>
          </w:tcPr>
          <w:p w:rsidR="00413707" w:rsidRDefault="00532CED">
            <w:pPr>
              <w:jc w:val="center"/>
            </w:pPr>
            <w:r>
              <w:rPr>
                <w:color w:val="000000"/>
                <w:sz w:val="24"/>
              </w:rPr>
              <w:t>交</w:t>
            </w:r>
            <w:proofErr w:type="gramStart"/>
            <w:r>
              <w:rPr>
                <w:color w:val="000000"/>
                <w:sz w:val="24"/>
              </w:rPr>
              <w:t>银趋势</w:t>
            </w:r>
            <w:proofErr w:type="gramEnd"/>
            <w:r>
              <w:rPr>
                <w:color w:val="000000"/>
                <w:sz w:val="24"/>
              </w:rPr>
              <w:t>混合、交银策略回报灵活配置混合、交</w:t>
            </w:r>
            <w:proofErr w:type="gramStart"/>
            <w:r>
              <w:rPr>
                <w:color w:val="000000"/>
                <w:sz w:val="24"/>
              </w:rPr>
              <w:t>银消费</w:t>
            </w:r>
            <w:proofErr w:type="gramEnd"/>
            <w:r>
              <w:rPr>
                <w:color w:val="000000"/>
                <w:sz w:val="24"/>
              </w:rPr>
              <w:t>新驱动股票、交银股息优化混合、交银品质升级混合的基金经理</w:t>
            </w:r>
          </w:p>
        </w:tc>
        <w:tc>
          <w:tcPr>
            <w:tcW w:w="1238" w:type="dxa"/>
            <w:vAlign w:val="center"/>
          </w:tcPr>
          <w:p w:rsidR="00413707" w:rsidRDefault="00532CED">
            <w:pPr>
              <w:jc w:val="center"/>
            </w:pPr>
            <w:r>
              <w:rPr>
                <w:color w:val="000000"/>
                <w:sz w:val="24"/>
              </w:rPr>
              <w:t>2017-08-25</w:t>
            </w:r>
          </w:p>
        </w:tc>
        <w:tc>
          <w:tcPr>
            <w:tcW w:w="1276" w:type="dxa"/>
            <w:vAlign w:val="center"/>
          </w:tcPr>
          <w:p w:rsidR="00413707" w:rsidRDefault="00532CED">
            <w:pPr>
              <w:jc w:val="center"/>
            </w:pPr>
            <w:r>
              <w:rPr>
                <w:color w:val="000000"/>
                <w:sz w:val="24"/>
              </w:rPr>
              <w:t>-</w:t>
            </w:r>
          </w:p>
        </w:tc>
        <w:tc>
          <w:tcPr>
            <w:tcW w:w="996" w:type="dxa"/>
            <w:vAlign w:val="center"/>
          </w:tcPr>
          <w:p w:rsidR="00413707" w:rsidRDefault="00532CED">
            <w:pPr>
              <w:jc w:val="center"/>
            </w:pPr>
            <w:r>
              <w:rPr>
                <w:color w:val="000000"/>
                <w:sz w:val="24"/>
              </w:rPr>
              <w:t>12</w:t>
            </w:r>
            <w:r>
              <w:rPr>
                <w:color w:val="000000"/>
                <w:sz w:val="24"/>
              </w:rPr>
              <w:t>年</w:t>
            </w:r>
          </w:p>
        </w:tc>
        <w:tc>
          <w:tcPr>
            <w:tcW w:w="3040" w:type="dxa"/>
            <w:vAlign w:val="center"/>
          </w:tcPr>
          <w:p w:rsidR="00413707" w:rsidRDefault="00532CED">
            <w:r>
              <w:rPr>
                <w:color w:val="000000"/>
                <w:sz w:val="24"/>
              </w:rPr>
              <w:t>韩威俊先生，上海财经大学金融学硕士。历任申银万国证券研究所助理分析师、北京鼎天资产管理有限公司董事助理、申银万国证券研究所行业分析师、信</w:t>
            </w:r>
            <w:proofErr w:type="gramStart"/>
            <w:r>
              <w:rPr>
                <w:color w:val="000000"/>
                <w:sz w:val="24"/>
              </w:rPr>
              <w:t>诚基金</w:t>
            </w:r>
            <w:proofErr w:type="gramEnd"/>
            <w:r>
              <w:rPr>
                <w:color w:val="000000"/>
                <w:sz w:val="24"/>
              </w:rPr>
              <w:t>管理有限公司投资分析师。</w:t>
            </w:r>
            <w:r>
              <w:rPr>
                <w:color w:val="000000"/>
                <w:sz w:val="24"/>
              </w:rPr>
              <w:t>2013</w:t>
            </w:r>
            <w:r>
              <w:rPr>
                <w:color w:val="000000"/>
                <w:sz w:val="24"/>
              </w:rPr>
              <w:t>年加入交银施罗德基金管理有限公司，历任行业分析师。</w:t>
            </w:r>
          </w:p>
        </w:tc>
      </w:tr>
    </w:tbl>
    <w:p w:rsidR="00413707" w:rsidRDefault="00532CED">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13707" w:rsidRDefault="00532CED">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6711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6712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6712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413707" w:rsidRDefault="00532CE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413707" w:rsidRDefault="00532CE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13707" w:rsidRDefault="00532CE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13707" w:rsidRDefault="00532CE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13707" w:rsidRDefault="00532CE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6712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413707" w:rsidRDefault="00532CED">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13707" w:rsidRDefault="00532CED">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13707" w:rsidRDefault="00532CED">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w:t>
      </w:r>
      <w:r w:rsidRPr="00125363">
        <w:rPr>
          <w:color w:val="000000"/>
          <w:sz w:val="24"/>
        </w:rPr>
        <w:lastRenderedPageBreak/>
        <w:t>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6712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6712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6712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413707" w:rsidRDefault="00532CED">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2018</w:t>
      </w:r>
      <w:r w:rsidRPr="00125363">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25363">
        <w:rPr>
          <w:color w:val="000000"/>
          <w:sz w:val="24"/>
        </w:rPr>
        <w:t>“</w:t>
      </w:r>
      <w:r w:rsidRPr="00125363">
        <w:rPr>
          <w:color w:val="000000"/>
          <w:sz w:val="24"/>
        </w:rPr>
        <w:t>戴维斯双杀</w:t>
      </w:r>
      <w:r w:rsidRPr="00125363">
        <w:rPr>
          <w:color w:val="000000"/>
          <w:sz w:val="24"/>
        </w:rPr>
        <w:t>”</w:t>
      </w:r>
      <w:r w:rsidRPr="00125363">
        <w:rPr>
          <w:color w:val="000000"/>
          <w:sz w:val="24"/>
        </w:rPr>
        <w:t>。考虑到十月之后，中美汇率敞口可能带来的人民币汇率阶段性升值的机会，所以适度增加了黄金、基建、航空等配置比例，并在十一月中下旬逐步兑现。目前只留下了部分基建股作为</w:t>
      </w:r>
      <w:r w:rsidRPr="00125363">
        <w:rPr>
          <w:color w:val="000000"/>
          <w:sz w:val="24"/>
        </w:rPr>
        <w:t>2019</w:t>
      </w:r>
      <w:r w:rsidRPr="00125363">
        <w:rPr>
          <w:color w:val="000000"/>
          <w:sz w:val="24"/>
        </w:rPr>
        <w:t>年一季度的配置。本基金在</w:t>
      </w:r>
      <w:r w:rsidRPr="00125363">
        <w:rPr>
          <w:color w:val="000000"/>
          <w:sz w:val="24"/>
        </w:rPr>
        <w:t>2018</w:t>
      </w:r>
      <w:r w:rsidRPr="00125363">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25363">
        <w:rPr>
          <w:color w:val="000000"/>
          <w:sz w:val="24"/>
        </w:rPr>
        <w:t>2019</w:t>
      </w:r>
      <w:r w:rsidRPr="00125363">
        <w:rPr>
          <w:color w:val="000000"/>
          <w:sz w:val="24"/>
        </w:rPr>
        <w:t>年一季度整体房地产销售面积和新开工面积等中</w:t>
      </w:r>
      <w:proofErr w:type="gramStart"/>
      <w:r w:rsidRPr="00125363">
        <w:rPr>
          <w:color w:val="000000"/>
          <w:sz w:val="24"/>
        </w:rPr>
        <w:t>观数据</w:t>
      </w:r>
      <w:proofErr w:type="gramEnd"/>
      <w:r w:rsidRPr="00125363">
        <w:rPr>
          <w:color w:val="000000"/>
          <w:sz w:val="24"/>
        </w:rPr>
        <w:t>压力会比较大，后续更多的还是要关注</w:t>
      </w:r>
      <w:r w:rsidRPr="00125363">
        <w:rPr>
          <w:color w:val="000000"/>
          <w:sz w:val="24"/>
        </w:rPr>
        <w:t>2019</w:t>
      </w:r>
      <w:r w:rsidRPr="00125363">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25363">
        <w:rPr>
          <w:color w:val="000000"/>
          <w:sz w:val="24"/>
        </w:rPr>
        <w:t>2019</w:t>
      </w:r>
      <w:r w:rsidRPr="00125363">
        <w:rPr>
          <w:color w:val="000000"/>
          <w:sz w:val="24"/>
        </w:rPr>
        <w:t>年业绩增速大概率低于</w:t>
      </w:r>
      <w:r w:rsidRPr="00125363">
        <w:rPr>
          <w:color w:val="000000"/>
          <w:sz w:val="24"/>
        </w:rPr>
        <w:t>2018</w:t>
      </w:r>
      <w:r w:rsidRPr="00125363">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25363">
        <w:rPr>
          <w:color w:val="000000"/>
          <w:sz w:val="24"/>
        </w:rPr>
        <w:t>2019</w:t>
      </w:r>
      <w:r w:rsidRPr="00125363">
        <w:rPr>
          <w:color w:val="000000"/>
          <w:sz w:val="24"/>
        </w:rPr>
        <w:t>年应该能够获得不错的绝对收益和分红收益率。本基金在十二月中下旬，增加了分红率较高，明年业绩可能会出现高增长的部分小市值公司。</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6712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67127"/>
      <w:r w:rsidRPr="000E6433">
        <w:rPr>
          <w:rFonts w:ascii="Times New Roman" w:hAnsi="Times New Roman"/>
          <w:kern w:val="0"/>
          <w:szCs w:val="24"/>
        </w:rPr>
        <w:lastRenderedPageBreak/>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413707" w:rsidRDefault="00532CED">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w:t>
      </w:r>
      <w:proofErr w:type="gramStart"/>
      <w:r>
        <w:rPr>
          <w:color w:val="000000"/>
          <w:sz w:val="24"/>
        </w:rPr>
        <w:t>一</w:t>
      </w:r>
      <w:proofErr w:type="gramEnd"/>
      <w:r>
        <w:rPr>
          <w:color w:val="000000"/>
          <w:sz w:val="24"/>
        </w:rPr>
        <w:t>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w:t>
      </w:r>
      <w:proofErr w:type="gramStart"/>
      <w:r>
        <w:rPr>
          <w:color w:val="000000"/>
          <w:sz w:val="24"/>
        </w:rPr>
        <w:t>在标普纳入</w:t>
      </w:r>
      <w:proofErr w:type="gramEnd"/>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2019</w:t>
      </w:r>
      <w:r w:rsidRPr="00125363">
        <w:rPr>
          <w:color w:val="000000"/>
          <w:sz w:val="24"/>
        </w:rPr>
        <w:t>年将维持现有</w:t>
      </w:r>
      <w:proofErr w:type="gramStart"/>
      <w:r w:rsidRPr="00125363">
        <w:rPr>
          <w:color w:val="000000"/>
          <w:sz w:val="24"/>
        </w:rPr>
        <w:t>仓位</w:t>
      </w:r>
      <w:proofErr w:type="gramEnd"/>
      <w:r w:rsidRPr="00125363">
        <w:rPr>
          <w:color w:val="000000"/>
          <w:sz w:val="24"/>
        </w:rPr>
        <w:t>和配置思路，从分红率的角度考虑，优先配置分红率较高的消费白马和地产龙头，后续继续增加对分红率较高的在</w:t>
      </w:r>
      <w:r w:rsidRPr="00125363">
        <w:rPr>
          <w:color w:val="000000"/>
          <w:sz w:val="24"/>
        </w:rPr>
        <w:t>2019</w:t>
      </w:r>
      <w:r w:rsidRPr="00125363">
        <w:rPr>
          <w:color w:val="000000"/>
          <w:sz w:val="24"/>
        </w:rPr>
        <w:t>年一季度或者全年可能出现较快增长的小市值公司的研究和配置。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6712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413707" w:rsidRDefault="00532CED">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413707" w:rsidRDefault="00532CE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13707" w:rsidRDefault="00532CED">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413707" w:rsidRDefault="00532CED">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413707" w:rsidRDefault="00532CED">
      <w:pPr>
        <w:spacing w:before="29" w:line="288" w:lineRule="auto"/>
        <w:ind w:firstLineChars="200" w:firstLine="480"/>
        <w:rPr>
          <w:color w:val="000000"/>
          <w:sz w:val="24"/>
        </w:rPr>
      </w:pPr>
      <w:r>
        <w:rPr>
          <w:color w:val="000000"/>
          <w:sz w:val="24"/>
        </w:rPr>
        <w:t>（二）继续深化全面风险管理，提高风险控制有效性。</w:t>
      </w:r>
    </w:p>
    <w:p w:rsidR="00413707" w:rsidRDefault="00532CED">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413707" w:rsidRDefault="00532CED">
      <w:pPr>
        <w:spacing w:before="29" w:line="288" w:lineRule="auto"/>
        <w:ind w:firstLineChars="200" w:firstLine="480"/>
        <w:rPr>
          <w:color w:val="000000"/>
          <w:sz w:val="24"/>
        </w:rPr>
      </w:pPr>
      <w:r>
        <w:rPr>
          <w:color w:val="000000"/>
          <w:sz w:val="24"/>
        </w:rPr>
        <w:t>（三）全面开展内部监督检查，强化公司内部控制。</w:t>
      </w:r>
    </w:p>
    <w:p w:rsidR="00413707" w:rsidRDefault="00532CED">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13707" w:rsidRDefault="00532CED">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6712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413707" w:rsidRDefault="00532CE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13707" w:rsidRDefault="00532CE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F5BB0" w:rsidRDefault="00486CC6" w:rsidP="00FF5BB0">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67130"/>
      <w:r w:rsidRPr="00FF5BB0">
        <w:rPr>
          <w:rFonts w:ascii="Times New Roman" w:hAnsi="Times New Roman"/>
          <w:kern w:val="0"/>
          <w:szCs w:val="24"/>
        </w:rPr>
        <w:t>4.</w:t>
      </w:r>
      <w:r w:rsidRPr="00FF5BB0">
        <w:rPr>
          <w:rFonts w:ascii="Times New Roman" w:hAnsi="Times New Roman" w:hint="eastAsia"/>
          <w:kern w:val="0"/>
          <w:szCs w:val="24"/>
        </w:rPr>
        <w:t>8</w:t>
      </w:r>
      <w:r w:rsidRPr="00FF5BB0">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F5BB0" w:rsidRDefault="00486CC6" w:rsidP="00FF5BB0">
      <w:pPr>
        <w:pStyle w:val="20"/>
        <w:spacing w:before="29" w:after="0" w:line="288" w:lineRule="auto"/>
        <w:rPr>
          <w:rFonts w:ascii="Times New Roman" w:hAnsi="Times New Roman"/>
          <w:kern w:val="0"/>
          <w:szCs w:val="24"/>
        </w:rPr>
      </w:pPr>
      <w:bookmarkStart w:id="74" w:name="_Toc4167131"/>
      <w:r w:rsidRPr="00FF5BB0">
        <w:rPr>
          <w:rFonts w:ascii="Times New Roman" w:hAnsi="Times New Roman"/>
          <w:kern w:val="0"/>
          <w:szCs w:val="24"/>
        </w:rPr>
        <w:t>4.9</w:t>
      </w:r>
      <w:r w:rsidRPr="00FF5BB0">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6713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6713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67134"/>
      <w:r w:rsidRPr="007455A2">
        <w:rPr>
          <w:rFonts w:ascii="Times New Roman" w:hAnsi="Times New Roman"/>
          <w:kern w:val="0"/>
          <w:szCs w:val="24"/>
        </w:rPr>
        <w:lastRenderedPageBreak/>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413707" w:rsidRDefault="00532CE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6713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167136"/>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BA7B2C" w:rsidRPr="003F513C" w:rsidRDefault="00BA7B2C" w:rsidP="003F513C">
      <w:pPr>
        <w:spacing w:before="29" w:line="288" w:lineRule="auto"/>
        <w:ind w:firstLineChars="200" w:firstLine="480"/>
        <w:jc w:val="right"/>
        <w:rPr>
          <w:color w:val="000000"/>
          <w:sz w:val="24"/>
        </w:rPr>
      </w:pPr>
      <w:bookmarkStart w:id="96" w:name="ShenJiBaoGaoBianHao1"/>
      <w:r w:rsidRPr="003F513C">
        <w:rPr>
          <w:color w:val="000000"/>
          <w:sz w:val="24"/>
        </w:rPr>
        <w:t>普华永道</w:t>
      </w:r>
      <w:proofErr w:type="gramStart"/>
      <w:r w:rsidRPr="003F513C">
        <w:rPr>
          <w:color w:val="000000"/>
          <w:sz w:val="24"/>
        </w:rPr>
        <w:t>中天审字</w:t>
      </w:r>
      <w:proofErr w:type="gramEnd"/>
      <w:r w:rsidRPr="003F513C">
        <w:rPr>
          <w:color w:val="000000"/>
          <w:sz w:val="24"/>
        </w:rPr>
        <w:t>(2019)</w:t>
      </w:r>
      <w:r w:rsidRPr="003F513C">
        <w:rPr>
          <w:color w:val="000000"/>
          <w:sz w:val="24"/>
        </w:rPr>
        <w:t>第</w:t>
      </w:r>
      <w:r w:rsidRPr="003F513C">
        <w:rPr>
          <w:color w:val="000000"/>
          <w:sz w:val="24"/>
        </w:rPr>
        <w:t>21571</w:t>
      </w:r>
      <w:r w:rsidRPr="003F513C">
        <w:rPr>
          <w:color w:val="000000"/>
          <w:sz w:val="24"/>
        </w:rPr>
        <w:t>号</w:t>
      </w:r>
      <w:bookmarkEnd w:id="96"/>
    </w:p>
    <w:p w:rsidR="00BA7B2C" w:rsidRDefault="00BA7B2C" w:rsidP="00BA7B2C">
      <w:pPr>
        <w:rPr>
          <w:sz w:val="24"/>
        </w:rPr>
      </w:pPr>
      <w:bookmarkStart w:id="97" w:name="JiJinMingCheng1"/>
      <w:r>
        <w:rPr>
          <w:rFonts w:ascii="Georgia" w:hAnsi="Georgia"/>
          <w:sz w:val="24"/>
        </w:rPr>
        <w:t>交银施罗德股息优化混合型证券投资基金</w:t>
      </w:r>
      <w:bookmarkEnd w:id="97"/>
      <w:r>
        <w:rPr>
          <w:rFonts w:hint="eastAsia"/>
          <w:sz w:val="24"/>
        </w:rPr>
        <w:t>全体基金份额持有人：</w:t>
      </w:r>
    </w:p>
    <w:p w:rsidR="00BA7B2C" w:rsidRDefault="00BA7B2C" w:rsidP="00BA7B2C">
      <w:pPr>
        <w:rPr>
          <w:rFonts w:ascii="Arial" w:hAnsi="Arial" w:cs="Arial"/>
          <w:sz w:val="24"/>
        </w:rPr>
      </w:pPr>
    </w:p>
    <w:p w:rsidR="003F513C" w:rsidRDefault="003F513C" w:rsidP="003F513C">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416713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3F513C" w:rsidRPr="003F513C" w:rsidRDefault="003F513C" w:rsidP="003F513C">
      <w:pPr>
        <w:spacing w:line="288" w:lineRule="auto"/>
        <w:ind w:firstLineChars="200" w:firstLine="480"/>
        <w:rPr>
          <w:rFonts w:eastAsiaTheme="minorEastAsia"/>
          <w:sz w:val="24"/>
        </w:rPr>
      </w:pPr>
      <w:r w:rsidRPr="003F513C">
        <w:rPr>
          <w:rFonts w:eastAsiaTheme="minorEastAsia"/>
          <w:sz w:val="24"/>
        </w:rPr>
        <w:t>(</w:t>
      </w:r>
      <w:proofErr w:type="gramStart"/>
      <w:r w:rsidRPr="003F513C">
        <w:rPr>
          <w:rFonts w:eastAsiaTheme="minorEastAsia"/>
          <w:sz w:val="24"/>
        </w:rPr>
        <w:t>一</w:t>
      </w:r>
      <w:proofErr w:type="gramEnd"/>
      <w:r w:rsidRPr="003F513C">
        <w:rPr>
          <w:rFonts w:eastAsiaTheme="minorEastAsia"/>
          <w:sz w:val="24"/>
        </w:rPr>
        <w:t xml:space="preserve">) </w:t>
      </w:r>
      <w:r w:rsidRPr="003F513C">
        <w:rPr>
          <w:rFonts w:eastAsiaTheme="minorEastAsia"/>
          <w:sz w:val="24"/>
        </w:rPr>
        <w:t>我们审计的内容</w:t>
      </w:r>
    </w:p>
    <w:p w:rsidR="00BA7B2C" w:rsidRPr="003F513C" w:rsidRDefault="00BA7B2C" w:rsidP="003F513C">
      <w:pPr>
        <w:spacing w:before="29" w:line="288" w:lineRule="auto"/>
        <w:ind w:firstLineChars="200" w:firstLine="480"/>
        <w:rPr>
          <w:color w:val="000000"/>
          <w:sz w:val="24"/>
        </w:rPr>
      </w:pPr>
      <w:r w:rsidRPr="003F513C">
        <w:rPr>
          <w:color w:val="000000"/>
          <w:sz w:val="24"/>
        </w:rPr>
        <w:t>我们审计了</w:t>
      </w:r>
      <w:bookmarkStart w:id="105" w:name="JiJinMingCheng2"/>
      <w:r w:rsidRPr="003F513C">
        <w:rPr>
          <w:color w:val="000000"/>
          <w:sz w:val="24"/>
        </w:rPr>
        <w:t>交银施罗德股息优化混合型证券投资基金</w:t>
      </w:r>
      <w:bookmarkEnd w:id="105"/>
      <w:r w:rsidRPr="003F513C">
        <w:rPr>
          <w:color w:val="000000"/>
          <w:sz w:val="24"/>
        </w:rPr>
        <w:t>(</w:t>
      </w:r>
      <w:bookmarkStart w:id="106" w:name="YuanJiJinMingCheng"/>
      <w:bookmarkEnd w:id="106"/>
      <w:r w:rsidRPr="003F513C">
        <w:rPr>
          <w:color w:val="000000"/>
          <w:sz w:val="24"/>
        </w:rPr>
        <w:t>以下简称</w:t>
      </w:r>
      <w:r w:rsidRPr="003F513C">
        <w:rPr>
          <w:color w:val="000000"/>
          <w:sz w:val="24"/>
        </w:rPr>
        <w:t>“</w:t>
      </w:r>
      <w:bookmarkStart w:id="107" w:name="JiJinJianCheng1"/>
      <w:r w:rsidRPr="003F513C">
        <w:rPr>
          <w:color w:val="000000"/>
          <w:sz w:val="24"/>
        </w:rPr>
        <w:t>交银股息优化混合基金</w:t>
      </w:r>
      <w:bookmarkEnd w:id="107"/>
      <w:r w:rsidRPr="003F513C">
        <w:rPr>
          <w:color w:val="000000"/>
          <w:sz w:val="24"/>
        </w:rPr>
        <w:t>”)</w:t>
      </w:r>
      <w:r w:rsidRPr="003F513C">
        <w:rPr>
          <w:color w:val="000000"/>
          <w:sz w:val="24"/>
        </w:rPr>
        <w:t>的财务报表，包括</w:t>
      </w:r>
      <w:bookmarkStart w:id="108" w:name="BalanceSheetDate1"/>
      <w:r w:rsidRPr="003F513C">
        <w:rPr>
          <w:color w:val="000000"/>
          <w:sz w:val="24"/>
        </w:rPr>
        <w:t>2018</w:t>
      </w:r>
      <w:r w:rsidRPr="003F513C">
        <w:rPr>
          <w:color w:val="000000"/>
          <w:sz w:val="24"/>
        </w:rPr>
        <w:t>年</w:t>
      </w:r>
      <w:r w:rsidRPr="003F513C">
        <w:rPr>
          <w:color w:val="000000"/>
          <w:sz w:val="24"/>
        </w:rPr>
        <w:t>12</w:t>
      </w:r>
      <w:r w:rsidRPr="003F513C">
        <w:rPr>
          <w:color w:val="000000"/>
          <w:sz w:val="24"/>
        </w:rPr>
        <w:t>月</w:t>
      </w:r>
      <w:r w:rsidRPr="003F513C">
        <w:rPr>
          <w:color w:val="000000"/>
          <w:sz w:val="24"/>
        </w:rPr>
        <w:t>31</w:t>
      </w:r>
      <w:r w:rsidRPr="003F513C">
        <w:rPr>
          <w:color w:val="000000"/>
          <w:sz w:val="24"/>
        </w:rPr>
        <w:t>日</w:t>
      </w:r>
      <w:bookmarkEnd w:id="108"/>
      <w:r w:rsidRPr="003F513C">
        <w:rPr>
          <w:color w:val="000000"/>
          <w:sz w:val="24"/>
        </w:rPr>
        <w:t>的资产负债表，</w:t>
      </w:r>
      <w:bookmarkStart w:id="109" w:name="OfficeDate1"/>
      <w:r w:rsidRPr="003F513C">
        <w:rPr>
          <w:color w:val="000000"/>
          <w:sz w:val="24"/>
        </w:rPr>
        <w:t>2018</w:t>
      </w:r>
      <w:r w:rsidRPr="003F513C">
        <w:rPr>
          <w:color w:val="000000"/>
          <w:sz w:val="24"/>
        </w:rPr>
        <w:t>年度</w:t>
      </w:r>
      <w:bookmarkEnd w:id="109"/>
      <w:r w:rsidRPr="003F513C">
        <w:rPr>
          <w:color w:val="000000"/>
          <w:sz w:val="24"/>
        </w:rPr>
        <w:t>的利润表和所有者权益</w:t>
      </w:r>
      <w:r w:rsidRPr="003F513C">
        <w:rPr>
          <w:color w:val="000000"/>
          <w:sz w:val="24"/>
        </w:rPr>
        <w:t>(</w:t>
      </w:r>
      <w:r w:rsidRPr="003F513C">
        <w:rPr>
          <w:color w:val="000000"/>
          <w:sz w:val="24"/>
        </w:rPr>
        <w:t>基金净值</w:t>
      </w:r>
      <w:r w:rsidRPr="003F513C">
        <w:rPr>
          <w:color w:val="000000"/>
          <w:sz w:val="24"/>
        </w:rPr>
        <w:t>)</w:t>
      </w:r>
      <w:r w:rsidRPr="003F513C">
        <w:rPr>
          <w:color w:val="000000"/>
          <w:sz w:val="24"/>
        </w:rPr>
        <w:t>变动表以及财务报表附注。</w:t>
      </w:r>
    </w:p>
    <w:p w:rsidR="003F513C" w:rsidRPr="003F513C" w:rsidRDefault="003F513C" w:rsidP="003F513C">
      <w:pPr>
        <w:spacing w:line="288" w:lineRule="auto"/>
        <w:ind w:firstLineChars="200" w:firstLine="480"/>
        <w:rPr>
          <w:rFonts w:eastAsiaTheme="minorEastAsia"/>
          <w:sz w:val="24"/>
        </w:rPr>
      </w:pPr>
      <w:r w:rsidRPr="003F513C">
        <w:rPr>
          <w:rFonts w:eastAsiaTheme="minorEastAsia"/>
          <w:sz w:val="24"/>
        </w:rPr>
        <w:t>(</w:t>
      </w:r>
      <w:r w:rsidRPr="003F513C">
        <w:rPr>
          <w:rFonts w:eastAsiaTheme="minorEastAsia"/>
          <w:sz w:val="24"/>
        </w:rPr>
        <w:t>二</w:t>
      </w:r>
      <w:r w:rsidRPr="003F513C">
        <w:rPr>
          <w:rFonts w:eastAsiaTheme="minorEastAsia"/>
          <w:sz w:val="24"/>
        </w:rPr>
        <w:t xml:space="preserve">) </w:t>
      </w:r>
      <w:r w:rsidRPr="003F513C">
        <w:rPr>
          <w:rFonts w:eastAsiaTheme="minorEastAsia"/>
          <w:sz w:val="24"/>
        </w:rPr>
        <w:t>我们的意见</w:t>
      </w:r>
    </w:p>
    <w:p w:rsidR="00BA7B2C" w:rsidRPr="003F513C" w:rsidRDefault="00BA7B2C" w:rsidP="003F513C">
      <w:pPr>
        <w:spacing w:before="29" w:line="288" w:lineRule="auto"/>
        <w:ind w:firstLineChars="200" w:firstLine="480"/>
        <w:rPr>
          <w:color w:val="000000"/>
          <w:sz w:val="24"/>
        </w:rPr>
      </w:pPr>
      <w:r w:rsidRPr="003F513C">
        <w:rPr>
          <w:color w:val="000000"/>
          <w:sz w:val="24"/>
        </w:rPr>
        <w:t>我们认为，后附的财务报表在所有重大方面按照企业会计准则和在财务报表附注中所列示的中国证券监督管理委员会</w:t>
      </w:r>
      <w:r w:rsidRPr="003F513C">
        <w:rPr>
          <w:color w:val="000000"/>
          <w:sz w:val="24"/>
        </w:rPr>
        <w:t>(</w:t>
      </w:r>
      <w:r w:rsidRPr="003F513C">
        <w:rPr>
          <w:color w:val="000000"/>
          <w:sz w:val="24"/>
        </w:rPr>
        <w:t>以下简称</w:t>
      </w:r>
      <w:r w:rsidRPr="003F513C">
        <w:rPr>
          <w:color w:val="000000"/>
          <w:sz w:val="24"/>
        </w:rPr>
        <w:t>“</w:t>
      </w:r>
      <w:r w:rsidRPr="003F513C">
        <w:rPr>
          <w:color w:val="000000"/>
          <w:sz w:val="24"/>
        </w:rPr>
        <w:t>中国证监会</w:t>
      </w:r>
      <w:r w:rsidRPr="003F513C">
        <w:rPr>
          <w:color w:val="000000"/>
          <w:sz w:val="24"/>
        </w:rPr>
        <w:t>”)</w:t>
      </w:r>
      <w:r w:rsidRPr="003F513C">
        <w:rPr>
          <w:color w:val="000000"/>
          <w:sz w:val="24"/>
        </w:rPr>
        <w:t>、中国证券投资基金业协会</w:t>
      </w:r>
      <w:r w:rsidRPr="003F513C">
        <w:rPr>
          <w:color w:val="000000"/>
          <w:sz w:val="24"/>
        </w:rPr>
        <w:t>(</w:t>
      </w:r>
      <w:r w:rsidRPr="003F513C">
        <w:rPr>
          <w:color w:val="000000"/>
          <w:sz w:val="24"/>
        </w:rPr>
        <w:t>以下简称</w:t>
      </w:r>
      <w:r w:rsidRPr="003F513C">
        <w:rPr>
          <w:color w:val="000000"/>
          <w:sz w:val="24"/>
        </w:rPr>
        <w:t>“</w:t>
      </w:r>
      <w:r w:rsidRPr="003F513C">
        <w:rPr>
          <w:color w:val="000000"/>
          <w:sz w:val="24"/>
        </w:rPr>
        <w:t>中国基金业协会</w:t>
      </w:r>
      <w:r w:rsidRPr="003F513C">
        <w:rPr>
          <w:color w:val="000000"/>
          <w:sz w:val="24"/>
        </w:rPr>
        <w:t>”)</w:t>
      </w:r>
      <w:r w:rsidRPr="003F513C">
        <w:rPr>
          <w:color w:val="000000"/>
          <w:sz w:val="24"/>
        </w:rPr>
        <w:t>发布的有关规定及允许的基金行业实务操作编制，公允反映了</w:t>
      </w:r>
      <w:bookmarkStart w:id="110" w:name="JiJinJianCheng2"/>
      <w:r w:rsidRPr="003F513C">
        <w:rPr>
          <w:color w:val="000000"/>
          <w:sz w:val="24"/>
        </w:rPr>
        <w:t>交银股息优化混合基金</w:t>
      </w:r>
      <w:bookmarkStart w:id="111" w:name="BalanceSheetDate2"/>
      <w:r w:rsidRPr="003F513C">
        <w:rPr>
          <w:color w:val="000000"/>
          <w:sz w:val="24"/>
        </w:rPr>
        <w:t>2018</w:t>
      </w:r>
      <w:r w:rsidRPr="003F513C">
        <w:rPr>
          <w:color w:val="000000"/>
          <w:sz w:val="24"/>
        </w:rPr>
        <w:t>年</w:t>
      </w:r>
      <w:r w:rsidRPr="003F513C">
        <w:rPr>
          <w:color w:val="000000"/>
          <w:sz w:val="24"/>
        </w:rPr>
        <w:t>12</w:t>
      </w:r>
      <w:r w:rsidRPr="003F513C">
        <w:rPr>
          <w:color w:val="000000"/>
          <w:sz w:val="24"/>
        </w:rPr>
        <w:t>月</w:t>
      </w:r>
      <w:r w:rsidRPr="003F513C">
        <w:rPr>
          <w:color w:val="000000"/>
          <w:sz w:val="24"/>
        </w:rPr>
        <w:t>31</w:t>
      </w:r>
      <w:r w:rsidRPr="003F513C">
        <w:rPr>
          <w:color w:val="000000"/>
          <w:sz w:val="24"/>
        </w:rPr>
        <w:t>日</w:t>
      </w:r>
      <w:bookmarkEnd w:id="110"/>
      <w:bookmarkEnd w:id="111"/>
      <w:r w:rsidRPr="003F513C">
        <w:rPr>
          <w:color w:val="000000"/>
          <w:sz w:val="24"/>
        </w:rPr>
        <w:t>的财务状况以及</w:t>
      </w:r>
      <w:bookmarkStart w:id="112" w:name="OfficeDate2"/>
      <w:r w:rsidRPr="003F513C">
        <w:rPr>
          <w:color w:val="000000"/>
          <w:sz w:val="24"/>
        </w:rPr>
        <w:t>2018</w:t>
      </w:r>
      <w:r w:rsidRPr="003F513C">
        <w:rPr>
          <w:color w:val="000000"/>
          <w:sz w:val="24"/>
        </w:rPr>
        <w:t>年度</w:t>
      </w:r>
      <w:bookmarkEnd w:id="112"/>
      <w:r w:rsidRPr="003F513C">
        <w:rPr>
          <w:color w:val="000000"/>
          <w:sz w:val="24"/>
        </w:rPr>
        <w:t>的经营成果和基金净值变动情况。</w:t>
      </w:r>
    </w:p>
    <w:p w:rsidR="003F513C" w:rsidRDefault="003F513C" w:rsidP="00BA7B2C">
      <w:pPr>
        <w:ind w:firstLine="567"/>
        <w:rPr>
          <w:rFonts w:ascii="Georgia" w:hAnsi="Georgia"/>
          <w:sz w:val="24"/>
        </w:rPr>
      </w:pPr>
    </w:p>
    <w:p w:rsidR="003F513C" w:rsidRDefault="003F513C" w:rsidP="003F513C">
      <w:pPr>
        <w:pStyle w:val="20"/>
        <w:spacing w:beforeLines="50" w:before="156" w:after="0" w:line="288" w:lineRule="auto"/>
        <w:rPr>
          <w:rFonts w:ascii="Times New Roman" w:eastAsiaTheme="minorEastAsia" w:hAnsi="Times New Roman"/>
          <w:kern w:val="0"/>
          <w:szCs w:val="24"/>
        </w:rPr>
      </w:pPr>
      <w:bookmarkStart w:id="113" w:name="_Toc416713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3"/>
    </w:p>
    <w:p w:rsidR="00BA7B2C" w:rsidRPr="003F513C" w:rsidRDefault="00BA7B2C" w:rsidP="003F513C">
      <w:pPr>
        <w:spacing w:before="29" w:line="288" w:lineRule="auto"/>
        <w:ind w:firstLineChars="200" w:firstLine="480"/>
        <w:rPr>
          <w:color w:val="000000"/>
          <w:sz w:val="24"/>
        </w:rPr>
      </w:pPr>
      <w:r w:rsidRPr="003F513C">
        <w:rPr>
          <w:color w:val="000000"/>
          <w:sz w:val="24"/>
        </w:rPr>
        <w:t>我们按照中国注册会计师审计准则的规定执行了审计工作。审计报告的</w:t>
      </w:r>
      <w:r w:rsidRPr="003F513C">
        <w:rPr>
          <w:rFonts w:hint="eastAsia"/>
          <w:color w:val="000000"/>
          <w:sz w:val="24"/>
        </w:rPr>
        <w:t>“</w:t>
      </w:r>
      <w:r w:rsidRPr="003F513C">
        <w:rPr>
          <w:color w:val="000000"/>
          <w:sz w:val="24"/>
        </w:rPr>
        <w:t>注册会计师对财务报表审计的责任</w:t>
      </w:r>
      <w:r w:rsidRPr="003F513C">
        <w:rPr>
          <w:rFonts w:hint="eastAsia"/>
          <w:color w:val="000000"/>
          <w:sz w:val="24"/>
        </w:rPr>
        <w:t>”</w:t>
      </w:r>
      <w:r w:rsidRPr="003F513C">
        <w:rPr>
          <w:color w:val="000000"/>
          <w:sz w:val="24"/>
        </w:rPr>
        <w:t>部分进一步阐述了我们在这些准则下的责任。我们相信，我们获取的审计证据是充分、适当的，为发表审计意见提供了基础。</w:t>
      </w:r>
    </w:p>
    <w:p w:rsidR="00DB4C7D" w:rsidRPr="003F513C" w:rsidRDefault="00BA7B2C" w:rsidP="00F979BF">
      <w:pPr>
        <w:spacing w:before="29" w:line="288" w:lineRule="auto"/>
        <w:ind w:firstLineChars="200" w:firstLine="480"/>
        <w:rPr>
          <w:color w:val="000000"/>
        </w:rPr>
      </w:pPr>
      <w:r w:rsidRPr="00F979BF">
        <w:rPr>
          <w:rFonts w:hint="eastAsia"/>
          <w:color w:val="000000"/>
          <w:sz w:val="24"/>
        </w:rPr>
        <w:t>按照中国注册会计师职业道德守则，我们独立于</w:t>
      </w:r>
      <w:bookmarkStart w:id="114" w:name="JiJinJianCheng3"/>
      <w:r w:rsidRPr="003F513C">
        <w:rPr>
          <w:color w:val="000000"/>
          <w:sz w:val="24"/>
        </w:rPr>
        <w:t>交银股息优化混合基金</w:t>
      </w:r>
      <w:bookmarkEnd w:id="114"/>
      <w:r w:rsidRPr="00F979BF">
        <w:rPr>
          <w:rFonts w:hint="eastAsia"/>
          <w:color w:val="000000"/>
          <w:sz w:val="24"/>
        </w:rPr>
        <w:t>，并履行了职业道德方面的其他责任。</w:t>
      </w:r>
    </w:p>
    <w:p w:rsidR="003F513C" w:rsidRPr="003F513C" w:rsidRDefault="003F513C" w:rsidP="003F513C">
      <w:pPr>
        <w:spacing w:before="29" w:line="288" w:lineRule="auto"/>
        <w:ind w:firstLineChars="200" w:firstLine="480"/>
        <w:rPr>
          <w:color w:val="000000"/>
          <w:sz w:val="24"/>
        </w:rPr>
      </w:pPr>
    </w:p>
    <w:p w:rsidR="003F513C" w:rsidRDefault="003F513C" w:rsidP="003F513C">
      <w:pPr>
        <w:pStyle w:val="20"/>
        <w:spacing w:beforeLines="50" w:before="156" w:after="0" w:line="288" w:lineRule="auto"/>
        <w:rPr>
          <w:rFonts w:ascii="Times New Roman" w:eastAsiaTheme="minorEastAsia" w:hAnsi="Times New Roman"/>
          <w:kern w:val="0"/>
          <w:szCs w:val="24"/>
        </w:rPr>
      </w:pPr>
      <w:bookmarkStart w:id="115" w:name="_Toc4167139"/>
      <w:r>
        <w:rPr>
          <w:rFonts w:ascii="Times New Roman" w:eastAsiaTheme="minorEastAsia" w:hAnsi="Times New Roman"/>
          <w:kern w:val="0"/>
          <w:szCs w:val="24"/>
        </w:rPr>
        <w:lastRenderedPageBreak/>
        <w:t xml:space="preserve">6.3 </w:t>
      </w:r>
      <w:r>
        <w:rPr>
          <w:rFonts w:ascii="Times New Roman" w:eastAsiaTheme="minorEastAsia" w:hAnsi="Times New Roman" w:hint="eastAsia"/>
          <w:kern w:val="0"/>
          <w:szCs w:val="24"/>
        </w:rPr>
        <w:t>管理层和治理层对财务报表的责任</w:t>
      </w:r>
      <w:bookmarkEnd w:id="115"/>
    </w:p>
    <w:p w:rsidR="00BA7B2C" w:rsidRPr="003F513C" w:rsidRDefault="00BA7B2C" w:rsidP="003F513C">
      <w:pPr>
        <w:spacing w:before="29" w:line="288" w:lineRule="auto"/>
        <w:ind w:firstLineChars="200" w:firstLine="480"/>
        <w:rPr>
          <w:color w:val="000000"/>
          <w:sz w:val="24"/>
        </w:rPr>
      </w:pPr>
      <w:bookmarkStart w:id="116" w:name="JiJinJianCheng9"/>
      <w:r w:rsidRPr="003F513C">
        <w:rPr>
          <w:color w:val="000000"/>
          <w:sz w:val="24"/>
        </w:rPr>
        <w:t>交银股息优化混合基金</w:t>
      </w:r>
      <w:bookmarkEnd w:id="116"/>
      <w:r w:rsidRPr="003F513C">
        <w:rPr>
          <w:rFonts w:hint="eastAsia"/>
          <w:color w:val="000000"/>
          <w:sz w:val="24"/>
        </w:rPr>
        <w:t>的基金管理人</w:t>
      </w:r>
      <w:bookmarkStart w:id="117" w:name="JiJinGuanLiRen"/>
      <w:r w:rsidRPr="003F513C">
        <w:rPr>
          <w:color w:val="000000"/>
          <w:sz w:val="24"/>
        </w:rPr>
        <w:t>交银施罗德基金管理有限公司</w:t>
      </w:r>
      <w:bookmarkEnd w:id="117"/>
      <w:r w:rsidRPr="003F513C">
        <w:rPr>
          <w:rFonts w:hint="eastAsia"/>
          <w:color w:val="000000"/>
          <w:sz w:val="24"/>
        </w:rPr>
        <w:t>(</w:t>
      </w:r>
      <w:r w:rsidRPr="003F513C">
        <w:rPr>
          <w:rFonts w:hint="eastAsia"/>
          <w:color w:val="000000"/>
          <w:sz w:val="24"/>
        </w:rPr>
        <w:t>以下简称“基金管理人”</w:t>
      </w:r>
      <w:r w:rsidRPr="003F513C">
        <w:rPr>
          <w:rFonts w:hint="eastAsia"/>
          <w:color w:val="000000"/>
          <w:sz w:val="24"/>
        </w:rPr>
        <w:t>)</w:t>
      </w:r>
      <w:r w:rsidRPr="003F513C">
        <w:rPr>
          <w:color w:val="000000"/>
          <w:sz w:val="24"/>
        </w:rPr>
        <w:t>管理</w:t>
      </w:r>
      <w:proofErr w:type="gramStart"/>
      <w:r w:rsidRPr="003F513C">
        <w:rPr>
          <w:color w:val="000000"/>
          <w:sz w:val="24"/>
        </w:rPr>
        <w:t>层负责</w:t>
      </w:r>
      <w:proofErr w:type="gramEnd"/>
      <w:r w:rsidRPr="003F513C">
        <w:rPr>
          <w:color w:val="000000"/>
          <w:sz w:val="24"/>
        </w:rPr>
        <w:t>按照企业会计准则</w:t>
      </w:r>
      <w:r w:rsidRPr="003F513C">
        <w:rPr>
          <w:rFonts w:hint="eastAsia"/>
          <w:color w:val="000000"/>
          <w:sz w:val="24"/>
        </w:rPr>
        <w:t>和中国证监会、中国基金业协会发布的有关规定及允许的基金行业实务操作</w:t>
      </w:r>
      <w:r w:rsidRPr="003F513C">
        <w:rPr>
          <w:color w:val="000000"/>
          <w:sz w:val="24"/>
        </w:rPr>
        <w:t>编制财务报表，使其实现公允反映，并设计、执行和维护必要的内部控制，以使财务报表不存在由于舞弊或错误导致的重大错报。</w:t>
      </w:r>
    </w:p>
    <w:p w:rsidR="00BA7B2C" w:rsidRPr="003F513C" w:rsidRDefault="00BA7B2C" w:rsidP="003F513C">
      <w:pPr>
        <w:spacing w:before="29" w:line="288" w:lineRule="auto"/>
        <w:ind w:firstLineChars="200" w:firstLine="480"/>
        <w:rPr>
          <w:color w:val="000000"/>
          <w:sz w:val="24"/>
        </w:rPr>
      </w:pPr>
      <w:r w:rsidRPr="003F513C">
        <w:rPr>
          <w:rFonts w:hint="eastAsia"/>
          <w:color w:val="000000"/>
          <w:sz w:val="24"/>
        </w:rPr>
        <w:t>在编制财务报表时，基金管理人管理</w:t>
      </w:r>
      <w:proofErr w:type="gramStart"/>
      <w:r w:rsidRPr="003F513C">
        <w:rPr>
          <w:rFonts w:hint="eastAsia"/>
          <w:color w:val="000000"/>
          <w:sz w:val="24"/>
        </w:rPr>
        <w:t>层负责</w:t>
      </w:r>
      <w:proofErr w:type="gramEnd"/>
      <w:r w:rsidRPr="003F513C">
        <w:rPr>
          <w:rFonts w:hint="eastAsia"/>
          <w:color w:val="000000"/>
          <w:sz w:val="24"/>
        </w:rPr>
        <w:t>评估</w:t>
      </w:r>
      <w:bookmarkStart w:id="118" w:name="JiJinJianCheng12"/>
      <w:r w:rsidRPr="003F513C">
        <w:rPr>
          <w:color w:val="000000"/>
          <w:sz w:val="24"/>
        </w:rPr>
        <w:t>交银股息优化混合基金</w:t>
      </w:r>
      <w:bookmarkEnd w:id="118"/>
      <w:r w:rsidRPr="003F513C">
        <w:rPr>
          <w:rFonts w:hint="eastAsia"/>
          <w:color w:val="000000"/>
          <w:sz w:val="24"/>
        </w:rPr>
        <w:t>的持续经营能力，披露与持续经营相关的事项</w:t>
      </w:r>
      <w:r w:rsidRPr="003F513C">
        <w:rPr>
          <w:rFonts w:hint="eastAsia"/>
          <w:color w:val="000000"/>
          <w:sz w:val="24"/>
        </w:rPr>
        <w:t>(</w:t>
      </w:r>
      <w:r w:rsidRPr="003F513C">
        <w:rPr>
          <w:rFonts w:hint="eastAsia"/>
          <w:color w:val="000000"/>
          <w:sz w:val="24"/>
        </w:rPr>
        <w:t>如适用</w:t>
      </w:r>
      <w:r w:rsidRPr="003F513C">
        <w:rPr>
          <w:rFonts w:hint="eastAsia"/>
          <w:color w:val="000000"/>
          <w:sz w:val="24"/>
        </w:rPr>
        <w:t>)</w:t>
      </w:r>
      <w:r w:rsidRPr="003F513C">
        <w:rPr>
          <w:rFonts w:hint="eastAsia"/>
          <w:color w:val="000000"/>
          <w:sz w:val="24"/>
        </w:rPr>
        <w:t>，并运用持续经营假设，除非基金管理人管理</w:t>
      </w:r>
      <w:proofErr w:type="gramStart"/>
      <w:r w:rsidRPr="003F513C">
        <w:rPr>
          <w:rFonts w:hint="eastAsia"/>
          <w:color w:val="000000"/>
          <w:sz w:val="24"/>
        </w:rPr>
        <w:t>层计划</w:t>
      </w:r>
      <w:proofErr w:type="gramEnd"/>
      <w:r w:rsidRPr="003F513C">
        <w:rPr>
          <w:rFonts w:hint="eastAsia"/>
          <w:color w:val="000000"/>
          <w:sz w:val="24"/>
        </w:rPr>
        <w:t>清算</w:t>
      </w:r>
      <w:bookmarkStart w:id="119" w:name="JiJinJianCheng13"/>
      <w:r w:rsidRPr="003F513C">
        <w:rPr>
          <w:color w:val="000000"/>
          <w:sz w:val="24"/>
        </w:rPr>
        <w:t>交银股息优化混合基金</w:t>
      </w:r>
      <w:bookmarkEnd w:id="119"/>
      <w:r w:rsidRPr="003F513C">
        <w:rPr>
          <w:rFonts w:hint="eastAsia"/>
          <w:color w:val="000000"/>
          <w:sz w:val="24"/>
        </w:rPr>
        <w:t>、终止运营或别无其他现实的选择。</w:t>
      </w:r>
    </w:p>
    <w:p w:rsidR="00BA7B2C" w:rsidRPr="003F513C" w:rsidRDefault="00BA7B2C" w:rsidP="003F513C">
      <w:pPr>
        <w:spacing w:before="29" w:line="288" w:lineRule="auto"/>
        <w:ind w:firstLineChars="200" w:firstLine="480"/>
        <w:rPr>
          <w:color w:val="000000"/>
          <w:sz w:val="24"/>
        </w:rPr>
      </w:pPr>
      <w:r w:rsidRPr="003F513C">
        <w:rPr>
          <w:color w:val="000000"/>
          <w:sz w:val="24"/>
        </w:rPr>
        <w:t>基金管理人治理</w:t>
      </w:r>
      <w:proofErr w:type="gramStart"/>
      <w:r w:rsidRPr="003F513C">
        <w:rPr>
          <w:color w:val="000000"/>
          <w:sz w:val="24"/>
        </w:rPr>
        <w:t>层负责</w:t>
      </w:r>
      <w:proofErr w:type="gramEnd"/>
      <w:r w:rsidRPr="003F513C">
        <w:rPr>
          <w:color w:val="000000"/>
          <w:sz w:val="24"/>
        </w:rPr>
        <w:t>监督</w:t>
      </w:r>
      <w:bookmarkStart w:id="120" w:name="JiJinJianCheng14"/>
      <w:r w:rsidRPr="003F513C">
        <w:rPr>
          <w:color w:val="000000"/>
          <w:sz w:val="24"/>
        </w:rPr>
        <w:t>交银股息优化混合基金</w:t>
      </w:r>
      <w:bookmarkEnd w:id="120"/>
      <w:r w:rsidRPr="003F513C">
        <w:rPr>
          <w:color w:val="000000"/>
          <w:sz w:val="24"/>
        </w:rPr>
        <w:t>的财务报告过程。</w:t>
      </w:r>
    </w:p>
    <w:p w:rsidR="00BA7B2C" w:rsidRPr="003F513C" w:rsidRDefault="00BA7B2C" w:rsidP="003F513C">
      <w:pPr>
        <w:spacing w:before="29" w:line="288" w:lineRule="auto"/>
        <w:ind w:firstLineChars="200" w:firstLine="480"/>
        <w:rPr>
          <w:color w:val="000000"/>
          <w:sz w:val="24"/>
        </w:rPr>
      </w:pPr>
    </w:p>
    <w:p w:rsidR="003F513C" w:rsidRDefault="003F513C" w:rsidP="003F513C">
      <w:pPr>
        <w:pStyle w:val="20"/>
        <w:spacing w:beforeLines="50" w:before="156" w:after="0" w:line="288" w:lineRule="auto"/>
        <w:rPr>
          <w:rFonts w:ascii="Times New Roman" w:eastAsiaTheme="minorEastAsia" w:hAnsi="Times New Roman"/>
          <w:kern w:val="0"/>
          <w:szCs w:val="24"/>
        </w:rPr>
      </w:pPr>
      <w:bookmarkStart w:id="121" w:name="_Toc374459274"/>
      <w:bookmarkStart w:id="122" w:name="_Toc362424012"/>
      <w:bookmarkStart w:id="123" w:name="_Toc352331234"/>
      <w:bookmarkStart w:id="124" w:name="_Toc352256056"/>
      <w:bookmarkStart w:id="125" w:name="_Toc352255988"/>
      <w:bookmarkStart w:id="126" w:name="_Toc286996148"/>
      <w:bookmarkStart w:id="127" w:name="_Toc4167140"/>
      <w:r>
        <w:rPr>
          <w:rFonts w:ascii="Times New Roman" w:eastAsiaTheme="minorEastAsia" w:hAnsi="Times New Roman"/>
          <w:kern w:val="0"/>
          <w:szCs w:val="24"/>
        </w:rPr>
        <w:t xml:space="preserve">6.4 </w:t>
      </w:r>
      <w:bookmarkEnd w:id="121"/>
      <w:bookmarkEnd w:id="122"/>
      <w:bookmarkEnd w:id="123"/>
      <w:bookmarkEnd w:id="124"/>
      <w:bookmarkEnd w:id="125"/>
      <w:bookmarkEnd w:id="126"/>
      <w:r>
        <w:rPr>
          <w:rFonts w:ascii="Times New Roman" w:eastAsiaTheme="minorEastAsia" w:hAnsi="Times New Roman" w:hint="eastAsia"/>
          <w:kern w:val="0"/>
          <w:szCs w:val="24"/>
        </w:rPr>
        <w:t>注册会计师对财务报表审计的责任</w:t>
      </w:r>
      <w:bookmarkEnd w:id="127"/>
    </w:p>
    <w:p w:rsidR="00BA7B2C" w:rsidRPr="003F513C" w:rsidRDefault="00BA7B2C" w:rsidP="003F513C">
      <w:pPr>
        <w:spacing w:before="29" w:line="288" w:lineRule="auto"/>
        <w:ind w:firstLineChars="200" w:firstLine="480"/>
        <w:rPr>
          <w:color w:val="000000"/>
          <w:sz w:val="24"/>
        </w:rPr>
      </w:pPr>
      <w:r w:rsidRPr="003F513C">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w:t>
      </w:r>
      <w:r w:rsidRPr="003F513C">
        <w:rPr>
          <w:rFonts w:hint="eastAsia"/>
          <w:color w:val="000000"/>
          <w:sz w:val="24"/>
        </w:rPr>
        <w:t>在某一重大错</w:t>
      </w:r>
      <w:proofErr w:type="gramStart"/>
      <w:r w:rsidRPr="003F513C">
        <w:rPr>
          <w:rFonts w:hint="eastAsia"/>
          <w:color w:val="000000"/>
          <w:sz w:val="24"/>
        </w:rPr>
        <w:t>报存在</w:t>
      </w:r>
      <w:proofErr w:type="gramEnd"/>
      <w:r w:rsidRPr="003F513C">
        <w:rPr>
          <w:rFonts w:hint="eastAsia"/>
          <w:color w:val="000000"/>
          <w:sz w:val="24"/>
        </w:rPr>
        <w:t>时总能发现</w:t>
      </w:r>
      <w:r w:rsidRPr="003F513C">
        <w:rPr>
          <w:color w:val="000000"/>
          <w:sz w:val="24"/>
        </w:rPr>
        <w:t>。错报可能由于舞弊或错误导致，如果合理预期错报单独或汇总起来可能影响财务报表使用者依据财务报表</w:t>
      </w:r>
      <w:proofErr w:type="gramStart"/>
      <w:r w:rsidRPr="003F513C">
        <w:rPr>
          <w:color w:val="000000"/>
          <w:sz w:val="24"/>
        </w:rPr>
        <w:t>作出</w:t>
      </w:r>
      <w:proofErr w:type="gramEnd"/>
      <w:r w:rsidRPr="003F513C">
        <w:rPr>
          <w:color w:val="000000"/>
          <w:sz w:val="24"/>
        </w:rPr>
        <w:t>的经济决策，则通常认为错报是重大的。</w:t>
      </w:r>
    </w:p>
    <w:p w:rsidR="00BA7B2C" w:rsidRPr="003F513C" w:rsidRDefault="00BA7B2C" w:rsidP="003F513C">
      <w:pPr>
        <w:spacing w:before="29" w:line="288" w:lineRule="auto"/>
        <w:ind w:firstLineChars="200" w:firstLine="480"/>
        <w:rPr>
          <w:color w:val="000000"/>
          <w:sz w:val="24"/>
        </w:rPr>
      </w:pPr>
      <w:r w:rsidRPr="003F513C">
        <w:rPr>
          <w:color w:val="000000"/>
          <w:sz w:val="24"/>
        </w:rPr>
        <w:t>在按照审计准则执行审计工作的过程中，我们运用职业判断，并保持职业怀疑。同时，我们也执行以下工作：</w:t>
      </w:r>
    </w:p>
    <w:p w:rsidR="00BA7B2C" w:rsidRDefault="00BA7B2C" w:rsidP="003F513C">
      <w:pPr>
        <w:spacing w:before="29" w:line="288" w:lineRule="auto"/>
        <w:ind w:firstLineChars="200" w:firstLine="480"/>
        <w:rPr>
          <w:rFonts w:ascii="Georgia" w:hAnsi="Georgia"/>
          <w:sz w:val="24"/>
        </w:rPr>
      </w:pPr>
      <w:r w:rsidRPr="003F513C">
        <w:rPr>
          <w:color w:val="000000"/>
          <w:sz w:val="24"/>
        </w:rPr>
        <w:t>(</w:t>
      </w:r>
      <w:proofErr w:type="gramStart"/>
      <w:r w:rsidRPr="003F513C">
        <w:rPr>
          <w:color w:val="000000"/>
          <w:sz w:val="24"/>
        </w:rPr>
        <w:t>一</w:t>
      </w:r>
      <w:proofErr w:type="gramEnd"/>
      <w:r w:rsidRPr="003F513C">
        <w:rPr>
          <w:rFonts w:hint="eastAsia"/>
          <w:color w:val="000000"/>
          <w:sz w:val="24"/>
        </w:rPr>
        <w:t>)</w:t>
      </w:r>
      <w:r w:rsidRPr="003F513C">
        <w:rPr>
          <w:color w:val="000000"/>
          <w:sz w:val="24"/>
        </w:rPr>
        <w:t xml:space="preserve"> </w:t>
      </w:r>
      <w:r w:rsidRPr="003F513C">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A7B2C" w:rsidRPr="003F513C" w:rsidRDefault="00BA7B2C" w:rsidP="003F513C">
      <w:pPr>
        <w:spacing w:before="29" w:line="288" w:lineRule="auto"/>
        <w:ind w:firstLineChars="200" w:firstLine="480"/>
        <w:rPr>
          <w:color w:val="000000"/>
          <w:sz w:val="24"/>
        </w:rPr>
      </w:pPr>
      <w:r w:rsidRPr="003F513C">
        <w:rPr>
          <w:color w:val="000000"/>
          <w:sz w:val="24"/>
        </w:rPr>
        <w:t>(</w:t>
      </w:r>
      <w:r w:rsidRPr="003F513C">
        <w:rPr>
          <w:color w:val="000000"/>
          <w:sz w:val="24"/>
        </w:rPr>
        <w:t>二</w:t>
      </w:r>
      <w:r w:rsidRPr="003F513C">
        <w:rPr>
          <w:color w:val="000000"/>
          <w:sz w:val="24"/>
        </w:rPr>
        <w:t xml:space="preserve">) </w:t>
      </w:r>
      <w:r w:rsidRPr="003F513C">
        <w:rPr>
          <w:color w:val="000000"/>
          <w:sz w:val="24"/>
        </w:rPr>
        <w:t>了解与审计相关的内部控制，以设计恰当的审计程序</w:t>
      </w:r>
      <w:r w:rsidRPr="003F513C">
        <w:rPr>
          <w:rFonts w:hint="eastAsia"/>
          <w:color w:val="000000"/>
          <w:sz w:val="24"/>
        </w:rPr>
        <w:t>，但目的并非对内部控制的有效性发表意见</w:t>
      </w:r>
      <w:r w:rsidRPr="003F513C">
        <w:rPr>
          <w:color w:val="000000"/>
          <w:sz w:val="24"/>
        </w:rPr>
        <w:t>。</w:t>
      </w:r>
    </w:p>
    <w:p w:rsidR="00BA7B2C" w:rsidRPr="003F513C" w:rsidRDefault="00BA7B2C" w:rsidP="003F513C">
      <w:pPr>
        <w:spacing w:before="29" w:line="288" w:lineRule="auto"/>
        <w:ind w:firstLineChars="200" w:firstLine="480"/>
        <w:rPr>
          <w:color w:val="000000"/>
          <w:sz w:val="24"/>
        </w:rPr>
      </w:pPr>
      <w:r w:rsidRPr="003F513C">
        <w:rPr>
          <w:color w:val="000000"/>
          <w:sz w:val="24"/>
        </w:rPr>
        <w:t>(</w:t>
      </w:r>
      <w:r w:rsidRPr="003F513C">
        <w:rPr>
          <w:color w:val="000000"/>
          <w:sz w:val="24"/>
        </w:rPr>
        <w:t>三</w:t>
      </w:r>
      <w:r w:rsidRPr="003F513C">
        <w:rPr>
          <w:rFonts w:hint="eastAsia"/>
          <w:color w:val="000000"/>
          <w:sz w:val="24"/>
        </w:rPr>
        <w:t xml:space="preserve">) </w:t>
      </w:r>
      <w:r w:rsidRPr="003F513C">
        <w:rPr>
          <w:color w:val="000000"/>
          <w:sz w:val="24"/>
        </w:rPr>
        <w:t>评价</w:t>
      </w:r>
      <w:r w:rsidRPr="003F513C">
        <w:rPr>
          <w:rFonts w:hint="eastAsia"/>
          <w:color w:val="000000"/>
          <w:sz w:val="24"/>
        </w:rPr>
        <w:t>基金管理人</w:t>
      </w:r>
      <w:r w:rsidRPr="003F513C">
        <w:rPr>
          <w:color w:val="000000"/>
          <w:sz w:val="24"/>
        </w:rPr>
        <w:t>管理层选用会计政策的恰当性和</w:t>
      </w:r>
      <w:proofErr w:type="gramStart"/>
      <w:r w:rsidRPr="003F513C">
        <w:rPr>
          <w:color w:val="000000"/>
          <w:sz w:val="24"/>
        </w:rPr>
        <w:t>作出</w:t>
      </w:r>
      <w:proofErr w:type="gramEnd"/>
      <w:r w:rsidRPr="003F513C">
        <w:rPr>
          <w:color w:val="000000"/>
          <w:sz w:val="24"/>
        </w:rPr>
        <w:t>会计估计及相关披露的合理性。</w:t>
      </w:r>
    </w:p>
    <w:p w:rsidR="00BA7B2C" w:rsidRPr="003F513C" w:rsidRDefault="00BA7B2C" w:rsidP="003F513C">
      <w:pPr>
        <w:spacing w:before="29" w:line="288" w:lineRule="auto"/>
        <w:ind w:firstLineChars="200" w:firstLine="480"/>
        <w:rPr>
          <w:color w:val="000000"/>
          <w:sz w:val="24"/>
        </w:rPr>
      </w:pPr>
      <w:r w:rsidRPr="003F513C">
        <w:rPr>
          <w:color w:val="000000"/>
          <w:sz w:val="24"/>
        </w:rPr>
        <w:t>(</w:t>
      </w:r>
      <w:r w:rsidRPr="003F513C">
        <w:rPr>
          <w:color w:val="000000"/>
          <w:sz w:val="24"/>
        </w:rPr>
        <w:t>四</w:t>
      </w:r>
      <w:r w:rsidRPr="003F513C">
        <w:rPr>
          <w:rFonts w:hint="eastAsia"/>
          <w:color w:val="000000"/>
          <w:sz w:val="24"/>
        </w:rPr>
        <w:t xml:space="preserve">) </w:t>
      </w:r>
      <w:r w:rsidRPr="003F513C">
        <w:rPr>
          <w:color w:val="000000"/>
          <w:sz w:val="24"/>
        </w:rPr>
        <w:t>对</w:t>
      </w:r>
      <w:r w:rsidRPr="003F513C">
        <w:rPr>
          <w:rFonts w:hint="eastAsia"/>
          <w:color w:val="000000"/>
          <w:sz w:val="24"/>
        </w:rPr>
        <w:t>基金管理人</w:t>
      </w:r>
      <w:r w:rsidRPr="003F513C">
        <w:rPr>
          <w:color w:val="000000"/>
          <w:sz w:val="24"/>
        </w:rPr>
        <w:t>管理层使用持续经营假设的恰当性得出结论。同时，根据获取的审计证据，就可能导致对</w:t>
      </w:r>
      <w:bookmarkStart w:id="128" w:name="JiJinJianCheng15"/>
      <w:r w:rsidRPr="003F513C">
        <w:rPr>
          <w:color w:val="000000"/>
          <w:sz w:val="24"/>
        </w:rPr>
        <w:t>交银股息优化混合基金</w:t>
      </w:r>
      <w:bookmarkEnd w:id="128"/>
      <w:r w:rsidRPr="003F513C">
        <w:rPr>
          <w:color w:val="00000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Pr="003F513C">
        <w:rPr>
          <w:rFonts w:hint="eastAsia"/>
          <w:color w:val="000000"/>
          <w:sz w:val="24"/>
        </w:rPr>
        <w:t>然而，未来的事项或情况可能导致</w:t>
      </w:r>
      <w:bookmarkStart w:id="129" w:name="JiJinJianCheng16"/>
      <w:r w:rsidRPr="003F513C">
        <w:rPr>
          <w:color w:val="000000"/>
          <w:sz w:val="24"/>
        </w:rPr>
        <w:t>交银股息优化混合基金</w:t>
      </w:r>
      <w:bookmarkEnd w:id="129"/>
      <w:r w:rsidRPr="003F513C">
        <w:rPr>
          <w:rFonts w:hint="eastAsia"/>
          <w:color w:val="000000"/>
          <w:sz w:val="24"/>
        </w:rPr>
        <w:t>不能持续经营。</w:t>
      </w:r>
    </w:p>
    <w:p w:rsidR="00BA7B2C" w:rsidRPr="003F513C" w:rsidRDefault="00BA7B2C" w:rsidP="003F513C">
      <w:pPr>
        <w:spacing w:before="29" w:line="288" w:lineRule="auto"/>
        <w:ind w:firstLineChars="200" w:firstLine="480"/>
        <w:rPr>
          <w:color w:val="000000"/>
          <w:sz w:val="24"/>
        </w:rPr>
      </w:pPr>
      <w:r w:rsidRPr="003F513C">
        <w:rPr>
          <w:color w:val="000000"/>
          <w:sz w:val="24"/>
        </w:rPr>
        <w:t>(</w:t>
      </w:r>
      <w:r w:rsidRPr="003F513C">
        <w:rPr>
          <w:color w:val="000000"/>
          <w:sz w:val="24"/>
        </w:rPr>
        <w:t>五</w:t>
      </w:r>
      <w:r w:rsidRPr="003F513C">
        <w:rPr>
          <w:color w:val="000000"/>
          <w:sz w:val="24"/>
        </w:rPr>
        <w:t xml:space="preserve">) </w:t>
      </w:r>
      <w:r w:rsidRPr="003F513C">
        <w:rPr>
          <w:color w:val="000000"/>
          <w:sz w:val="24"/>
        </w:rPr>
        <w:t>评价财务报表的总</w:t>
      </w:r>
      <w:proofErr w:type="gramStart"/>
      <w:r w:rsidRPr="003F513C">
        <w:rPr>
          <w:color w:val="000000"/>
          <w:sz w:val="24"/>
        </w:rPr>
        <w:t>体列</w:t>
      </w:r>
      <w:proofErr w:type="gramEnd"/>
      <w:r w:rsidRPr="003F513C">
        <w:rPr>
          <w:color w:val="000000"/>
          <w:sz w:val="24"/>
        </w:rPr>
        <w:t>报、结构和内容</w:t>
      </w:r>
      <w:r w:rsidRPr="003F513C">
        <w:rPr>
          <w:color w:val="000000"/>
          <w:sz w:val="24"/>
        </w:rPr>
        <w:t>(</w:t>
      </w:r>
      <w:r w:rsidRPr="003F513C">
        <w:rPr>
          <w:color w:val="000000"/>
          <w:sz w:val="24"/>
        </w:rPr>
        <w:t>包括披露</w:t>
      </w:r>
      <w:r w:rsidRPr="003F513C">
        <w:rPr>
          <w:color w:val="000000"/>
          <w:sz w:val="24"/>
        </w:rPr>
        <w:t>)</w:t>
      </w:r>
      <w:r w:rsidRPr="003F513C">
        <w:rPr>
          <w:color w:val="000000"/>
          <w:sz w:val="24"/>
        </w:rPr>
        <w:t>，并评价财务报表是否公允反映相关交易和事项。</w:t>
      </w:r>
    </w:p>
    <w:p w:rsidR="00BA7B2C" w:rsidRPr="003F513C" w:rsidRDefault="00BA7B2C" w:rsidP="003F513C">
      <w:pPr>
        <w:spacing w:before="29" w:line="288" w:lineRule="auto"/>
        <w:ind w:firstLineChars="200" w:firstLine="480"/>
        <w:rPr>
          <w:color w:val="000000"/>
          <w:sz w:val="24"/>
        </w:rPr>
      </w:pPr>
      <w:r w:rsidRPr="003F513C">
        <w:rPr>
          <w:color w:val="000000"/>
          <w:sz w:val="24"/>
        </w:rPr>
        <w:t>我们与</w:t>
      </w:r>
      <w:r w:rsidRPr="003F513C">
        <w:rPr>
          <w:rFonts w:hint="eastAsia"/>
          <w:color w:val="000000"/>
          <w:sz w:val="24"/>
        </w:rPr>
        <w:t>基金管理人</w:t>
      </w:r>
      <w:r w:rsidRPr="003F513C">
        <w:rPr>
          <w:color w:val="000000"/>
          <w:sz w:val="24"/>
        </w:rPr>
        <w:t>治理层就计划的审计范围、时间安排和重大审计发现等事项进行沟通，包括沟通我们在审计中识别出的值得关注的内部控制缺陷。</w:t>
      </w:r>
    </w:p>
    <w:p w:rsidR="00BA7B2C" w:rsidRDefault="00BA7B2C" w:rsidP="00BA7B2C">
      <w:pPr>
        <w:rPr>
          <w:rFonts w:ascii="Arial" w:hAnsi="Arial" w:cs="Arial"/>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AA14E5" w:rsidTr="00985FC8">
        <w:tc>
          <w:tcPr>
            <w:tcW w:w="6470" w:type="dxa"/>
            <w:hideMark/>
          </w:tcPr>
          <w:p w:rsidR="00AA14E5" w:rsidRDefault="00AA14E5" w:rsidP="00AF5A87">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00" w:type="dxa"/>
            <w:hideMark/>
          </w:tcPr>
          <w:p w:rsidR="00AA14E5" w:rsidRDefault="00AA14E5" w:rsidP="00AF5A87">
            <w:pPr>
              <w:spacing w:line="360" w:lineRule="auto"/>
              <w:jc w:val="right"/>
              <w:rPr>
                <w:sz w:val="24"/>
              </w:rPr>
            </w:pPr>
            <w:r>
              <w:rPr>
                <w:rFonts w:hint="eastAsia"/>
                <w:sz w:val="24"/>
              </w:rPr>
              <w:t>中国注册会计师</w:t>
            </w:r>
          </w:p>
        </w:tc>
      </w:tr>
    </w:tbl>
    <w:p w:rsidR="00AA14E5" w:rsidRDefault="00AA14E5" w:rsidP="00AA14E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AA14E5" w:rsidRDefault="00AA14E5" w:rsidP="00AA14E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AA14E5" w:rsidRDefault="00AA14E5" w:rsidP="00AA14E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BA7B2C" w:rsidRPr="00BA7B2C" w:rsidRDefault="00BA7B2C" w:rsidP="00BA7B2C"/>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30" w:name="_Toc4167141"/>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3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31" w:name="_Toc225498268"/>
      <w:bookmarkStart w:id="132" w:name="_Toc361324873"/>
      <w:bookmarkStart w:id="133" w:name="_Toc416714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31"/>
      <w:bookmarkEnd w:id="132"/>
      <w:bookmarkEnd w:id="13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交银施罗德股息优化混合型证券投资基金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16,351,720.86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40,417,274.78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324,274.10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1,180,492.97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59,006.33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221,502.02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117,309,178.76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292,301,025.71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117,309,178.76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292,301,025.71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4,709,082.92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3,220.91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13,171.34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87,695.44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149,208.17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134,135,096.40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338,991,757.91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4,564,760.33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105,160.30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5,737,267.99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169,411.68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507,252.83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28,235.29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84,542.14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245,750.02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949,247.26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129,574.49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241,813.39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5,242,892.11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7,520,123.61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143,075,801.38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298,674,513.66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-14,183,597.09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32,797,120.64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128,892,204.29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331,471,634.30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134,135,096.40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338,991,757.91</w:t>
            </w:r>
          </w:p>
        </w:tc>
      </w:tr>
    </w:tbl>
    <w:p w:rsidR="00E5352C" w:rsidRPr="007A459E" w:rsidRDefault="001A59F9" w:rsidP="007A459E">
      <w:pPr>
        <w:spacing w:before="29" w:line="288" w:lineRule="auto"/>
        <w:rPr>
          <w:color w:val="000000"/>
          <w:sz w:val="24"/>
        </w:rPr>
      </w:pPr>
      <w:r w:rsidRPr="007A459E">
        <w:rPr>
          <w:color w:val="000000"/>
          <w:sz w:val="24"/>
        </w:rPr>
        <w:t>注：</w:t>
      </w:r>
      <w:r w:rsidR="00E5352C" w:rsidRPr="007A459E">
        <w:rPr>
          <w:color w:val="000000"/>
          <w:sz w:val="24"/>
        </w:rPr>
        <w:t>报告截止日</w:t>
      </w:r>
      <w:r w:rsidR="00E5352C" w:rsidRPr="007A459E">
        <w:rPr>
          <w:color w:val="000000"/>
          <w:sz w:val="24"/>
        </w:rPr>
        <w:t>2018</w:t>
      </w:r>
      <w:r w:rsidR="00E5352C" w:rsidRPr="007A459E">
        <w:rPr>
          <w:color w:val="000000"/>
          <w:sz w:val="24"/>
        </w:rPr>
        <w:t>年</w:t>
      </w:r>
      <w:r w:rsidR="00E5352C" w:rsidRPr="007A459E">
        <w:rPr>
          <w:color w:val="000000"/>
          <w:sz w:val="24"/>
        </w:rPr>
        <w:t>12</w:t>
      </w:r>
      <w:r w:rsidR="00E5352C" w:rsidRPr="007A459E">
        <w:rPr>
          <w:color w:val="000000"/>
          <w:sz w:val="24"/>
        </w:rPr>
        <w:t>月</w:t>
      </w:r>
      <w:r w:rsidR="00E5352C" w:rsidRPr="007A459E">
        <w:rPr>
          <w:color w:val="000000"/>
          <w:sz w:val="24"/>
        </w:rPr>
        <w:t>31</w:t>
      </w:r>
      <w:r w:rsidR="00E5352C" w:rsidRPr="007A459E">
        <w:rPr>
          <w:color w:val="000000"/>
          <w:sz w:val="24"/>
        </w:rPr>
        <w:t>日，基金份额净值</w:t>
      </w:r>
      <w:r w:rsidR="00E5352C" w:rsidRPr="007A459E">
        <w:rPr>
          <w:color w:val="000000"/>
          <w:sz w:val="24"/>
        </w:rPr>
        <w:t>0.9009</w:t>
      </w:r>
      <w:r w:rsidR="00E5352C" w:rsidRPr="007A459E">
        <w:rPr>
          <w:color w:val="000000"/>
          <w:sz w:val="24"/>
        </w:rPr>
        <w:t>元，基金份额总额</w:t>
      </w:r>
      <w:r w:rsidR="00E5352C" w:rsidRPr="007A459E">
        <w:rPr>
          <w:color w:val="000000"/>
          <w:sz w:val="24"/>
        </w:rPr>
        <w:t>143,075,801.38</w:t>
      </w:r>
      <w:r w:rsidR="00E5352C" w:rsidRPr="007A459E">
        <w:rPr>
          <w:color w:val="000000"/>
          <w:sz w:val="24"/>
        </w:rPr>
        <w:t>份。</w:t>
      </w:r>
    </w:p>
    <w:p w:rsidR="00E5352C" w:rsidRPr="0091212A" w:rsidRDefault="00E5352C" w:rsidP="00E5352C">
      <w:pPr>
        <w:tabs>
          <w:tab w:val="left" w:pos="426"/>
        </w:tabs>
        <w:spacing w:before="29" w:line="288" w:lineRule="auto"/>
        <w:jc w:val="left"/>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34" w:name="_Toc225498269"/>
      <w:bookmarkStart w:id="135" w:name="_Toc361324874"/>
      <w:bookmarkStart w:id="136" w:name="_Toc416714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4"/>
      <w:bookmarkEnd w:id="135"/>
      <w:bookmarkEnd w:id="13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交银施罗德股息优化混合型证券投资基金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8</w:t>
            </w:r>
            <w:r w:rsidRPr="008531A5">
              <w:rPr>
                <w:b/>
                <w:color w:val="000000"/>
              </w:rPr>
              <w:t>月</w:t>
            </w:r>
            <w:r w:rsidRPr="008531A5">
              <w:rPr>
                <w:b/>
                <w:color w:val="000000"/>
              </w:rPr>
              <w:t>25</w:t>
            </w:r>
            <w:r w:rsidRPr="008531A5">
              <w:rPr>
                <w:b/>
                <w:color w:val="000000"/>
              </w:rPr>
              <w:t>日（基金合同生效日）</w:t>
            </w:r>
            <w:r w:rsidRPr="008531A5">
              <w:rPr>
                <w:b/>
                <w:color w:val="000000"/>
              </w:rPr>
              <w:lastRenderedPageBreak/>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lastRenderedPageBreak/>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-21,536,953.51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80,535,485.63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193,264.89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2,795,842.07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193,264.89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1,314,826.40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1,480,773.16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7,275,257.17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58,387,247.16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5,232,801.68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57,892,542.07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494,705.09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2,042,455.49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-29,604,375.18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17,155,599.62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598,899.61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2,196,796.78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4,539,993.03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6,691,326.01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2,528,908.11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3,547,559.38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421,484.72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591,259.90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1,416,399.75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2,314,862.76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173,200.45</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237,643.97</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-26,076,946.54</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73,844,159.62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-26,076,946.54</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73,844,159.62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7" w:name="_Toc225498270"/>
      <w:bookmarkStart w:id="138" w:name="_Toc361324875"/>
      <w:bookmarkStart w:id="139" w:name="_Toc416714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7"/>
      <w:bookmarkEnd w:id="138"/>
      <w:bookmarkEnd w:id="13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交银施罗德股息优化混合型证券投资基金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298,674,513.66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32,797,120.64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331,471,634.30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-26,076,946.54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-26,076,946.54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-155,598,712.28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-20,903,771.19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-176,502,483.47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58,161,193.35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5,107,551.91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63,268,745.26</w:t>
            </w:r>
          </w:p>
        </w:tc>
      </w:tr>
      <w:tr w:rsidR="001A59F9" w:rsidRPr="0091212A" w:rsidTr="0009357E">
        <w:tc>
          <w:tcPr>
            <w:tcW w:w="2410" w:type="dxa"/>
            <w:vAlign w:val="center"/>
          </w:tcPr>
          <w:p w:rsidR="001A59F9" w:rsidRPr="00A04958" w:rsidRDefault="001A59F9" w:rsidP="00985FC8">
            <w:pPr>
              <w:spacing w:before="29" w:line="288" w:lineRule="auto"/>
              <w:ind w:firstLineChars="300" w:firstLine="720"/>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-213,759,905.63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-26,011,323.10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-239,771,228.73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143,075,801.38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-14,183,597.09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128,892,204.29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8</w:t>
            </w:r>
            <w:r w:rsidRPr="00480B3C">
              <w:rPr>
                <w:rFonts w:ascii="Times New Roman" w:hAnsi="Times New Roman"/>
                <w:b/>
                <w:color w:val="000000"/>
                <w:kern w:val="2"/>
              </w:rPr>
              <w:t>月</w:t>
            </w:r>
            <w:r w:rsidRPr="00480B3C">
              <w:rPr>
                <w:rFonts w:ascii="Times New Roman" w:hAnsi="Times New Roman"/>
                <w:b/>
                <w:color w:val="000000"/>
                <w:kern w:val="2"/>
              </w:rPr>
              <w:t>25</w:t>
            </w:r>
            <w:r w:rsidRPr="00480B3C">
              <w:rPr>
                <w:rFonts w:ascii="Times New Roman" w:hAnsi="Times New Roman"/>
                <w:b/>
                <w:color w:val="000000"/>
                <w:kern w:val="2"/>
              </w:rPr>
              <w:t>日（基金合同生效日）至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872,524,972.27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872,524,972.27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73,844,159.62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73,844,159.62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w:t>
            </w:r>
            <w:r w:rsidRPr="00151625">
              <w:rPr>
                <w:rFonts w:hint="eastAsia"/>
                <w:color w:val="000000"/>
                <w:sz w:val="24"/>
              </w:rPr>
              <w:lastRenderedPageBreak/>
              <w:t>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-573,850,458.61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-41,047,038.98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-614,897,497.59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37,201,908.73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2,408,914.43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39,610,823.16</w:t>
            </w:r>
          </w:p>
        </w:tc>
      </w:tr>
      <w:tr w:rsidR="001A59F9" w:rsidRPr="0091212A" w:rsidTr="0009357E">
        <w:tc>
          <w:tcPr>
            <w:tcW w:w="2410" w:type="dxa"/>
            <w:vAlign w:val="center"/>
          </w:tcPr>
          <w:p w:rsidR="001A59F9" w:rsidRPr="00151625" w:rsidRDefault="001A59F9" w:rsidP="00985FC8">
            <w:pPr>
              <w:spacing w:before="29" w:line="288" w:lineRule="auto"/>
              <w:ind w:firstLineChars="300" w:firstLine="720"/>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-611,052,367.34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-43,455,953.41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-654,508,320.75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298,674,513.66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32,797,120.64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331,471,634.30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743CD">
        <w:rPr>
          <w:rFonts w:hint="eastAsia"/>
          <w:sz w:val="24"/>
        </w:rPr>
        <w:t>负责人：谢卫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225498271"/>
      <w:bookmarkStart w:id="141" w:name="_Toc361324876"/>
      <w:bookmarkStart w:id="142" w:name="_Toc416714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40"/>
      <w:bookmarkEnd w:id="141"/>
      <w:bookmarkEnd w:id="142"/>
    </w:p>
    <w:p w:rsidR="001A59F9" w:rsidRPr="00AD0E47" w:rsidRDefault="001A59F9" w:rsidP="00AD0E47">
      <w:pPr>
        <w:pStyle w:val="20"/>
        <w:spacing w:before="29" w:after="0" w:line="288" w:lineRule="auto"/>
        <w:rPr>
          <w:rFonts w:ascii="Times New Roman" w:hAnsi="Times New Roman"/>
          <w:kern w:val="0"/>
          <w:szCs w:val="24"/>
        </w:rPr>
      </w:pPr>
      <w:bookmarkStart w:id="143" w:name="_Toc416714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3"/>
    </w:p>
    <w:p w:rsidR="00413707" w:rsidRDefault="00532CED">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413707" w:rsidRDefault="00532CED">
      <w:pPr>
        <w:spacing w:before="29" w:line="288" w:lineRule="auto"/>
        <w:ind w:firstLineChars="200" w:firstLine="480"/>
        <w:rPr>
          <w:color w:val="000000"/>
          <w:sz w:val="24"/>
        </w:rPr>
      </w:pPr>
      <w:r>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w:t>
      </w:r>
      <w:r>
        <w:rPr>
          <w:color w:val="000000"/>
          <w:sz w:val="24"/>
        </w:rPr>
        <w:t>)</w:t>
      </w:r>
      <w:r>
        <w:rPr>
          <w:color w:val="000000"/>
          <w:sz w:val="24"/>
        </w:rPr>
        <w:t>、货币市场工具、债券回购、同业存单、银行存款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w:t>
      </w:r>
      <w:r>
        <w:rPr>
          <w:color w:val="000000"/>
          <w:sz w:val="24"/>
        </w:rPr>
        <w:lastRenderedPageBreak/>
        <w:t>以将其纳入投资范围。本基金的投资组合比例为：股票资产占基金资产的</w:t>
      </w:r>
      <w:r>
        <w:rPr>
          <w:color w:val="000000"/>
          <w:sz w:val="24"/>
        </w:rPr>
        <w:t>50%-95%</w:t>
      </w:r>
      <w:r>
        <w:rPr>
          <w:color w:val="000000"/>
          <w:sz w:val="24"/>
        </w:rPr>
        <w:t>，其中投资于股息优化</w:t>
      </w:r>
      <w:proofErr w:type="gramStart"/>
      <w:r>
        <w:rPr>
          <w:color w:val="000000"/>
          <w:sz w:val="24"/>
        </w:rPr>
        <w:t>型证券</w:t>
      </w:r>
      <w:proofErr w:type="gramEnd"/>
      <w:r>
        <w:rPr>
          <w:color w:val="000000"/>
          <w:sz w:val="24"/>
        </w:rPr>
        <w:t>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sidR="002919C1" w:rsidRPr="00985FC8">
        <w:rPr>
          <w:rFonts w:hint="eastAsia"/>
          <w:color w:val="000000"/>
          <w:sz w:val="24"/>
        </w:rPr>
        <w:t>，其中现金不包括结算备付金、存出保证金和应收申购款等</w:t>
      </w:r>
      <w:r>
        <w:rPr>
          <w:color w:val="000000"/>
          <w:sz w:val="24"/>
        </w:rPr>
        <w:t>。如果法律法规或中国证监会变更投资品种的投资比例限制，基金管理人在履行适当程序后，可以调整上述投资品种的投资比例。本基金的业绩比较基准为：沪深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00A67D9B">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6714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4"/>
    </w:p>
    <w:p w:rsidR="00413707" w:rsidRDefault="00532CE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E5352C" w:rsidRPr="00E5352C" w:rsidRDefault="001A59F9" w:rsidP="00E5352C">
      <w:pPr>
        <w:pStyle w:val="20"/>
        <w:spacing w:before="29" w:after="0" w:line="288" w:lineRule="auto"/>
        <w:rPr>
          <w:rFonts w:ascii="Times New Roman" w:hAnsi="Times New Roman"/>
          <w:kern w:val="0"/>
          <w:szCs w:val="24"/>
        </w:rPr>
      </w:pPr>
      <w:bookmarkStart w:id="145" w:name="_Toc416714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5"/>
    </w:p>
    <w:p w:rsidR="00E5352C" w:rsidRPr="00985FC8" w:rsidRDefault="00E5352C" w:rsidP="00E5352C">
      <w:pPr>
        <w:keepNext/>
        <w:keepLines/>
        <w:ind w:firstLineChars="200" w:firstLine="480"/>
        <w:rPr>
          <w:sz w:val="24"/>
        </w:rPr>
      </w:pPr>
      <w:bookmarkStart w:id="146" w:name="PL40"/>
      <w:r w:rsidRPr="00985FC8">
        <w:rPr>
          <w:rFonts w:hint="eastAsia"/>
          <w:color w:val="000000"/>
          <w:sz w:val="24"/>
        </w:rPr>
        <w:t>本基金</w:t>
      </w:r>
      <w:r w:rsidRPr="00985FC8">
        <w:rPr>
          <w:color w:val="000000"/>
          <w:sz w:val="24"/>
        </w:rPr>
        <w:t>2018</w:t>
      </w:r>
      <w:r w:rsidRPr="00985FC8">
        <w:rPr>
          <w:rFonts w:hint="eastAsia"/>
          <w:color w:val="000000"/>
          <w:sz w:val="24"/>
        </w:rPr>
        <w:t>年度财务报表符合企业会计准则的要求，真实、完整地反映了本基金</w:t>
      </w:r>
      <w:r w:rsidRPr="00985FC8">
        <w:rPr>
          <w:color w:val="000000"/>
          <w:sz w:val="24"/>
        </w:rPr>
        <w:t>2018</w:t>
      </w:r>
      <w:r w:rsidRPr="00985FC8">
        <w:rPr>
          <w:rFonts w:hint="eastAsia"/>
          <w:color w:val="000000"/>
          <w:sz w:val="24"/>
        </w:rPr>
        <w:t>年</w:t>
      </w:r>
      <w:r w:rsidRPr="00985FC8">
        <w:rPr>
          <w:color w:val="000000"/>
          <w:sz w:val="24"/>
        </w:rPr>
        <w:t>12</w:t>
      </w:r>
      <w:r w:rsidRPr="00985FC8">
        <w:rPr>
          <w:rFonts w:hint="eastAsia"/>
          <w:color w:val="000000"/>
          <w:sz w:val="24"/>
        </w:rPr>
        <w:t>月</w:t>
      </w:r>
      <w:r w:rsidRPr="00985FC8">
        <w:rPr>
          <w:color w:val="000000"/>
          <w:sz w:val="24"/>
        </w:rPr>
        <w:t>31</w:t>
      </w:r>
      <w:r w:rsidRPr="00985FC8">
        <w:rPr>
          <w:rFonts w:hint="eastAsia"/>
          <w:color w:val="000000"/>
          <w:sz w:val="24"/>
        </w:rPr>
        <w:t>日的财务状况以及</w:t>
      </w:r>
      <w:r w:rsidRPr="00985FC8">
        <w:rPr>
          <w:color w:val="000000"/>
          <w:sz w:val="24"/>
        </w:rPr>
        <w:t>2018</w:t>
      </w:r>
      <w:r w:rsidRPr="00985FC8">
        <w:rPr>
          <w:rFonts w:hint="eastAsia"/>
          <w:color w:val="000000"/>
          <w:sz w:val="24"/>
        </w:rPr>
        <w:t>年度的经营成果和基金净值变动情况等有关信息。</w:t>
      </w:r>
      <w:bookmarkEnd w:id="146"/>
    </w:p>
    <w:p w:rsidR="001A59F9" w:rsidRPr="00E5352C"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6714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167150"/>
      <w:r w:rsidRPr="00AD0E47">
        <w:rPr>
          <w:rFonts w:ascii="Times New Roman" w:hAnsi="Times New Roman"/>
          <w:kern w:val="0"/>
          <w:szCs w:val="24"/>
        </w:rPr>
        <w:t>7.4.4.1</w:t>
      </w:r>
      <w:r w:rsidRPr="00AD0E47">
        <w:rPr>
          <w:rFonts w:ascii="Times New Roman" w:hAnsi="Times New Roman" w:hint="eastAsia"/>
          <w:kern w:val="0"/>
          <w:szCs w:val="24"/>
        </w:rPr>
        <w:t>会计年度</w:t>
      </w:r>
      <w:bookmarkEnd w:id="148"/>
    </w:p>
    <w:p w:rsidR="00E5352C" w:rsidRPr="00985FC8" w:rsidRDefault="00E5352C" w:rsidP="00985FC8">
      <w:pPr>
        <w:keepNext/>
        <w:keepLines/>
        <w:ind w:firstLineChars="200" w:firstLine="480"/>
        <w:rPr>
          <w:color w:val="000000"/>
          <w:sz w:val="24"/>
        </w:rPr>
      </w:pPr>
      <w:bookmarkStart w:id="149" w:name="PL52"/>
      <w:r w:rsidRPr="00985FC8">
        <w:rPr>
          <w:rFonts w:hint="eastAsia"/>
          <w:color w:val="000000"/>
          <w:sz w:val="24"/>
        </w:rPr>
        <w:t>本基金会计年度为公历</w:t>
      </w:r>
      <w:r w:rsidRPr="00985FC8">
        <w:rPr>
          <w:color w:val="000000"/>
          <w:sz w:val="24"/>
        </w:rPr>
        <w:t>1</w:t>
      </w:r>
      <w:r w:rsidRPr="00985FC8">
        <w:rPr>
          <w:rFonts w:hint="eastAsia"/>
          <w:color w:val="000000"/>
          <w:sz w:val="24"/>
        </w:rPr>
        <w:t>月</w:t>
      </w:r>
      <w:r w:rsidRPr="00985FC8">
        <w:rPr>
          <w:color w:val="000000"/>
          <w:sz w:val="24"/>
        </w:rPr>
        <w:t>1</w:t>
      </w:r>
      <w:r w:rsidRPr="00985FC8">
        <w:rPr>
          <w:rFonts w:hint="eastAsia"/>
          <w:color w:val="000000"/>
          <w:sz w:val="24"/>
        </w:rPr>
        <w:t>日起至</w:t>
      </w:r>
      <w:r w:rsidRPr="00985FC8">
        <w:rPr>
          <w:color w:val="000000"/>
          <w:sz w:val="24"/>
        </w:rPr>
        <w:t>12</w:t>
      </w:r>
      <w:r w:rsidRPr="00985FC8">
        <w:rPr>
          <w:rFonts w:hint="eastAsia"/>
          <w:color w:val="000000"/>
          <w:sz w:val="24"/>
        </w:rPr>
        <w:t>月</w:t>
      </w:r>
      <w:r w:rsidRPr="00985FC8">
        <w:rPr>
          <w:color w:val="000000"/>
          <w:sz w:val="24"/>
        </w:rPr>
        <w:t>31</w:t>
      </w:r>
      <w:r w:rsidRPr="00985FC8">
        <w:rPr>
          <w:rFonts w:hint="eastAsia"/>
          <w:color w:val="000000"/>
          <w:sz w:val="24"/>
        </w:rPr>
        <w:t>日止。比较财务报表的实际编制期间为</w:t>
      </w:r>
      <w:r w:rsidR="00AF5A87" w:rsidRPr="00985FC8">
        <w:rPr>
          <w:color w:val="000000"/>
          <w:sz w:val="24"/>
        </w:rPr>
        <w:t>201</w:t>
      </w:r>
      <w:r w:rsidR="00AF5A87">
        <w:rPr>
          <w:color w:val="000000"/>
          <w:sz w:val="24"/>
        </w:rPr>
        <w:t>7</w:t>
      </w:r>
      <w:r w:rsidRPr="00985FC8">
        <w:rPr>
          <w:rFonts w:hint="eastAsia"/>
          <w:color w:val="000000"/>
          <w:sz w:val="24"/>
        </w:rPr>
        <w:t>年</w:t>
      </w:r>
      <w:r w:rsidRPr="00985FC8">
        <w:rPr>
          <w:color w:val="000000"/>
          <w:sz w:val="24"/>
        </w:rPr>
        <w:t>8</w:t>
      </w:r>
      <w:r w:rsidRPr="00985FC8">
        <w:rPr>
          <w:rFonts w:hint="eastAsia"/>
          <w:color w:val="000000"/>
          <w:sz w:val="24"/>
        </w:rPr>
        <w:t>月</w:t>
      </w:r>
      <w:r w:rsidRPr="00985FC8">
        <w:rPr>
          <w:color w:val="000000"/>
          <w:sz w:val="24"/>
        </w:rPr>
        <w:t>25</w:t>
      </w:r>
      <w:r w:rsidRPr="00985FC8">
        <w:rPr>
          <w:rFonts w:hint="eastAsia"/>
          <w:color w:val="000000"/>
          <w:sz w:val="24"/>
        </w:rPr>
        <w:t>日</w:t>
      </w:r>
      <w:r w:rsidRPr="00985FC8">
        <w:rPr>
          <w:color w:val="000000"/>
          <w:sz w:val="24"/>
        </w:rPr>
        <w:t>(</w:t>
      </w:r>
      <w:r w:rsidRPr="00985FC8">
        <w:rPr>
          <w:rFonts w:hint="eastAsia"/>
          <w:color w:val="000000"/>
          <w:sz w:val="24"/>
        </w:rPr>
        <w:t>基金合同生效日</w:t>
      </w:r>
      <w:r w:rsidRPr="00985FC8">
        <w:rPr>
          <w:color w:val="000000"/>
          <w:sz w:val="24"/>
        </w:rPr>
        <w:t>)</w:t>
      </w:r>
      <w:r w:rsidRPr="00985FC8">
        <w:rPr>
          <w:rFonts w:hint="eastAsia"/>
          <w:color w:val="000000"/>
          <w:sz w:val="24"/>
        </w:rPr>
        <w:t>至</w:t>
      </w:r>
      <w:r w:rsidR="00A476AB" w:rsidRPr="00985FC8">
        <w:rPr>
          <w:color w:val="000000"/>
          <w:sz w:val="24"/>
        </w:rPr>
        <w:t>201</w:t>
      </w:r>
      <w:r w:rsidR="00A476AB">
        <w:rPr>
          <w:color w:val="000000"/>
          <w:sz w:val="24"/>
        </w:rPr>
        <w:t>7</w:t>
      </w:r>
      <w:r w:rsidRPr="00985FC8">
        <w:rPr>
          <w:rFonts w:hint="eastAsia"/>
          <w:color w:val="000000"/>
          <w:sz w:val="24"/>
        </w:rPr>
        <w:t>年</w:t>
      </w:r>
      <w:r w:rsidRPr="00985FC8">
        <w:rPr>
          <w:color w:val="000000"/>
          <w:sz w:val="24"/>
        </w:rPr>
        <w:t>12</w:t>
      </w:r>
      <w:r w:rsidRPr="00985FC8">
        <w:rPr>
          <w:rFonts w:hint="eastAsia"/>
          <w:color w:val="000000"/>
          <w:sz w:val="24"/>
        </w:rPr>
        <w:t>月</w:t>
      </w:r>
      <w:r w:rsidRPr="00985FC8">
        <w:rPr>
          <w:color w:val="000000"/>
          <w:sz w:val="24"/>
        </w:rPr>
        <w:t>31</w:t>
      </w:r>
      <w:r w:rsidRPr="00985FC8">
        <w:rPr>
          <w:rFonts w:hint="eastAsia"/>
          <w:color w:val="000000"/>
          <w:sz w:val="24"/>
        </w:rPr>
        <w:t>日。</w:t>
      </w:r>
      <w:bookmarkEnd w:id="149"/>
    </w:p>
    <w:p w:rsidR="00E5352C" w:rsidRPr="00E5352C" w:rsidRDefault="00E5352C"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6715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6715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1"/>
    </w:p>
    <w:p w:rsidR="00413707" w:rsidRDefault="00532CE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13707" w:rsidRDefault="00532CE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w:t>
      </w:r>
      <w:r>
        <w:rPr>
          <w:color w:val="000000"/>
          <w:sz w:val="24"/>
        </w:rPr>
        <w:lastRenderedPageBreak/>
        <w:t>资产的持有意图和持有能力。本基金现无金融资产分类为可供出售金融资产及持有至到期投资。</w:t>
      </w:r>
    </w:p>
    <w:p w:rsidR="00413707" w:rsidRDefault="00532CED">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13707" w:rsidRDefault="00532CE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13707" w:rsidRDefault="00532CE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6715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2"/>
    </w:p>
    <w:p w:rsidR="00413707" w:rsidRDefault="00532CE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13707" w:rsidRDefault="00532CE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413707" w:rsidRDefault="00532CE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13707" w:rsidRDefault="00532CE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6715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3"/>
    </w:p>
    <w:p w:rsidR="00413707" w:rsidRDefault="00532CE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413707" w:rsidRDefault="00532CE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w:t>
      </w:r>
      <w:r>
        <w:rPr>
          <w:color w:val="000000"/>
          <w:sz w:val="24"/>
        </w:rPr>
        <w:lastRenderedPageBreak/>
        <w:t>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13707" w:rsidRDefault="00532CE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6715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54"/>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872A77" w:rsidRDefault="001A59F9" w:rsidP="00872A77">
      <w:pPr>
        <w:pStyle w:val="20"/>
        <w:spacing w:before="29" w:after="0" w:line="288" w:lineRule="auto"/>
        <w:rPr>
          <w:rFonts w:ascii="Times New Roman" w:hAnsi="Times New Roman"/>
          <w:kern w:val="0"/>
          <w:szCs w:val="24"/>
        </w:rPr>
      </w:pPr>
      <w:bookmarkStart w:id="155" w:name="_Toc416715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55"/>
    </w:p>
    <w:p w:rsidR="00872A77" w:rsidRPr="00985FC8" w:rsidRDefault="00872A77" w:rsidP="001A1740">
      <w:pPr>
        <w:spacing w:line="360" w:lineRule="auto"/>
        <w:ind w:firstLineChars="200" w:firstLine="480"/>
        <w:rPr>
          <w:rFonts w:asciiTheme="minorEastAsia" w:eastAsiaTheme="minorEastAsia" w:hAnsiTheme="minorEastAsia"/>
          <w:bCs/>
          <w:color w:val="000000"/>
          <w:sz w:val="24"/>
        </w:rPr>
      </w:pPr>
      <w:r w:rsidRPr="00985FC8">
        <w:rPr>
          <w:rFonts w:asciiTheme="minorEastAsia" w:eastAsiaTheme="minorEastAsia" w:hAnsiTheme="minorEastAsia" w:hint="eastAsia"/>
          <w:bCs/>
          <w:color w:val="000000"/>
          <w:sz w:val="24"/>
        </w:rPr>
        <w:t>实收基金为对外发行基金份额所募集的总金额在扣除</w:t>
      </w:r>
      <w:proofErr w:type="gramStart"/>
      <w:r w:rsidRPr="00985FC8">
        <w:rPr>
          <w:rFonts w:asciiTheme="minorEastAsia" w:eastAsiaTheme="minorEastAsia" w:hAnsiTheme="minorEastAsia" w:hint="eastAsia"/>
          <w:bCs/>
          <w:color w:val="000000"/>
          <w:sz w:val="24"/>
        </w:rPr>
        <w:t>损益平准金</w:t>
      </w:r>
      <w:proofErr w:type="gramEnd"/>
      <w:r w:rsidRPr="00985FC8">
        <w:rPr>
          <w:rFonts w:asciiTheme="minorEastAsia" w:eastAsiaTheme="minorEastAsia" w:hAnsiTheme="minorEastAsia" w:hint="eastAsia"/>
          <w:bCs/>
          <w:color w:val="000000"/>
          <w:sz w:val="24"/>
        </w:rPr>
        <w:t>分摊部分后的余额。由于申购和赎回引起的实收基金变动分别于基金申购确认日及基金赎回确认</w:t>
      </w:r>
      <w:proofErr w:type="gramStart"/>
      <w:r w:rsidRPr="00985FC8">
        <w:rPr>
          <w:rFonts w:asciiTheme="minorEastAsia" w:eastAsiaTheme="minorEastAsia" w:hAnsiTheme="minorEastAsia" w:hint="eastAsia"/>
          <w:bCs/>
          <w:color w:val="000000"/>
          <w:sz w:val="24"/>
        </w:rPr>
        <w:t>日认列上述</w:t>
      </w:r>
      <w:proofErr w:type="gramEnd"/>
      <w:r w:rsidRPr="00985FC8">
        <w:rPr>
          <w:rFonts w:asciiTheme="minorEastAsia" w:eastAsiaTheme="minorEastAsia" w:hAnsiTheme="minorEastAsia" w:hint="eastAsia"/>
          <w:bCs/>
          <w:color w:val="000000"/>
          <w:sz w:val="24"/>
        </w:rPr>
        <w:t>申购和赎回分别包括基金转换所引起的转入基金的实收基金增加和转出基金的实收基金减少。</w:t>
      </w:r>
    </w:p>
    <w:p w:rsidR="00872A77" w:rsidRPr="0051158F" w:rsidRDefault="00872A77"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67157"/>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56"/>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57" w:name="_Toc416715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57"/>
    </w:p>
    <w:p w:rsidR="00144C6C" w:rsidRPr="00985FC8" w:rsidRDefault="00144C6C" w:rsidP="00144C6C">
      <w:pPr>
        <w:spacing w:line="360" w:lineRule="auto"/>
        <w:ind w:firstLineChars="200" w:firstLine="480"/>
        <w:rPr>
          <w:rFonts w:asciiTheme="minorEastAsia" w:eastAsiaTheme="minorEastAsia" w:hAnsiTheme="minorEastAsia"/>
          <w:bCs/>
          <w:color w:val="000000"/>
          <w:sz w:val="24"/>
        </w:rPr>
      </w:pPr>
      <w:r w:rsidRPr="00985FC8">
        <w:rPr>
          <w:rFonts w:asciiTheme="minorEastAsia" w:eastAsiaTheme="minorEastAsia" w:hAnsiTheme="minorEastAsia" w:hint="eastAsia"/>
          <w:bCs/>
          <w:color w:val="000000"/>
          <w:sz w:val="24"/>
        </w:rPr>
        <w:t>股票投资在持有期间应取得的现金股利扣除由上市公司代扣代缴的个人所得税后的净额确认为投资收益。债券投资在持有期间应取得的按票面利率或者发行价计算的利</w:t>
      </w:r>
      <w:r w:rsidRPr="00985FC8">
        <w:rPr>
          <w:rFonts w:asciiTheme="minorEastAsia" w:eastAsiaTheme="minorEastAsia" w:hAnsiTheme="minorEastAsia" w:hint="eastAsia"/>
          <w:bCs/>
          <w:color w:val="000000"/>
          <w:sz w:val="24"/>
        </w:rPr>
        <w:lastRenderedPageBreak/>
        <w:t>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44C6C" w:rsidRPr="00985FC8" w:rsidRDefault="00144C6C" w:rsidP="00144C6C">
      <w:pPr>
        <w:spacing w:line="360" w:lineRule="auto"/>
        <w:ind w:firstLineChars="200" w:firstLine="480"/>
        <w:rPr>
          <w:rFonts w:asciiTheme="minorEastAsia" w:eastAsiaTheme="minorEastAsia" w:hAnsiTheme="minorEastAsia"/>
          <w:bCs/>
          <w:color w:val="000000"/>
          <w:sz w:val="24"/>
        </w:rPr>
      </w:pPr>
      <w:r w:rsidRPr="00985FC8">
        <w:rPr>
          <w:rFonts w:asciiTheme="minorEastAsia" w:eastAsiaTheme="minorEastAsia" w:hAnsiTheme="minorEastAsia" w:hint="eastAsia"/>
          <w:bCs/>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985FC8" w:rsidRDefault="00144C6C" w:rsidP="00144C6C">
      <w:pPr>
        <w:spacing w:line="360" w:lineRule="auto"/>
        <w:ind w:firstLineChars="200" w:firstLine="480"/>
        <w:rPr>
          <w:rFonts w:asciiTheme="minorEastAsia" w:eastAsiaTheme="minorEastAsia" w:hAnsiTheme="minorEastAsia"/>
          <w:bCs/>
          <w:color w:val="000000"/>
          <w:sz w:val="24"/>
        </w:rPr>
      </w:pPr>
      <w:r w:rsidRPr="00985FC8">
        <w:rPr>
          <w:rFonts w:asciiTheme="minorEastAsia" w:eastAsiaTheme="minorEastAsia" w:hAnsiTheme="minorEastAsia" w:hint="eastAsia"/>
          <w:bCs/>
          <w:color w:val="000000"/>
          <w:sz w:val="24"/>
        </w:rPr>
        <w:t>应收款项在持有期间确认的利息收入按实际利率法计算，实际利率法与直线法差异较小的则按直线法计算。</w:t>
      </w:r>
    </w:p>
    <w:p w:rsidR="00AB34D2" w:rsidRPr="00992382" w:rsidRDefault="00AB34D2" w:rsidP="00144C6C">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6715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58"/>
    </w:p>
    <w:p w:rsidR="00413707" w:rsidRDefault="00532CE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6716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59"/>
    </w:p>
    <w:p w:rsidR="00985FC8" w:rsidRPr="00985FC8" w:rsidRDefault="00985FC8" w:rsidP="00985FC8">
      <w:pPr>
        <w:spacing w:before="29" w:line="288" w:lineRule="auto"/>
        <w:ind w:firstLineChars="200" w:firstLine="480"/>
        <w:rPr>
          <w:color w:val="000000"/>
          <w:sz w:val="24"/>
        </w:rPr>
      </w:pPr>
      <w:r w:rsidRPr="00985FC8">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985FC8">
        <w:rPr>
          <w:rFonts w:hint="eastAsia"/>
          <w:color w:val="000000"/>
          <w:sz w:val="24"/>
        </w:rPr>
        <w:t>平准金等</w:t>
      </w:r>
      <w:proofErr w:type="gramEnd"/>
      <w:r w:rsidRPr="00985FC8">
        <w:rPr>
          <w:rFonts w:hint="eastAsia"/>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985FC8" w:rsidRDefault="00985FC8" w:rsidP="00144C6C">
      <w:pPr>
        <w:spacing w:before="29" w:line="288" w:lineRule="auto"/>
        <w:ind w:firstLineChars="200" w:firstLine="480"/>
        <w:rPr>
          <w:color w:val="000000"/>
          <w:sz w:val="24"/>
        </w:rPr>
      </w:pPr>
      <w:r w:rsidRPr="00985FC8">
        <w:rPr>
          <w:rFonts w:hint="eastAsia"/>
          <w:color w:val="000000"/>
          <w:sz w:val="24"/>
        </w:rPr>
        <w:t>经宣告的拟分配基金收益于分红除权日从所有者权益转出。</w:t>
      </w:r>
    </w:p>
    <w:p w:rsidR="00144C6C" w:rsidRPr="00AC056D" w:rsidRDefault="00144C6C" w:rsidP="00144C6C">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6716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60"/>
    </w:p>
    <w:p w:rsidR="00413707" w:rsidRDefault="00532CE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6716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61"/>
    </w:p>
    <w:p w:rsidR="00144C6C" w:rsidRPr="00985FC8" w:rsidRDefault="00144C6C" w:rsidP="00985FC8">
      <w:pPr>
        <w:spacing w:before="29" w:line="288" w:lineRule="auto"/>
        <w:ind w:firstLineChars="200" w:firstLine="480"/>
        <w:rPr>
          <w:color w:val="000000"/>
          <w:sz w:val="24"/>
        </w:rPr>
      </w:pPr>
      <w:bookmarkStart w:id="162" w:name="PL265"/>
      <w:r w:rsidRPr="00985FC8">
        <w:rPr>
          <w:rFonts w:hint="eastAsia"/>
          <w:color w:val="000000"/>
          <w:sz w:val="24"/>
        </w:rPr>
        <w:t>根据本基金的估值原则和中国证监会允许的基金行业估值实务操作，本基金确定以下类别股票投资、债券投资和资产支持证券投资的公允价值时采用的估值方法及其关键假设如下：</w:t>
      </w:r>
      <w:bookmarkEnd w:id="162"/>
    </w:p>
    <w:p w:rsidR="00144C6C" w:rsidRPr="00985FC8" w:rsidRDefault="00144C6C" w:rsidP="00985FC8">
      <w:pPr>
        <w:spacing w:before="29" w:line="288" w:lineRule="auto"/>
        <w:ind w:firstLineChars="200" w:firstLine="480"/>
        <w:rPr>
          <w:color w:val="000000"/>
          <w:sz w:val="24"/>
        </w:rPr>
      </w:pPr>
      <w:bookmarkStart w:id="163" w:name="PL269"/>
      <w:r w:rsidRPr="00985FC8">
        <w:rPr>
          <w:color w:val="000000"/>
          <w:sz w:val="24"/>
        </w:rPr>
        <w:t>(1)</w:t>
      </w:r>
      <w:r w:rsidRPr="00985FC8">
        <w:rPr>
          <w:rFonts w:hint="eastAsia"/>
          <w:color w:val="000000"/>
          <w:sz w:val="24"/>
        </w:rPr>
        <w:t>对于证券交易所上市的股票和债券，若出现重大事项停牌或交易不活跃</w:t>
      </w:r>
      <w:r w:rsidRPr="00985FC8">
        <w:rPr>
          <w:color w:val="000000"/>
          <w:sz w:val="24"/>
        </w:rPr>
        <w:t>(</w:t>
      </w:r>
      <w:r w:rsidRPr="00985FC8">
        <w:rPr>
          <w:rFonts w:hint="eastAsia"/>
          <w:color w:val="000000"/>
          <w:sz w:val="24"/>
        </w:rPr>
        <w:t>包括涨跌停时的交易不活跃</w:t>
      </w:r>
      <w:r w:rsidRPr="00985FC8">
        <w:rPr>
          <w:color w:val="000000"/>
          <w:sz w:val="24"/>
        </w:rPr>
        <w:t>)</w:t>
      </w:r>
      <w:r w:rsidRPr="00985FC8">
        <w:rPr>
          <w:rFonts w:hint="eastAsia"/>
          <w:color w:val="000000"/>
          <w:sz w:val="24"/>
        </w:rPr>
        <w:t>等情况，本基金根据中国证监会公告</w:t>
      </w:r>
      <w:r w:rsidRPr="00985FC8">
        <w:rPr>
          <w:color w:val="000000"/>
          <w:sz w:val="24"/>
        </w:rPr>
        <w:t>[2017]13</w:t>
      </w:r>
      <w:r w:rsidRPr="00985FC8">
        <w:rPr>
          <w:rFonts w:hint="eastAsia"/>
          <w:color w:val="000000"/>
          <w:sz w:val="24"/>
        </w:rPr>
        <w:t>号《中国证监会关于证券投资基金估值业务的指导意见》，根据具体情况采用《关于发布中基协</w:t>
      </w:r>
      <w:r w:rsidRPr="00985FC8">
        <w:rPr>
          <w:color w:val="000000"/>
          <w:sz w:val="24"/>
        </w:rPr>
        <w:t>(AMAC)</w:t>
      </w:r>
      <w:r w:rsidRPr="00985FC8">
        <w:rPr>
          <w:rFonts w:hint="eastAsia"/>
          <w:color w:val="000000"/>
          <w:sz w:val="24"/>
        </w:rPr>
        <w:t>基金行业股票估值指数的通知》提供的指数收益法、市盈率法、现金流量折现法等估值技术进行估值。</w:t>
      </w:r>
      <w:bookmarkEnd w:id="163"/>
    </w:p>
    <w:p w:rsidR="00144C6C" w:rsidRPr="00985FC8" w:rsidRDefault="00144C6C" w:rsidP="00985FC8">
      <w:pPr>
        <w:spacing w:before="29" w:line="288" w:lineRule="auto"/>
        <w:ind w:firstLineChars="200" w:firstLine="480"/>
        <w:rPr>
          <w:color w:val="000000"/>
          <w:sz w:val="24"/>
        </w:rPr>
      </w:pPr>
      <w:bookmarkStart w:id="164" w:name="PL285"/>
      <w:r w:rsidRPr="00985FC8">
        <w:rPr>
          <w:color w:val="000000"/>
          <w:sz w:val="24"/>
        </w:rPr>
        <w:t>(2)</w:t>
      </w:r>
      <w:r w:rsidRPr="00985FC8">
        <w:rPr>
          <w:rFonts w:hint="eastAsia"/>
          <w:color w:val="000000"/>
          <w:sz w:val="24"/>
        </w:rPr>
        <w:t>于</w:t>
      </w:r>
      <w:r w:rsidRPr="00985FC8">
        <w:rPr>
          <w:color w:val="000000"/>
          <w:sz w:val="24"/>
        </w:rPr>
        <w:t>2017</w:t>
      </w:r>
      <w:r w:rsidRPr="00985FC8">
        <w:rPr>
          <w:rFonts w:hint="eastAsia"/>
          <w:color w:val="000000"/>
          <w:sz w:val="24"/>
        </w:rPr>
        <w:t>年</w:t>
      </w:r>
      <w:r w:rsidRPr="00985FC8">
        <w:rPr>
          <w:color w:val="000000"/>
          <w:sz w:val="24"/>
        </w:rPr>
        <w:t>11</w:t>
      </w:r>
      <w:r w:rsidRPr="00985FC8">
        <w:rPr>
          <w:rFonts w:hint="eastAsia"/>
          <w:color w:val="000000"/>
          <w:sz w:val="24"/>
        </w:rPr>
        <w:t>月</w:t>
      </w:r>
      <w:r w:rsidRPr="00985FC8">
        <w:rPr>
          <w:color w:val="000000"/>
          <w:sz w:val="24"/>
        </w:rPr>
        <w:t>15</w:t>
      </w:r>
      <w:r w:rsidRPr="00985FC8">
        <w:rPr>
          <w:rFonts w:hint="eastAsia"/>
          <w:color w:val="000000"/>
          <w:sz w:val="24"/>
        </w:rPr>
        <w:t>日前，对于在锁定期内的非公开发行股票，根据中国</w:t>
      </w:r>
      <w:proofErr w:type="gramStart"/>
      <w:r w:rsidRPr="00985FC8">
        <w:rPr>
          <w:rFonts w:hint="eastAsia"/>
          <w:color w:val="000000"/>
          <w:sz w:val="24"/>
        </w:rPr>
        <w:t>证监会证监会</w:t>
      </w:r>
      <w:proofErr w:type="gramEnd"/>
      <w:r w:rsidRPr="00985FC8">
        <w:rPr>
          <w:rFonts w:hint="eastAsia"/>
          <w:color w:val="000000"/>
          <w:sz w:val="24"/>
        </w:rPr>
        <w:t>计字</w:t>
      </w:r>
      <w:r w:rsidRPr="00985FC8">
        <w:rPr>
          <w:color w:val="000000"/>
          <w:sz w:val="24"/>
        </w:rPr>
        <w:t>[2007]21</w:t>
      </w:r>
      <w:r w:rsidRPr="00985FC8">
        <w:rPr>
          <w:rFonts w:hint="eastAsia"/>
          <w:color w:val="000000"/>
          <w:sz w:val="24"/>
        </w:rPr>
        <w:t>号《关于证券投资基金执行</w:t>
      </w:r>
      <w:r w:rsidRPr="00985FC8">
        <w:rPr>
          <w:color w:val="000000"/>
          <w:sz w:val="24"/>
        </w:rPr>
        <w:t>&lt;</w:t>
      </w:r>
      <w:r w:rsidRPr="00985FC8">
        <w:rPr>
          <w:rFonts w:hint="eastAsia"/>
          <w:color w:val="000000"/>
          <w:sz w:val="24"/>
        </w:rPr>
        <w:t>企业会计准则</w:t>
      </w:r>
      <w:r w:rsidRPr="00985FC8">
        <w:rPr>
          <w:color w:val="000000"/>
          <w:sz w:val="24"/>
        </w:rPr>
        <w:t>&gt;</w:t>
      </w:r>
      <w:r w:rsidRPr="00985FC8">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985FC8">
        <w:rPr>
          <w:color w:val="000000"/>
          <w:sz w:val="24"/>
        </w:rPr>
        <w:t>2017</w:t>
      </w:r>
      <w:r w:rsidRPr="00985FC8">
        <w:rPr>
          <w:rFonts w:hint="eastAsia"/>
          <w:color w:val="000000"/>
          <w:sz w:val="24"/>
        </w:rPr>
        <w:t>年</w:t>
      </w:r>
      <w:r w:rsidRPr="00985FC8">
        <w:rPr>
          <w:color w:val="000000"/>
          <w:sz w:val="24"/>
        </w:rPr>
        <w:t>11</w:t>
      </w:r>
      <w:r w:rsidRPr="00985FC8">
        <w:rPr>
          <w:rFonts w:hint="eastAsia"/>
          <w:color w:val="000000"/>
          <w:sz w:val="24"/>
        </w:rPr>
        <w:t>月</w:t>
      </w:r>
      <w:r w:rsidRPr="00985FC8">
        <w:rPr>
          <w:color w:val="000000"/>
          <w:sz w:val="24"/>
        </w:rPr>
        <w:t>15</w:t>
      </w:r>
      <w:r w:rsidRPr="00985FC8">
        <w:rPr>
          <w:rFonts w:hint="eastAsia"/>
          <w:color w:val="000000"/>
          <w:sz w:val="24"/>
        </w:rPr>
        <w:t>日起，对于在锁定期内的非公开发行股票、首次公开发行股票时公司股东公开发售股份、通过大宗交易取得的带限售期的股票等流通受限股票，根据中国基金业协会</w:t>
      </w:r>
      <w:proofErr w:type="gramStart"/>
      <w:r w:rsidRPr="00985FC8">
        <w:rPr>
          <w:rFonts w:hint="eastAsia"/>
          <w:color w:val="000000"/>
          <w:sz w:val="24"/>
        </w:rPr>
        <w:t>中基协发</w:t>
      </w:r>
      <w:proofErr w:type="gramEnd"/>
      <w:r w:rsidRPr="00985FC8">
        <w:rPr>
          <w:color w:val="000000"/>
          <w:sz w:val="24"/>
        </w:rPr>
        <w:t>[2017]6</w:t>
      </w:r>
      <w:r w:rsidRPr="00985FC8">
        <w:rPr>
          <w:rFonts w:hint="eastAsia"/>
          <w:color w:val="000000"/>
          <w:sz w:val="24"/>
        </w:rPr>
        <w:t>号《关于发布</w:t>
      </w:r>
      <w:r w:rsidRPr="00985FC8">
        <w:rPr>
          <w:color w:val="000000"/>
          <w:sz w:val="24"/>
        </w:rPr>
        <w:t>&lt;</w:t>
      </w:r>
      <w:r w:rsidRPr="00985FC8">
        <w:rPr>
          <w:rFonts w:hint="eastAsia"/>
          <w:color w:val="000000"/>
          <w:sz w:val="24"/>
        </w:rPr>
        <w:t>证券投资基金投资流通受限股票估值指引</w:t>
      </w:r>
      <w:r w:rsidRPr="00985FC8">
        <w:rPr>
          <w:color w:val="000000"/>
          <w:sz w:val="24"/>
        </w:rPr>
        <w:t>(</w:t>
      </w:r>
      <w:r w:rsidRPr="00985FC8">
        <w:rPr>
          <w:rFonts w:hint="eastAsia"/>
          <w:color w:val="000000"/>
          <w:sz w:val="24"/>
        </w:rPr>
        <w:t>试行</w:t>
      </w:r>
      <w:r w:rsidRPr="00985FC8">
        <w:rPr>
          <w:color w:val="000000"/>
          <w:sz w:val="24"/>
        </w:rPr>
        <w:t>)&gt;</w:t>
      </w:r>
      <w:r w:rsidRPr="00985FC8">
        <w:rPr>
          <w:rFonts w:hint="eastAsia"/>
          <w:color w:val="000000"/>
          <w:sz w:val="24"/>
        </w:rPr>
        <w:t>的通知》之附件《证券投资基金投资流通受限股票估值指引</w:t>
      </w:r>
      <w:r w:rsidRPr="00985FC8">
        <w:rPr>
          <w:color w:val="000000"/>
          <w:sz w:val="24"/>
        </w:rPr>
        <w:t>(</w:t>
      </w:r>
      <w:r w:rsidRPr="00985FC8">
        <w:rPr>
          <w:rFonts w:hint="eastAsia"/>
          <w:color w:val="000000"/>
          <w:sz w:val="24"/>
        </w:rPr>
        <w:t>试行</w:t>
      </w:r>
      <w:r w:rsidRPr="00985FC8">
        <w:rPr>
          <w:color w:val="000000"/>
          <w:sz w:val="24"/>
        </w:rPr>
        <w:t>)</w:t>
      </w:r>
      <w:r w:rsidRPr="00985FC8">
        <w:rPr>
          <w:rFonts w:hint="eastAsia"/>
          <w:color w:val="000000"/>
          <w:sz w:val="24"/>
        </w:rPr>
        <w:t>》</w:t>
      </w:r>
      <w:r w:rsidRPr="00985FC8">
        <w:rPr>
          <w:color w:val="000000"/>
          <w:sz w:val="24"/>
        </w:rPr>
        <w:t>(</w:t>
      </w:r>
      <w:r w:rsidRPr="00985FC8">
        <w:rPr>
          <w:rFonts w:hint="eastAsia"/>
          <w:color w:val="000000"/>
          <w:sz w:val="24"/>
        </w:rPr>
        <w:t>以下简称</w:t>
      </w:r>
      <w:r w:rsidRPr="00985FC8">
        <w:rPr>
          <w:color w:val="000000"/>
          <w:sz w:val="24"/>
        </w:rPr>
        <w:t>“</w:t>
      </w:r>
      <w:r w:rsidRPr="00985FC8">
        <w:rPr>
          <w:rFonts w:hint="eastAsia"/>
          <w:color w:val="000000"/>
          <w:sz w:val="24"/>
        </w:rPr>
        <w:t>指引</w:t>
      </w:r>
      <w:r w:rsidRPr="00985FC8">
        <w:rPr>
          <w:color w:val="000000"/>
          <w:sz w:val="24"/>
        </w:rPr>
        <w:t>”)</w:t>
      </w:r>
      <w:r w:rsidRPr="00985FC8">
        <w:rPr>
          <w:rFonts w:hint="eastAsia"/>
          <w:color w:val="000000"/>
          <w:sz w:val="24"/>
        </w:rPr>
        <w:t>，按估值日在证券交易所上市交易的同一股票的公允价值扣除中证指数有限公司根据指引所独立提供的</w:t>
      </w:r>
      <w:proofErr w:type="gramStart"/>
      <w:r w:rsidRPr="00985FC8">
        <w:rPr>
          <w:rFonts w:hint="eastAsia"/>
          <w:color w:val="000000"/>
          <w:sz w:val="24"/>
        </w:rPr>
        <w:t>该流通</w:t>
      </w:r>
      <w:proofErr w:type="gramEnd"/>
      <w:r w:rsidRPr="00985FC8">
        <w:rPr>
          <w:rFonts w:hint="eastAsia"/>
          <w:color w:val="000000"/>
          <w:sz w:val="24"/>
        </w:rPr>
        <w:t>受限股票剩余限售期对应的流动性折扣后的价值进行估值。</w:t>
      </w:r>
      <w:bookmarkEnd w:id="164"/>
    </w:p>
    <w:p w:rsidR="00144C6C" w:rsidRPr="00985FC8" w:rsidRDefault="00BC7E5B" w:rsidP="00985FC8">
      <w:pPr>
        <w:spacing w:before="29" w:line="288" w:lineRule="auto"/>
        <w:ind w:firstLineChars="200" w:firstLine="480"/>
        <w:rPr>
          <w:color w:val="000000"/>
          <w:sz w:val="24"/>
        </w:rPr>
      </w:pPr>
      <w:r w:rsidRPr="00BC7E5B">
        <w:rPr>
          <w:rFonts w:hint="eastAsia"/>
          <w:color w:val="000000"/>
          <w:sz w:val="24"/>
        </w:rPr>
        <w:t>(3)</w:t>
      </w:r>
      <w:r w:rsidRPr="00BC7E5B">
        <w:rPr>
          <w:rFonts w:hint="eastAsia"/>
          <w:color w:val="000000"/>
          <w:sz w:val="24"/>
        </w:rPr>
        <w:t>对于在证券交易所上市或挂牌转让的固定收益品种</w:t>
      </w:r>
      <w:r w:rsidRPr="00BC7E5B">
        <w:rPr>
          <w:rFonts w:hint="eastAsia"/>
          <w:color w:val="000000"/>
          <w:sz w:val="24"/>
        </w:rPr>
        <w:t>(</w:t>
      </w:r>
      <w:r w:rsidRPr="00BC7E5B">
        <w:rPr>
          <w:rFonts w:hint="eastAsia"/>
          <w:color w:val="000000"/>
          <w:sz w:val="24"/>
        </w:rPr>
        <w:t>可转换债券、资产支持证券和私募债券除外</w:t>
      </w:r>
      <w:r w:rsidRPr="00BC7E5B">
        <w:rPr>
          <w:rFonts w:hint="eastAsia"/>
          <w:color w:val="000000"/>
          <w:sz w:val="24"/>
        </w:rPr>
        <w:t>)</w:t>
      </w:r>
      <w:r w:rsidRPr="00BC7E5B">
        <w:rPr>
          <w:rFonts w:hint="eastAsia"/>
          <w:color w:val="000000"/>
          <w:sz w:val="24"/>
        </w:rPr>
        <w:t>及在银行间同业市场交易的固定收益品种，根据中国证监会公告</w:t>
      </w:r>
      <w:r w:rsidRPr="00BC7E5B">
        <w:rPr>
          <w:rFonts w:hint="eastAsia"/>
          <w:color w:val="000000"/>
          <w:sz w:val="24"/>
        </w:rPr>
        <w:t>[2017]13</w:t>
      </w:r>
      <w:r w:rsidRPr="00BC7E5B">
        <w:rPr>
          <w:rFonts w:hint="eastAsia"/>
          <w:color w:val="000000"/>
          <w:sz w:val="24"/>
        </w:rPr>
        <w:t>号《中国证监会关于证券投资基金估值业务的指导意见》及《中国证券投资基金业协会估值核算工作小组关于</w:t>
      </w:r>
      <w:r w:rsidRPr="00BC7E5B">
        <w:rPr>
          <w:rFonts w:hint="eastAsia"/>
          <w:color w:val="000000"/>
          <w:sz w:val="24"/>
        </w:rPr>
        <w:t>2015</w:t>
      </w:r>
      <w:r w:rsidRPr="00BC7E5B">
        <w:rPr>
          <w:rFonts w:hint="eastAsia"/>
          <w:color w:val="000000"/>
          <w:sz w:val="24"/>
        </w:rPr>
        <w:t>年</w:t>
      </w:r>
      <w:r w:rsidRPr="00BC7E5B">
        <w:rPr>
          <w:rFonts w:hint="eastAsia"/>
          <w:color w:val="000000"/>
          <w:sz w:val="24"/>
        </w:rPr>
        <w:t>1</w:t>
      </w:r>
      <w:r w:rsidRPr="00BC7E5B">
        <w:rPr>
          <w:rFonts w:hint="eastAsia"/>
          <w:color w:val="000000"/>
          <w:sz w:val="24"/>
        </w:rPr>
        <w:t>季度固定收益品种的估值处理标准》采用估值技术确定公允价值。本基金持有的证券交易所上市或挂牌转让的固定收益品种</w:t>
      </w:r>
      <w:r w:rsidRPr="00BC7E5B">
        <w:rPr>
          <w:rFonts w:hint="eastAsia"/>
          <w:color w:val="000000"/>
          <w:sz w:val="24"/>
        </w:rPr>
        <w:t>(</w:t>
      </w:r>
      <w:r w:rsidRPr="00BC7E5B">
        <w:rPr>
          <w:rFonts w:hint="eastAsia"/>
          <w:color w:val="000000"/>
          <w:sz w:val="24"/>
        </w:rPr>
        <w:t>可转换债券、资产支持证券和私募债券除外</w:t>
      </w:r>
      <w:r w:rsidRPr="00BC7E5B">
        <w:rPr>
          <w:rFonts w:hint="eastAsia"/>
          <w:color w:val="000000"/>
          <w:sz w:val="24"/>
        </w:rPr>
        <w:t>)</w:t>
      </w:r>
      <w:r w:rsidRPr="00BC7E5B">
        <w:rPr>
          <w:rFonts w:hint="eastAsia"/>
          <w:color w:val="000000"/>
          <w:sz w:val="24"/>
        </w:rPr>
        <w:t>，按照中证指数有限公司所独立提供的估值结果确定公允价值。本基金持有的银行间同业市场固定收益品种按照中</w:t>
      </w:r>
      <w:proofErr w:type="gramStart"/>
      <w:r w:rsidRPr="00BC7E5B">
        <w:rPr>
          <w:rFonts w:hint="eastAsia"/>
          <w:color w:val="000000"/>
          <w:sz w:val="24"/>
        </w:rPr>
        <w:t>债金融</w:t>
      </w:r>
      <w:proofErr w:type="gramEnd"/>
      <w:r w:rsidRPr="00BC7E5B">
        <w:rPr>
          <w:rFonts w:hint="eastAsia"/>
          <w:color w:val="000000"/>
          <w:sz w:val="24"/>
        </w:rPr>
        <w:t>估值中心有限责任公司所独立提供的估值结果确定公允价值。</w:t>
      </w:r>
    </w:p>
    <w:p w:rsidR="001A59F9" w:rsidRPr="00144C6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6716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65"/>
    </w:p>
    <w:p w:rsidR="001A59F9" w:rsidRPr="00AD0E47" w:rsidRDefault="001A59F9" w:rsidP="00AD0E47">
      <w:pPr>
        <w:pStyle w:val="20"/>
        <w:spacing w:before="29" w:after="0" w:line="288" w:lineRule="auto"/>
        <w:rPr>
          <w:rFonts w:ascii="Times New Roman" w:hAnsi="Times New Roman"/>
          <w:kern w:val="0"/>
          <w:szCs w:val="24"/>
        </w:rPr>
      </w:pPr>
      <w:bookmarkStart w:id="166" w:name="_Toc416716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66"/>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67165"/>
      <w:r w:rsidRPr="00AD0E47">
        <w:rPr>
          <w:rFonts w:ascii="Times New Roman" w:hAnsi="Times New Roman"/>
          <w:kern w:val="0"/>
          <w:szCs w:val="24"/>
        </w:rPr>
        <w:lastRenderedPageBreak/>
        <w:t xml:space="preserve">7.4.5.2 </w:t>
      </w:r>
      <w:r w:rsidRPr="00AD0E47">
        <w:rPr>
          <w:rFonts w:ascii="Times New Roman" w:hAnsi="Times New Roman" w:hint="eastAsia"/>
          <w:kern w:val="0"/>
          <w:szCs w:val="24"/>
        </w:rPr>
        <w:t>会计估计变更的说明</w:t>
      </w:r>
      <w:bookmarkEnd w:id="167"/>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6716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68"/>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67167"/>
      <w:r w:rsidRPr="00AD0E47">
        <w:rPr>
          <w:rFonts w:ascii="Times New Roman" w:hAnsi="Times New Roman"/>
          <w:kern w:val="0"/>
          <w:szCs w:val="24"/>
        </w:rPr>
        <w:t>7.4.6</w:t>
      </w:r>
      <w:r w:rsidRPr="00AD0E47">
        <w:rPr>
          <w:rFonts w:ascii="Times New Roman" w:hAnsi="Times New Roman" w:hint="eastAsia"/>
          <w:kern w:val="0"/>
          <w:szCs w:val="24"/>
        </w:rPr>
        <w:t>税项</w:t>
      </w:r>
      <w:bookmarkEnd w:id="169"/>
    </w:p>
    <w:p w:rsidR="00144C6C" w:rsidRPr="00985FC8" w:rsidRDefault="00144C6C" w:rsidP="00985FC8">
      <w:pPr>
        <w:spacing w:before="29" w:line="288" w:lineRule="auto"/>
        <w:ind w:firstLineChars="200" w:firstLine="480"/>
        <w:rPr>
          <w:color w:val="000000"/>
          <w:sz w:val="24"/>
        </w:rPr>
      </w:pPr>
      <w:bookmarkStart w:id="170" w:name="PL345"/>
      <w:r w:rsidRPr="00985FC8">
        <w:rPr>
          <w:rFonts w:hint="eastAsia"/>
          <w:color w:val="000000"/>
          <w:sz w:val="24"/>
        </w:rPr>
        <w:t>根据财政部、国家税务总局财税</w:t>
      </w:r>
      <w:r w:rsidRPr="00985FC8">
        <w:rPr>
          <w:color w:val="000000"/>
          <w:sz w:val="24"/>
        </w:rPr>
        <w:t>[2008]1</w:t>
      </w:r>
      <w:r w:rsidRPr="00985FC8">
        <w:rPr>
          <w:rFonts w:hint="eastAsia"/>
          <w:color w:val="000000"/>
          <w:sz w:val="24"/>
        </w:rPr>
        <w:t>号《关于企业所得税若干优惠政策的通知》、财税</w:t>
      </w:r>
      <w:r w:rsidRPr="00985FC8">
        <w:rPr>
          <w:color w:val="000000"/>
          <w:sz w:val="24"/>
        </w:rPr>
        <w:t>[2012]85</w:t>
      </w:r>
      <w:r w:rsidRPr="00985FC8">
        <w:rPr>
          <w:rFonts w:hint="eastAsia"/>
          <w:color w:val="000000"/>
          <w:sz w:val="24"/>
        </w:rPr>
        <w:t>号《关于实施上市公司股息红利差别化个人所得税政策有关问题的通知》、财税</w:t>
      </w:r>
      <w:r w:rsidRPr="00985FC8">
        <w:rPr>
          <w:color w:val="000000"/>
          <w:sz w:val="24"/>
        </w:rPr>
        <w:t>[2015]101</w:t>
      </w:r>
      <w:r w:rsidRPr="00985FC8">
        <w:rPr>
          <w:rFonts w:hint="eastAsia"/>
          <w:color w:val="000000"/>
          <w:sz w:val="24"/>
        </w:rPr>
        <w:t>号《关于上市公司股息红利差别化个人所得税政策有关问题的通知》、财税</w:t>
      </w:r>
      <w:r w:rsidRPr="00985FC8">
        <w:rPr>
          <w:color w:val="000000"/>
          <w:sz w:val="24"/>
        </w:rPr>
        <w:t>[2016]36</w:t>
      </w:r>
      <w:r w:rsidRPr="00985FC8">
        <w:rPr>
          <w:rFonts w:hint="eastAsia"/>
          <w:color w:val="000000"/>
          <w:sz w:val="24"/>
        </w:rPr>
        <w:t>号《关于全面推开营业税改征增值税试点的通知》、财税</w:t>
      </w:r>
      <w:r w:rsidRPr="00985FC8">
        <w:rPr>
          <w:color w:val="000000"/>
          <w:sz w:val="24"/>
        </w:rPr>
        <w:t>[2016]46</w:t>
      </w:r>
      <w:r w:rsidRPr="00985FC8">
        <w:rPr>
          <w:rFonts w:hint="eastAsia"/>
          <w:color w:val="000000"/>
          <w:sz w:val="24"/>
        </w:rPr>
        <w:t>号《关于进一步明确全面推开营改增试点金融业有关政策的通知》、财税</w:t>
      </w:r>
      <w:r w:rsidRPr="00985FC8">
        <w:rPr>
          <w:color w:val="000000"/>
          <w:sz w:val="24"/>
        </w:rPr>
        <w:t>[2016]70</w:t>
      </w:r>
      <w:r w:rsidRPr="00985FC8">
        <w:rPr>
          <w:rFonts w:hint="eastAsia"/>
          <w:color w:val="000000"/>
          <w:sz w:val="24"/>
        </w:rPr>
        <w:t>号《关于金融机构同业往来等增值税政策的补充通知》、财税</w:t>
      </w:r>
      <w:r w:rsidRPr="00985FC8">
        <w:rPr>
          <w:color w:val="000000"/>
          <w:sz w:val="24"/>
        </w:rPr>
        <w:t>[2016]140</w:t>
      </w:r>
      <w:r w:rsidRPr="00985FC8">
        <w:rPr>
          <w:rFonts w:hint="eastAsia"/>
          <w:color w:val="000000"/>
          <w:sz w:val="24"/>
        </w:rPr>
        <w:t>号《关于明确金融</w:t>
      </w:r>
      <w:r w:rsidRPr="00985FC8">
        <w:rPr>
          <w:color w:val="000000"/>
          <w:sz w:val="24"/>
        </w:rPr>
        <w:t xml:space="preserve"> </w:t>
      </w:r>
      <w:r w:rsidRPr="00985FC8">
        <w:rPr>
          <w:rFonts w:hint="eastAsia"/>
          <w:color w:val="000000"/>
          <w:sz w:val="24"/>
        </w:rPr>
        <w:t>房地产开发</w:t>
      </w:r>
      <w:r w:rsidRPr="00985FC8">
        <w:rPr>
          <w:color w:val="000000"/>
          <w:sz w:val="24"/>
        </w:rPr>
        <w:t xml:space="preserve"> </w:t>
      </w:r>
      <w:r w:rsidRPr="00985FC8">
        <w:rPr>
          <w:rFonts w:hint="eastAsia"/>
          <w:color w:val="000000"/>
          <w:sz w:val="24"/>
        </w:rPr>
        <w:t>教育辅助服务等增值税政策的通知》、财税</w:t>
      </w:r>
      <w:r w:rsidRPr="00985FC8">
        <w:rPr>
          <w:color w:val="000000"/>
          <w:sz w:val="24"/>
        </w:rPr>
        <w:t>[2017]2</w:t>
      </w:r>
      <w:r w:rsidRPr="00985FC8">
        <w:rPr>
          <w:rFonts w:hint="eastAsia"/>
          <w:color w:val="000000"/>
          <w:sz w:val="24"/>
        </w:rPr>
        <w:t>号《关于资管产品增值税政策有关问题的补充通知》、财税</w:t>
      </w:r>
      <w:r w:rsidRPr="00985FC8">
        <w:rPr>
          <w:color w:val="000000"/>
          <w:sz w:val="24"/>
        </w:rPr>
        <w:t>[2017]56</w:t>
      </w:r>
      <w:r w:rsidRPr="00985FC8">
        <w:rPr>
          <w:rFonts w:hint="eastAsia"/>
          <w:color w:val="000000"/>
          <w:sz w:val="24"/>
        </w:rPr>
        <w:t>号《关于资管产品增值税有关问题的通知》、财税</w:t>
      </w:r>
      <w:r w:rsidRPr="00985FC8">
        <w:rPr>
          <w:color w:val="000000"/>
          <w:sz w:val="24"/>
        </w:rPr>
        <w:t>[2017]90</w:t>
      </w:r>
      <w:r w:rsidRPr="00985FC8">
        <w:rPr>
          <w:rFonts w:hint="eastAsia"/>
          <w:color w:val="000000"/>
          <w:sz w:val="24"/>
        </w:rPr>
        <w:t>号《关于租入固定资产进项税额抵扣等增值税政策的通知》及其他相关财税法规和实务操作，主要税项列示如下：</w:t>
      </w:r>
      <w:bookmarkEnd w:id="170"/>
    </w:p>
    <w:p w:rsidR="00144C6C" w:rsidRPr="00985FC8" w:rsidRDefault="00144C6C" w:rsidP="00985FC8">
      <w:pPr>
        <w:spacing w:before="29" w:line="288" w:lineRule="auto"/>
        <w:ind w:firstLineChars="200" w:firstLine="480"/>
        <w:rPr>
          <w:color w:val="000000"/>
          <w:sz w:val="24"/>
        </w:rPr>
      </w:pPr>
      <w:bookmarkStart w:id="171" w:name="PL350"/>
      <w:r w:rsidRPr="00985FC8">
        <w:rPr>
          <w:color w:val="000000"/>
          <w:sz w:val="24"/>
        </w:rPr>
        <w:t xml:space="preserve">(1) </w:t>
      </w:r>
      <w:proofErr w:type="gramStart"/>
      <w:r w:rsidRPr="00985FC8">
        <w:rPr>
          <w:rFonts w:hint="eastAsia"/>
          <w:color w:val="000000"/>
          <w:sz w:val="24"/>
        </w:rPr>
        <w:t>资管产品</w:t>
      </w:r>
      <w:proofErr w:type="gramEnd"/>
      <w:r w:rsidRPr="00985FC8">
        <w:rPr>
          <w:rFonts w:hint="eastAsia"/>
          <w:color w:val="000000"/>
          <w:sz w:val="24"/>
        </w:rPr>
        <w:t>运营过程中发生的增值税应税行为，</w:t>
      </w:r>
      <w:proofErr w:type="gramStart"/>
      <w:r w:rsidRPr="00985FC8">
        <w:rPr>
          <w:rFonts w:hint="eastAsia"/>
          <w:color w:val="000000"/>
          <w:sz w:val="24"/>
        </w:rPr>
        <w:t>以资管</w:t>
      </w:r>
      <w:proofErr w:type="gramEnd"/>
      <w:r w:rsidRPr="00985FC8">
        <w:rPr>
          <w:rFonts w:hint="eastAsia"/>
          <w:color w:val="000000"/>
          <w:sz w:val="24"/>
        </w:rPr>
        <w:t>产品管理人为增值税纳税人。</w:t>
      </w:r>
      <w:proofErr w:type="gramStart"/>
      <w:r w:rsidRPr="00985FC8">
        <w:rPr>
          <w:rFonts w:hint="eastAsia"/>
          <w:color w:val="000000"/>
          <w:sz w:val="24"/>
        </w:rPr>
        <w:t>资管产品</w:t>
      </w:r>
      <w:proofErr w:type="gramEnd"/>
      <w:r w:rsidRPr="00985FC8">
        <w:rPr>
          <w:rFonts w:hint="eastAsia"/>
          <w:color w:val="000000"/>
          <w:sz w:val="24"/>
        </w:rPr>
        <w:t>管理人</w:t>
      </w:r>
      <w:proofErr w:type="gramStart"/>
      <w:r w:rsidRPr="00985FC8">
        <w:rPr>
          <w:rFonts w:hint="eastAsia"/>
          <w:color w:val="000000"/>
          <w:sz w:val="24"/>
        </w:rPr>
        <w:t>运营资管产品</w:t>
      </w:r>
      <w:proofErr w:type="gramEnd"/>
      <w:r w:rsidRPr="00985FC8">
        <w:rPr>
          <w:rFonts w:hint="eastAsia"/>
          <w:color w:val="000000"/>
          <w:sz w:val="24"/>
        </w:rPr>
        <w:t>过程中发生的增值税应税行为，暂适用简易计税方法，按照</w:t>
      </w:r>
      <w:r w:rsidRPr="00985FC8">
        <w:rPr>
          <w:color w:val="000000"/>
          <w:sz w:val="24"/>
        </w:rPr>
        <w:t>3%</w:t>
      </w:r>
      <w:r w:rsidRPr="00985FC8">
        <w:rPr>
          <w:rFonts w:hint="eastAsia"/>
          <w:color w:val="000000"/>
          <w:sz w:val="24"/>
        </w:rPr>
        <w:t>的征收率缴纳增值税。</w:t>
      </w:r>
      <w:proofErr w:type="gramStart"/>
      <w:r w:rsidRPr="00985FC8">
        <w:rPr>
          <w:rFonts w:hint="eastAsia"/>
          <w:color w:val="000000"/>
          <w:sz w:val="24"/>
        </w:rPr>
        <w:t>对资管产品</w:t>
      </w:r>
      <w:proofErr w:type="gramEnd"/>
      <w:r w:rsidRPr="00985FC8">
        <w:rPr>
          <w:rFonts w:hint="eastAsia"/>
          <w:color w:val="000000"/>
          <w:sz w:val="24"/>
        </w:rPr>
        <w:t>在</w:t>
      </w:r>
      <w:r w:rsidRPr="00985FC8">
        <w:rPr>
          <w:color w:val="000000"/>
          <w:sz w:val="24"/>
        </w:rPr>
        <w:t>2018</w:t>
      </w:r>
      <w:r w:rsidRPr="00985FC8">
        <w:rPr>
          <w:rFonts w:hint="eastAsia"/>
          <w:color w:val="000000"/>
          <w:sz w:val="24"/>
        </w:rPr>
        <w:t>年</w:t>
      </w:r>
      <w:r w:rsidRPr="00985FC8">
        <w:rPr>
          <w:color w:val="000000"/>
          <w:sz w:val="24"/>
        </w:rPr>
        <w:t>1</w:t>
      </w:r>
      <w:r w:rsidRPr="00985FC8">
        <w:rPr>
          <w:rFonts w:hint="eastAsia"/>
          <w:color w:val="000000"/>
          <w:sz w:val="24"/>
        </w:rPr>
        <w:t>月</w:t>
      </w:r>
      <w:r w:rsidRPr="00985FC8">
        <w:rPr>
          <w:color w:val="000000"/>
          <w:sz w:val="24"/>
        </w:rPr>
        <w:t>1</w:t>
      </w:r>
      <w:r w:rsidRPr="00985FC8">
        <w:rPr>
          <w:rFonts w:hint="eastAsia"/>
          <w:color w:val="000000"/>
          <w:sz w:val="24"/>
        </w:rPr>
        <w:t>日前运营过程中发生的增值税应税行为，未缴纳增值税的，不再缴纳；已缴纳增值税的，已纳税额</w:t>
      </w:r>
      <w:proofErr w:type="gramStart"/>
      <w:r w:rsidRPr="00985FC8">
        <w:rPr>
          <w:rFonts w:hint="eastAsia"/>
          <w:color w:val="000000"/>
          <w:sz w:val="24"/>
        </w:rPr>
        <w:t>从资管产品</w:t>
      </w:r>
      <w:proofErr w:type="gramEnd"/>
      <w:r w:rsidRPr="00985FC8">
        <w:rPr>
          <w:rFonts w:hint="eastAsia"/>
          <w:color w:val="000000"/>
          <w:sz w:val="24"/>
        </w:rPr>
        <w:t>管理人以后月份的增值税应纳税额中抵减。</w:t>
      </w:r>
    </w:p>
    <w:p w:rsidR="00144C6C" w:rsidRPr="00985FC8" w:rsidRDefault="00144C6C" w:rsidP="00985FC8">
      <w:pPr>
        <w:spacing w:before="29" w:line="288" w:lineRule="auto"/>
        <w:ind w:firstLineChars="200" w:firstLine="480"/>
        <w:rPr>
          <w:color w:val="000000"/>
          <w:sz w:val="24"/>
        </w:rPr>
      </w:pPr>
      <w:r w:rsidRPr="00985FC8">
        <w:rPr>
          <w:rFonts w:hint="eastAsia"/>
          <w:color w:val="000000"/>
          <w:sz w:val="24"/>
        </w:rPr>
        <w:t>对证券投资基金管理人运用基金买卖股票、债券的转让收入免征增值税，对国债、地方政府债以及金融同业往来利息收入亦免征增值税。</w:t>
      </w:r>
      <w:proofErr w:type="gramStart"/>
      <w:r w:rsidRPr="00985FC8">
        <w:rPr>
          <w:rFonts w:hint="eastAsia"/>
          <w:color w:val="000000"/>
          <w:sz w:val="24"/>
        </w:rPr>
        <w:t>资管产品</w:t>
      </w:r>
      <w:proofErr w:type="gramEnd"/>
      <w:r w:rsidRPr="00985FC8">
        <w:rPr>
          <w:rFonts w:hint="eastAsia"/>
          <w:color w:val="000000"/>
          <w:sz w:val="24"/>
        </w:rPr>
        <w:t>管理人</w:t>
      </w:r>
      <w:proofErr w:type="gramStart"/>
      <w:r w:rsidRPr="00985FC8">
        <w:rPr>
          <w:rFonts w:hint="eastAsia"/>
          <w:color w:val="000000"/>
          <w:sz w:val="24"/>
        </w:rPr>
        <w:t>运营资管产品</w:t>
      </w:r>
      <w:proofErr w:type="gramEnd"/>
      <w:r w:rsidRPr="00985FC8">
        <w:rPr>
          <w:rFonts w:hint="eastAsia"/>
          <w:color w:val="000000"/>
          <w:sz w:val="24"/>
        </w:rPr>
        <w:t>提供的贷款服务，以</w:t>
      </w:r>
      <w:r w:rsidRPr="00985FC8">
        <w:rPr>
          <w:color w:val="000000"/>
          <w:sz w:val="24"/>
        </w:rPr>
        <w:t>2018</w:t>
      </w:r>
      <w:r w:rsidRPr="00985FC8">
        <w:rPr>
          <w:rFonts w:hint="eastAsia"/>
          <w:color w:val="000000"/>
          <w:sz w:val="24"/>
        </w:rPr>
        <w:t>年</w:t>
      </w:r>
      <w:r w:rsidRPr="00985FC8">
        <w:rPr>
          <w:color w:val="000000"/>
          <w:sz w:val="24"/>
        </w:rPr>
        <w:t>1</w:t>
      </w:r>
      <w:r w:rsidRPr="00985FC8">
        <w:rPr>
          <w:rFonts w:hint="eastAsia"/>
          <w:color w:val="000000"/>
          <w:sz w:val="24"/>
        </w:rPr>
        <w:t>月</w:t>
      </w:r>
      <w:r w:rsidRPr="00985FC8">
        <w:rPr>
          <w:color w:val="000000"/>
          <w:sz w:val="24"/>
        </w:rPr>
        <w:t>1</w:t>
      </w:r>
      <w:r w:rsidRPr="00985FC8">
        <w:rPr>
          <w:rFonts w:hint="eastAsia"/>
          <w:color w:val="000000"/>
          <w:sz w:val="24"/>
        </w:rPr>
        <w:t>日起产生的利息及利息性质的收入为销售额。</w:t>
      </w:r>
      <w:proofErr w:type="gramStart"/>
      <w:r w:rsidRPr="00985FC8">
        <w:rPr>
          <w:rFonts w:hint="eastAsia"/>
          <w:color w:val="000000"/>
          <w:sz w:val="24"/>
        </w:rPr>
        <w:t>资管产品</w:t>
      </w:r>
      <w:proofErr w:type="gramEnd"/>
      <w:r w:rsidRPr="00985FC8">
        <w:rPr>
          <w:rFonts w:hint="eastAsia"/>
          <w:color w:val="000000"/>
          <w:sz w:val="24"/>
        </w:rPr>
        <w:t>管理人</w:t>
      </w:r>
      <w:proofErr w:type="gramStart"/>
      <w:r w:rsidRPr="00985FC8">
        <w:rPr>
          <w:rFonts w:hint="eastAsia"/>
          <w:color w:val="000000"/>
          <w:sz w:val="24"/>
        </w:rPr>
        <w:t>运营资管产品</w:t>
      </w:r>
      <w:proofErr w:type="gramEnd"/>
      <w:r w:rsidRPr="00985FC8">
        <w:rPr>
          <w:rFonts w:hint="eastAsia"/>
          <w:color w:val="000000"/>
          <w:sz w:val="24"/>
        </w:rPr>
        <w:t>转让</w:t>
      </w:r>
      <w:r w:rsidRPr="00985FC8">
        <w:rPr>
          <w:color w:val="000000"/>
          <w:sz w:val="24"/>
        </w:rPr>
        <w:t>2017</w:t>
      </w:r>
      <w:r w:rsidRPr="00985FC8">
        <w:rPr>
          <w:rFonts w:hint="eastAsia"/>
          <w:color w:val="000000"/>
          <w:sz w:val="24"/>
        </w:rPr>
        <w:t>年</w:t>
      </w:r>
      <w:r w:rsidRPr="00985FC8">
        <w:rPr>
          <w:color w:val="000000"/>
          <w:sz w:val="24"/>
        </w:rPr>
        <w:t>12</w:t>
      </w:r>
      <w:r w:rsidRPr="00985FC8">
        <w:rPr>
          <w:rFonts w:hint="eastAsia"/>
          <w:color w:val="000000"/>
          <w:sz w:val="24"/>
        </w:rPr>
        <w:t>月</w:t>
      </w:r>
      <w:r w:rsidRPr="00985FC8">
        <w:rPr>
          <w:color w:val="000000"/>
          <w:sz w:val="24"/>
        </w:rPr>
        <w:t>31</w:t>
      </w:r>
      <w:r w:rsidRPr="00985FC8">
        <w:rPr>
          <w:rFonts w:hint="eastAsia"/>
          <w:color w:val="000000"/>
          <w:sz w:val="24"/>
        </w:rPr>
        <w:t>日前取得的非货物期货，可以选择按照实际买入价计算销售额，或者以</w:t>
      </w:r>
      <w:r w:rsidRPr="00985FC8">
        <w:rPr>
          <w:color w:val="000000"/>
          <w:sz w:val="24"/>
        </w:rPr>
        <w:t>2017</w:t>
      </w:r>
      <w:r w:rsidRPr="00985FC8">
        <w:rPr>
          <w:rFonts w:hint="eastAsia"/>
          <w:color w:val="000000"/>
          <w:sz w:val="24"/>
        </w:rPr>
        <w:t>年最后一个交易日的非货物期货结算价格作为买入价计算销售额。</w:t>
      </w:r>
    </w:p>
    <w:p w:rsidR="00144C6C" w:rsidRPr="00985FC8" w:rsidRDefault="00144C6C" w:rsidP="00985FC8">
      <w:pPr>
        <w:spacing w:before="29" w:line="288" w:lineRule="auto"/>
        <w:ind w:firstLineChars="200" w:firstLine="480"/>
        <w:rPr>
          <w:color w:val="000000"/>
          <w:sz w:val="24"/>
        </w:rPr>
      </w:pPr>
      <w:bookmarkStart w:id="172" w:name="PL356"/>
      <w:bookmarkEnd w:id="171"/>
      <w:r w:rsidRPr="00985FC8">
        <w:rPr>
          <w:color w:val="000000"/>
          <w:sz w:val="24"/>
        </w:rPr>
        <w:t xml:space="preserve">(2) </w:t>
      </w:r>
      <w:r w:rsidRPr="00985FC8">
        <w:rPr>
          <w:rFonts w:hint="eastAsia"/>
          <w:color w:val="000000"/>
          <w:sz w:val="24"/>
        </w:rPr>
        <w:t>对基金从证券市场中取得的收入，包括买卖股票、债券的差价收入，股票的股息、红利收入，债券的利息收入及其他收入，暂不征收企业所得税。</w:t>
      </w:r>
      <w:bookmarkEnd w:id="172"/>
    </w:p>
    <w:p w:rsidR="00144C6C" w:rsidRPr="00985FC8" w:rsidRDefault="00144C6C" w:rsidP="00985FC8">
      <w:pPr>
        <w:spacing w:before="29" w:line="288" w:lineRule="auto"/>
        <w:ind w:firstLineChars="200" w:firstLine="480"/>
        <w:rPr>
          <w:color w:val="000000"/>
          <w:sz w:val="24"/>
        </w:rPr>
      </w:pPr>
      <w:bookmarkStart w:id="173" w:name="PL360"/>
      <w:r w:rsidRPr="00985FC8">
        <w:rPr>
          <w:color w:val="000000"/>
          <w:sz w:val="24"/>
        </w:rPr>
        <w:t xml:space="preserve">(3) </w:t>
      </w:r>
      <w:r w:rsidRPr="00985FC8">
        <w:rPr>
          <w:rFonts w:hint="eastAsia"/>
          <w:color w:val="000000"/>
          <w:sz w:val="24"/>
        </w:rPr>
        <w:t>对基金取得的企业债券利息收入，应由发行债券的企业在向基金支付利息时代扣代缴</w:t>
      </w:r>
      <w:r w:rsidRPr="00985FC8">
        <w:rPr>
          <w:color w:val="000000"/>
          <w:sz w:val="24"/>
        </w:rPr>
        <w:t>20%</w:t>
      </w:r>
      <w:r w:rsidRPr="00985FC8">
        <w:rPr>
          <w:rFonts w:hint="eastAsia"/>
          <w:color w:val="000000"/>
          <w:sz w:val="24"/>
        </w:rPr>
        <w:t>的个人所得税。对基金从上市公司取得的股息红利所得，持股期限在</w:t>
      </w:r>
      <w:r w:rsidRPr="00985FC8">
        <w:rPr>
          <w:color w:val="000000"/>
          <w:sz w:val="24"/>
        </w:rPr>
        <w:t>1</w:t>
      </w:r>
      <w:r w:rsidRPr="00985FC8">
        <w:rPr>
          <w:rFonts w:hint="eastAsia"/>
          <w:color w:val="000000"/>
          <w:sz w:val="24"/>
        </w:rPr>
        <w:t>个月以内</w:t>
      </w:r>
      <w:r w:rsidRPr="00985FC8">
        <w:rPr>
          <w:color w:val="000000"/>
          <w:sz w:val="24"/>
        </w:rPr>
        <w:t>(</w:t>
      </w:r>
      <w:r w:rsidRPr="00985FC8">
        <w:rPr>
          <w:rFonts w:hint="eastAsia"/>
          <w:color w:val="000000"/>
          <w:sz w:val="24"/>
        </w:rPr>
        <w:t>含</w:t>
      </w:r>
      <w:r w:rsidRPr="00985FC8">
        <w:rPr>
          <w:color w:val="000000"/>
          <w:sz w:val="24"/>
        </w:rPr>
        <w:t>1</w:t>
      </w:r>
      <w:r w:rsidRPr="00985FC8">
        <w:rPr>
          <w:rFonts w:hint="eastAsia"/>
          <w:color w:val="000000"/>
          <w:sz w:val="24"/>
        </w:rPr>
        <w:t>个月</w:t>
      </w:r>
      <w:r w:rsidRPr="00985FC8">
        <w:rPr>
          <w:color w:val="000000"/>
          <w:sz w:val="24"/>
        </w:rPr>
        <w:t>)</w:t>
      </w:r>
      <w:r w:rsidRPr="00985FC8">
        <w:rPr>
          <w:rFonts w:hint="eastAsia"/>
          <w:color w:val="000000"/>
          <w:sz w:val="24"/>
        </w:rPr>
        <w:t>的，其股息红利所得全额计入应纳税所得额；持股期限在</w:t>
      </w:r>
      <w:r w:rsidRPr="00985FC8">
        <w:rPr>
          <w:color w:val="000000"/>
          <w:sz w:val="24"/>
        </w:rPr>
        <w:t>1</w:t>
      </w:r>
      <w:r w:rsidRPr="00985FC8">
        <w:rPr>
          <w:rFonts w:hint="eastAsia"/>
          <w:color w:val="000000"/>
          <w:sz w:val="24"/>
        </w:rPr>
        <w:t>个月以上至</w:t>
      </w:r>
      <w:r w:rsidRPr="00985FC8">
        <w:rPr>
          <w:color w:val="000000"/>
          <w:sz w:val="24"/>
        </w:rPr>
        <w:t>1</w:t>
      </w:r>
      <w:r w:rsidRPr="00985FC8">
        <w:rPr>
          <w:rFonts w:hint="eastAsia"/>
          <w:color w:val="000000"/>
          <w:sz w:val="24"/>
        </w:rPr>
        <w:t>年</w:t>
      </w:r>
      <w:r w:rsidRPr="00985FC8">
        <w:rPr>
          <w:color w:val="000000"/>
          <w:sz w:val="24"/>
        </w:rPr>
        <w:t>(</w:t>
      </w:r>
      <w:r w:rsidRPr="00985FC8">
        <w:rPr>
          <w:rFonts w:hint="eastAsia"/>
          <w:color w:val="000000"/>
          <w:sz w:val="24"/>
        </w:rPr>
        <w:t>含</w:t>
      </w:r>
      <w:r w:rsidRPr="00985FC8">
        <w:rPr>
          <w:color w:val="000000"/>
          <w:sz w:val="24"/>
        </w:rPr>
        <w:t>1</w:t>
      </w:r>
      <w:r w:rsidRPr="00985FC8">
        <w:rPr>
          <w:rFonts w:hint="eastAsia"/>
          <w:color w:val="000000"/>
          <w:sz w:val="24"/>
        </w:rPr>
        <w:t>年</w:t>
      </w:r>
      <w:r w:rsidRPr="00985FC8">
        <w:rPr>
          <w:color w:val="000000"/>
          <w:sz w:val="24"/>
        </w:rPr>
        <w:t>)</w:t>
      </w:r>
      <w:r w:rsidRPr="00985FC8">
        <w:rPr>
          <w:rFonts w:hint="eastAsia"/>
          <w:color w:val="000000"/>
          <w:sz w:val="24"/>
        </w:rPr>
        <w:t>的，暂减按</w:t>
      </w:r>
      <w:r w:rsidRPr="00985FC8">
        <w:rPr>
          <w:color w:val="000000"/>
          <w:sz w:val="24"/>
        </w:rPr>
        <w:t>50%</w:t>
      </w:r>
      <w:r w:rsidRPr="00985FC8">
        <w:rPr>
          <w:rFonts w:hint="eastAsia"/>
          <w:color w:val="000000"/>
          <w:sz w:val="24"/>
        </w:rPr>
        <w:t>计入应纳税所得额；持股期限超过</w:t>
      </w:r>
      <w:r w:rsidRPr="00985FC8">
        <w:rPr>
          <w:color w:val="000000"/>
          <w:sz w:val="24"/>
        </w:rPr>
        <w:t>1</w:t>
      </w:r>
      <w:r w:rsidRPr="00985FC8">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985FC8">
        <w:rPr>
          <w:color w:val="000000"/>
          <w:sz w:val="24"/>
        </w:rPr>
        <w:t>50%</w:t>
      </w:r>
      <w:r w:rsidRPr="00985FC8">
        <w:rPr>
          <w:rFonts w:hint="eastAsia"/>
          <w:color w:val="000000"/>
          <w:sz w:val="24"/>
        </w:rPr>
        <w:t>计</w:t>
      </w:r>
      <w:r w:rsidRPr="00985FC8">
        <w:rPr>
          <w:rFonts w:hint="eastAsia"/>
          <w:color w:val="000000"/>
          <w:sz w:val="24"/>
        </w:rPr>
        <w:lastRenderedPageBreak/>
        <w:t>入应纳税所得额。上述所得统一适用</w:t>
      </w:r>
      <w:r w:rsidRPr="00985FC8">
        <w:rPr>
          <w:color w:val="000000"/>
          <w:sz w:val="24"/>
        </w:rPr>
        <w:t>20%</w:t>
      </w:r>
      <w:r w:rsidRPr="00985FC8">
        <w:rPr>
          <w:rFonts w:hint="eastAsia"/>
          <w:color w:val="000000"/>
          <w:sz w:val="24"/>
        </w:rPr>
        <w:t>的税率计征个人所得税。</w:t>
      </w:r>
      <w:bookmarkEnd w:id="173"/>
    </w:p>
    <w:p w:rsidR="00144C6C" w:rsidRPr="00985FC8" w:rsidRDefault="00144C6C" w:rsidP="00985FC8">
      <w:pPr>
        <w:spacing w:before="29" w:line="288" w:lineRule="auto"/>
        <w:ind w:firstLineChars="200" w:firstLine="480"/>
        <w:rPr>
          <w:color w:val="000000"/>
          <w:sz w:val="24"/>
        </w:rPr>
      </w:pPr>
      <w:bookmarkStart w:id="174" w:name="PL366"/>
      <w:r w:rsidRPr="00985FC8">
        <w:rPr>
          <w:color w:val="000000"/>
          <w:sz w:val="24"/>
        </w:rPr>
        <w:t xml:space="preserve">(4) </w:t>
      </w:r>
      <w:r w:rsidRPr="00985FC8">
        <w:rPr>
          <w:rFonts w:hint="eastAsia"/>
          <w:color w:val="000000"/>
          <w:sz w:val="24"/>
        </w:rPr>
        <w:t>基金卖出股票按</w:t>
      </w:r>
      <w:r w:rsidRPr="00985FC8">
        <w:rPr>
          <w:color w:val="000000"/>
          <w:sz w:val="24"/>
        </w:rPr>
        <w:t>0.1%</w:t>
      </w:r>
      <w:r w:rsidRPr="00985FC8">
        <w:rPr>
          <w:rFonts w:hint="eastAsia"/>
          <w:color w:val="000000"/>
          <w:sz w:val="24"/>
        </w:rPr>
        <w:t>的税率缴纳股票交易印花税，买入股票不征收股票交易印花税。</w:t>
      </w:r>
      <w:bookmarkEnd w:id="174"/>
    </w:p>
    <w:p w:rsidR="001A59F9" w:rsidRDefault="00144C6C" w:rsidP="00985FC8">
      <w:pPr>
        <w:spacing w:before="29" w:line="288" w:lineRule="auto"/>
        <w:ind w:firstLineChars="200" w:firstLine="480"/>
        <w:rPr>
          <w:color w:val="000000"/>
          <w:sz w:val="24"/>
        </w:rPr>
      </w:pPr>
      <w:bookmarkStart w:id="175" w:name="PL370"/>
      <w:r w:rsidRPr="00985FC8">
        <w:rPr>
          <w:color w:val="000000"/>
          <w:sz w:val="24"/>
        </w:rPr>
        <w:t xml:space="preserve">(5) </w:t>
      </w:r>
      <w:r w:rsidRPr="00985FC8">
        <w:rPr>
          <w:rFonts w:hint="eastAsia"/>
          <w:color w:val="000000"/>
          <w:sz w:val="24"/>
        </w:rPr>
        <w:t>本基金的城市维护建设税、教育费附加和地方教育费附加等税费按照实际缴纳增值税额的适用比例计算缴纳。</w:t>
      </w:r>
      <w:bookmarkEnd w:id="175"/>
    </w:p>
    <w:p w:rsidR="00AB34D2" w:rsidRPr="00985FC8" w:rsidRDefault="00AB34D2" w:rsidP="00985FC8">
      <w:pPr>
        <w:spacing w:before="29" w:line="288" w:lineRule="auto"/>
        <w:ind w:firstLineChars="200" w:firstLine="480"/>
        <w:rPr>
          <w:color w:val="000000"/>
          <w:sz w:val="24"/>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16,351,720.86</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40,417,274.78</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16,351,720.86</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40,417,274.78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416716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7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129,757,954.32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117,309,178.76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-12,448,775.56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129,757,954.32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117,309,178.76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-12,448,775.56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275,145,426.09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292,301,025.71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17,155,599.62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275,145,426.09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292,301,025.71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17,155,599.62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6716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77"/>
    </w:p>
    <w:p w:rsidR="001A59F9" w:rsidRPr="00144C6C" w:rsidRDefault="00144C6C" w:rsidP="00144C6C">
      <w:pPr>
        <w:keepNext/>
        <w:keepLines/>
        <w:ind w:right="2"/>
        <w:rPr>
          <w:rFonts w:ascii="Arial" w:hAnsi="Arial" w:cs="Arial"/>
          <w:sz w:val="24"/>
        </w:rPr>
      </w:pPr>
      <w:bookmarkStart w:id="178" w:name="FJ215N248"/>
      <w:r>
        <w:rPr>
          <w:rFonts w:ascii="Arial" w:hAnsi="Arial" w:cs="Arial"/>
          <w:color w:val="000000"/>
          <w:sz w:val="24"/>
        </w:rPr>
        <w:t>本基金本报告期末及上年度末未持有衍生金融资产</w:t>
      </w:r>
      <w:r>
        <w:rPr>
          <w:rFonts w:ascii="Arial" w:hAnsi="Arial" w:cs="Arial"/>
          <w:color w:val="000000"/>
          <w:sz w:val="24"/>
        </w:rPr>
        <w:t>/</w:t>
      </w:r>
      <w:r>
        <w:rPr>
          <w:rFonts w:ascii="Arial" w:hAnsi="Arial" w:cs="Arial"/>
          <w:color w:val="000000"/>
          <w:sz w:val="24"/>
        </w:rPr>
        <w:t>负债</w:t>
      </w:r>
      <w:bookmarkEnd w:id="178"/>
      <w:r w:rsidR="001A59F9" w:rsidRPr="00D754A9">
        <w:rPr>
          <w:kern w:val="0"/>
          <w:sz w:val="24"/>
        </w:rPr>
        <w:t>。</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44C6C" w:rsidRDefault="00144C6C" w:rsidP="00144C6C">
      <w:pPr>
        <w:keepNext/>
        <w:keepLines/>
        <w:rPr>
          <w:rFonts w:ascii="Arial" w:hAnsi="Arial" w:cs="Arial"/>
          <w:sz w:val="24"/>
        </w:rPr>
      </w:pPr>
      <w:bookmarkStart w:id="179" w:name="FJ273L282"/>
      <w:r>
        <w:rPr>
          <w:rFonts w:ascii="Arial" w:hAnsi="Arial" w:cs="Arial"/>
          <w:color w:val="000000"/>
          <w:sz w:val="24"/>
        </w:rPr>
        <w:t>本基金本报告期末及上年度末未持有买入返售金融资产。</w:t>
      </w:r>
      <w:bookmarkEnd w:id="179"/>
    </w:p>
    <w:p w:rsidR="001A59F9" w:rsidRPr="00144C6C"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3,025.55</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12,476.99</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160.49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584.32</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lastRenderedPageBreak/>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5.61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0.36</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29.26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109.67</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3,220.91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13,171.34</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985FC8">
      <w:pPr>
        <w:keepNext/>
        <w:keepLines/>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44C6C" w:rsidRDefault="00144C6C" w:rsidP="00144C6C">
      <w:pPr>
        <w:keepNext/>
        <w:keepLines/>
        <w:rPr>
          <w:rFonts w:ascii="Arial" w:hAnsi="Arial" w:cs="Arial"/>
          <w:color w:val="000000"/>
          <w:sz w:val="24"/>
        </w:rPr>
      </w:pPr>
      <w:bookmarkStart w:id="180" w:name="FJ356L362"/>
      <w:r>
        <w:rPr>
          <w:rFonts w:ascii="Arial" w:hAnsi="Arial" w:cs="Arial"/>
          <w:color w:val="000000"/>
          <w:sz w:val="24"/>
        </w:rPr>
        <w:t>本基金本报告期末及上年度末未持有其他资产。</w:t>
      </w:r>
      <w:bookmarkEnd w:id="180"/>
    </w:p>
    <w:p w:rsidR="00144C6C" w:rsidRDefault="00144C6C" w:rsidP="00144C6C">
      <w:pPr>
        <w:keepNext/>
        <w:keepLines/>
        <w:rPr>
          <w:rFonts w:ascii="Arial" w:hAnsi="Arial" w:cs="Arial"/>
          <w:sz w:val="24"/>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6717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8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245,750.02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948,772.93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474.33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245,750.02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949,247.26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67171"/>
      <w:r w:rsidRPr="00AD0E47">
        <w:rPr>
          <w:rFonts w:ascii="Times New Roman" w:hAnsi="Times New Roman"/>
          <w:kern w:val="0"/>
          <w:szCs w:val="24"/>
        </w:rPr>
        <w:t>7.4.7.8</w:t>
      </w:r>
      <w:r w:rsidRPr="00AD0E47">
        <w:rPr>
          <w:rFonts w:ascii="Times New Roman" w:hAnsi="Times New Roman" w:hint="eastAsia"/>
          <w:kern w:val="0"/>
          <w:szCs w:val="24"/>
        </w:rPr>
        <w:t>其他负债</w:t>
      </w:r>
      <w:bookmarkEnd w:id="18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274.49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13,813.39</w:t>
            </w:r>
          </w:p>
        </w:tc>
      </w:tr>
      <w:tr w:rsidR="00413707">
        <w:tc>
          <w:tcPr>
            <w:tcW w:w="2715" w:type="dxa"/>
            <w:vAlign w:val="center"/>
          </w:tcPr>
          <w:p w:rsidR="00413707" w:rsidRDefault="00532CED">
            <w:pPr>
              <w:jc w:val="left"/>
            </w:pPr>
            <w:r>
              <w:rPr>
                <w:kern w:val="0"/>
                <w:sz w:val="24"/>
              </w:rPr>
              <w:t>预提审计费</w:t>
            </w:r>
          </w:p>
        </w:tc>
        <w:tc>
          <w:tcPr>
            <w:tcW w:w="3150" w:type="dxa"/>
            <w:vAlign w:val="center"/>
          </w:tcPr>
          <w:p w:rsidR="00413707" w:rsidRDefault="00532CED">
            <w:pPr>
              <w:jc w:val="right"/>
            </w:pPr>
            <w:r>
              <w:rPr>
                <w:kern w:val="0"/>
                <w:sz w:val="24"/>
              </w:rPr>
              <w:t>60,000.00</w:t>
            </w:r>
          </w:p>
        </w:tc>
        <w:tc>
          <w:tcPr>
            <w:tcW w:w="3150" w:type="dxa"/>
            <w:vAlign w:val="center"/>
          </w:tcPr>
          <w:p w:rsidR="00413707" w:rsidRDefault="00532CED">
            <w:pPr>
              <w:jc w:val="right"/>
            </w:pPr>
            <w:r>
              <w:rPr>
                <w:kern w:val="0"/>
                <w:sz w:val="24"/>
              </w:rPr>
              <w:t>78,000.00</w:t>
            </w:r>
          </w:p>
        </w:tc>
      </w:tr>
      <w:tr w:rsidR="00413707">
        <w:tc>
          <w:tcPr>
            <w:tcW w:w="2715" w:type="dxa"/>
            <w:vAlign w:val="center"/>
          </w:tcPr>
          <w:p w:rsidR="00413707" w:rsidRDefault="00532CED">
            <w:pPr>
              <w:jc w:val="left"/>
            </w:pPr>
            <w:r>
              <w:rPr>
                <w:kern w:val="0"/>
                <w:sz w:val="24"/>
              </w:rPr>
              <w:t>预提信息披露费</w:t>
            </w:r>
          </w:p>
        </w:tc>
        <w:tc>
          <w:tcPr>
            <w:tcW w:w="3150" w:type="dxa"/>
            <w:vAlign w:val="center"/>
          </w:tcPr>
          <w:p w:rsidR="00413707" w:rsidRDefault="00532CED">
            <w:pPr>
              <w:jc w:val="right"/>
            </w:pPr>
            <w:r>
              <w:rPr>
                <w:kern w:val="0"/>
                <w:sz w:val="24"/>
              </w:rPr>
              <w:t>60,000.00</w:t>
            </w:r>
          </w:p>
        </w:tc>
        <w:tc>
          <w:tcPr>
            <w:tcW w:w="3150" w:type="dxa"/>
            <w:vAlign w:val="center"/>
          </w:tcPr>
          <w:p w:rsidR="00413707" w:rsidRDefault="00532CED">
            <w:pPr>
              <w:jc w:val="right"/>
            </w:pPr>
            <w:r>
              <w:rPr>
                <w:kern w:val="0"/>
                <w:sz w:val="24"/>
              </w:rPr>
              <w:t>150,000.00</w:t>
            </w:r>
          </w:p>
        </w:tc>
      </w:tr>
      <w:tr w:rsidR="00413707">
        <w:tc>
          <w:tcPr>
            <w:tcW w:w="2715" w:type="dxa"/>
            <w:vAlign w:val="center"/>
          </w:tcPr>
          <w:p w:rsidR="00413707" w:rsidRDefault="00532CED">
            <w:pPr>
              <w:jc w:val="left"/>
            </w:pPr>
            <w:r>
              <w:rPr>
                <w:kern w:val="0"/>
                <w:sz w:val="24"/>
              </w:rPr>
              <w:t>预提账户维护费</w:t>
            </w:r>
          </w:p>
        </w:tc>
        <w:tc>
          <w:tcPr>
            <w:tcW w:w="3150" w:type="dxa"/>
            <w:vAlign w:val="center"/>
          </w:tcPr>
          <w:p w:rsidR="00413707" w:rsidRDefault="00532CED">
            <w:pPr>
              <w:jc w:val="right"/>
            </w:pPr>
            <w:r>
              <w:rPr>
                <w:kern w:val="0"/>
                <w:sz w:val="24"/>
              </w:rPr>
              <w:t>9,300.00</w:t>
            </w:r>
          </w:p>
        </w:tc>
        <w:tc>
          <w:tcPr>
            <w:tcW w:w="3150" w:type="dxa"/>
            <w:vAlign w:val="center"/>
          </w:tcPr>
          <w:p w:rsidR="00413707" w:rsidRDefault="00532CED">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129,574.49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241,813.39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67172"/>
      <w:r w:rsidRPr="00AD0E47">
        <w:rPr>
          <w:rFonts w:ascii="Times New Roman" w:hAnsi="Times New Roman"/>
          <w:kern w:val="0"/>
          <w:szCs w:val="24"/>
        </w:rPr>
        <w:t>7.4.7.9</w:t>
      </w:r>
      <w:r w:rsidRPr="00AD0E47">
        <w:rPr>
          <w:rFonts w:ascii="Times New Roman" w:hAnsi="Times New Roman" w:hint="eastAsia"/>
          <w:kern w:val="0"/>
          <w:szCs w:val="24"/>
        </w:rPr>
        <w:t>实收基金</w:t>
      </w:r>
      <w:bookmarkEnd w:id="18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298,674,513.66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298,674,513.66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58,161,193.35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58,161,193.35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-213,759,905.63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-213,759,905.63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143,075,801.38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143,075,801.38</w:t>
            </w:r>
          </w:p>
        </w:tc>
      </w:tr>
    </w:tbl>
    <w:p w:rsidR="00413707" w:rsidRDefault="00532C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985FC8">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550008" w:rsidRDefault="00550008"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6717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8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33,096,099.11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-298,978.47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32,797,120.64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3,527,428.64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-29,604,375.18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-26,076,946.54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-22,025,090.68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1,121,319.49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-20,903,771.19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9,269,399.82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-4,161,847.91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5,107,551.91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-31,294,490.50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5,283,167.40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-26,011,323.10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14,598,437.07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-28,782,034.16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-14,183,597.09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6717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8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8</w:t>
            </w:r>
            <w:r w:rsidRPr="00B04ACB">
              <w:rPr>
                <w:color w:val="000000"/>
                <w:sz w:val="24"/>
              </w:rPr>
              <w:t>月</w:t>
            </w:r>
            <w:r w:rsidRPr="00B04ACB">
              <w:rPr>
                <w:color w:val="000000"/>
                <w:sz w:val="24"/>
              </w:rPr>
              <w:t>25</w:t>
            </w:r>
            <w:r w:rsidRPr="00B04ACB">
              <w:rPr>
                <w:color w:val="000000"/>
                <w:sz w:val="24"/>
              </w:rPr>
              <w:t>日（基金合同生效日）至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186,227.98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337,671.31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956,666.67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4,415.34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19,868.91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2,621.57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619.51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193,264.89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1,314,826.40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86" w:name="_Toc4167175"/>
      <w:r w:rsidRPr="00AD0E47">
        <w:rPr>
          <w:rFonts w:ascii="Times New Roman" w:hAnsi="Times New Roman"/>
          <w:kern w:val="0"/>
          <w:szCs w:val="24"/>
        </w:rPr>
        <w:lastRenderedPageBreak/>
        <w:t xml:space="preserve">7.4.7.12 </w:t>
      </w:r>
      <w:r w:rsidRPr="00AD0E47">
        <w:rPr>
          <w:rFonts w:ascii="Times New Roman" w:hAnsi="Times New Roman" w:hint="eastAsia"/>
          <w:kern w:val="0"/>
          <w:szCs w:val="24"/>
        </w:rPr>
        <w:t>股票投资收益</w:t>
      </w:r>
      <w:bookmarkEnd w:id="18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8</w:t>
            </w:r>
            <w:r w:rsidRPr="000A23C4">
              <w:rPr>
                <w:sz w:val="24"/>
              </w:rPr>
              <w:t>月</w:t>
            </w:r>
            <w:r w:rsidRPr="000A23C4">
              <w:rPr>
                <w:sz w:val="24"/>
              </w:rPr>
              <w:t>25</w:t>
            </w:r>
            <w:r w:rsidRPr="000A23C4">
              <w:rPr>
                <w:sz w:val="24"/>
              </w:rPr>
              <w:t>日（基金合同生效日）至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517,563,717.08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688,738,182.06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512,330,915.40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630,845,639.99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5,232,801.68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57,892,542.07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87" w:name="_Toc416717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87"/>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8</w:t>
            </w:r>
            <w:r w:rsidRPr="000F1CA9">
              <w:rPr>
                <w:color w:val="000000"/>
                <w:sz w:val="24"/>
              </w:rPr>
              <w:t>月</w:t>
            </w:r>
            <w:r w:rsidRPr="000F1CA9">
              <w:rPr>
                <w:color w:val="000000"/>
                <w:sz w:val="24"/>
              </w:rPr>
              <w:t>25</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2,543,947.60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2,049,000.00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242.51</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494,705.09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6717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8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w:t>
      </w:r>
      <w:r w:rsidRPr="008063C7">
        <w:rPr>
          <w:kern w:val="0"/>
          <w:sz w:val="24"/>
        </w:rPr>
        <w:t>内</w:t>
      </w:r>
      <w:r w:rsidR="008063C7" w:rsidRPr="003F513C">
        <w:rPr>
          <w:rFonts w:hint="eastAsia"/>
          <w:kern w:val="0"/>
          <w:sz w:val="24"/>
        </w:rPr>
        <w:t>及上年度可比期间</w:t>
      </w:r>
      <w:r w:rsidRPr="00D754A9">
        <w:rPr>
          <w:kern w:val="0"/>
          <w:sz w:val="24"/>
        </w:rPr>
        <w:t>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6717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89"/>
    </w:p>
    <w:p w:rsidR="007E41CD" w:rsidRDefault="007E41CD" w:rsidP="00D754A9">
      <w:pPr>
        <w:tabs>
          <w:tab w:val="left" w:pos="426"/>
        </w:tabs>
        <w:spacing w:before="29" w:line="288" w:lineRule="auto"/>
        <w:jc w:val="left"/>
        <w:rPr>
          <w:kern w:val="0"/>
          <w:sz w:val="24"/>
        </w:rPr>
      </w:pPr>
      <w:r w:rsidRPr="00D754A9">
        <w:rPr>
          <w:kern w:val="0"/>
          <w:sz w:val="24"/>
        </w:rPr>
        <w:t>本基金本报告期内</w:t>
      </w:r>
      <w:r w:rsidR="008063C7" w:rsidRPr="00E16C78">
        <w:rPr>
          <w:rFonts w:hint="eastAsia"/>
          <w:kern w:val="0"/>
          <w:sz w:val="24"/>
        </w:rPr>
        <w:t>及</w:t>
      </w:r>
      <w:r w:rsidR="008063C7" w:rsidRPr="00E16C78">
        <w:rPr>
          <w:kern w:val="0"/>
          <w:sz w:val="24"/>
        </w:rPr>
        <w:t>上年度可</w:t>
      </w:r>
      <w:r w:rsidR="008063C7" w:rsidRPr="00E16C78">
        <w:rPr>
          <w:rFonts w:hint="eastAsia"/>
          <w:kern w:val="0"/>
          <w:sz w:val="24"/>
        </w:rPr>
        <w:t>比</w:t>
      </w:r>
      <w:r w:rsidR="008063C7" w:rsidRPr="00E16C78">
        <w:rPr>
          <w:kern w:val="0"/>
          <w:sz w:val="24"/>
        </w:rPr>
        <w:t>期间</w:t>
      </w:r>
      <w:r w:rsidRPr="00D754A9">
        <w:rPr>
          <w:kern w:val="0"/>
          <w:sz w:val="24"/>
        </w:rPr>
        <w:t>无衍生工具收益。</w:t>
      </w:r>
    </w:p>
    <w:p w:rsidR="00550008" w:rsidRPr="00D754A9" w:rsidRDefault="00550008"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6717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8</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2,042,455.49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2,042,455.49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8</w:t>
            </w:r>
            <w:r w:rsidRPr="00063F90">
              <w:rPr>
                <w:rFonts w:eastAsiaTheme="minorEastAsia"/>
                <w:sz w:val="24"/>
              </w:rPr>
              <w:t>月</w:t>
            </w:r>
            <w:r w:rsidRPr="00063F90">
              <w:rPr>
                <w:rFonts w:eastAsiaTheme="minorEastAsia"/>
                <w:sz w:val="24"/>
              </w:rPr>
              <w:t>25</w:t>
            </w:r>
            <w:r w:rsidRPr="00063F90">
              <w:rPr>
                <w:rFonts w:eastAsiaTheme="minorEastAsia"/>
                <w:sz w:val="24"/>
              </w:rPr>
              <w:t>日（基金合同生效日）至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-29,604,375.18</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17,155,599.62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-29,604,375.18</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17,155,599.62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-29,604,375.18</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17,155,599.62</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6718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1D17B9">
        <w:trPr>
          <w:trHeight w:val="255"/>
        </w:trPr>
        <w:tc>
          <w:tcPr>
            <w:tcW w:w="1984"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8</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1D17B9">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598,899.61</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2,196,796.78</w:t>
            </w:r>
          </w:p>
        </w:tc>
      </w:tr>
      <w:tr w:rsidR="001A59F9" w:rsidRPr="0091212A" w:rsidTr="001D17B9">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598,899.61</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2,196,796.78</w:t>
            </w:r>
          </w:p>
        </w:tc>
      </w:tr>
    </w:tbl>
    <w:p w:rsidR="001D17B9" w:rsidRPr="001D17B9" w:rsidRDefault="001D17B9" w:rsidP="001D17B9">
      <w:pPr>
        <w:tabs>
          <w:tab w:val="left" w:pos="426"/>
        </w:tabs>
        <w:spacing w:before="29" w:line="288" w:lineRule="auto"/>
        <w:jc w:val="left"/>
        <w:rPr>
          <w:rFonts w:hint="eastAsia"/>
          <w:kern w:val="0"/>
          <w:sz w:val="24"/>
        </w:rPr>
      </w:pPr>
      <w:r w:rsidRPr="001D17B9">
        <w:rPr>
          <w:rFonts w:hint="eastAsia"/>
          <w:kern w:val="0"/>
          <w:sz w:val="24"/>
        </w:rPr>
        <w:t>注：</w:t>
      </w:r>
      <w:r w:rsidRPr="001D17B9">
        <w:rPr>
          <w:rFonts w:hint="eastAsia"/>
          <w:kern w:val="0"/>
          <w:sz w:val="24"/>
        </w:rPr>
        <w:t>1</w:t>
      </w:r>
      <w:r w:rsidRPr="001D17B9">
        <w:rPr>
          <w:rFonts w:hint="eastAsia"/>
          <w:kern w:val="0"/>
          <w:sz w:val="24"/>
        </w:rPr>
        <w:t>、本基金的赎回费率按持有期间递减，不低于赎回费总额的</w:t>
      </w:r>
      <w:r w:rsidRPr="001D17B9">
        <w:rPr>
          <w:rFonts w:hint="eastAsia"/>
          <w:kern w:val="0"/>
          <w:sz w:val="24"/>
        </w:rPr>
        <w:t>25%</w:t>
      </w:r>
      <w:r w:rsidRPr="001D17B9">
        <w:rPr>
          <w:rFonts w:hint="eastAsia"/>
          <w:kern w:val="0"/>
          <w:sz w:val="24"/>
        </w:rPr>
        <w:t>归入基金资产。</w:t>
      </w:r>
    </w:p>
    <w:p w:rsidR="001A59F9" w:rsidRPr="00D754A9" w:rsidRDefault="001D17B9" w:rsidP="001D17B9">
      <w:pPr>
        <w:tabs>
          <w:tab w:val="left" w:pos="426"/>
        </w:tabs>
        <w:spacing w:before="29" w:line="288" w:lineRule="auto"/>
        <w:jc w:val="left"/>
        <w:rPr>
          <w:kern w:val="0"/>
          <w:sz w:val="24"/>
        </w:rPr>
      </w:pPr>
      <w:r w:rsidRPr="001D17B9">
        <w:rPr>
          <w:rFonts w:hint="eastAsia"/>
          <w:kern w:val="0"/>
          <w:sz w:val="24"/>
        </w:rPr>
        <w:t>2</w:t>
      </w:r>
      <w:r w:rsidRPr="001D17B9">
        <w:rPr>
          <w:rFonts w:hint="eastAsia"/>
          <w:kern w:val="0"/>
          <w:sz w:val="24"/>
        </w:rPr>
        <w:t>、本基金的转换费由申购补差费和转出基金的赎回费两部分构成，其中转出基金赎回</w:t>
      </w:r>
      <w:r w:rsidRPr="001D17B9">
        <w:rPr>
          <w:rFonts w:hint="eastAsia"/>
          <w:kern w:val="0"/>
          <w:sz w:val="24"/>
        </w:rPr>
        <w:lastRenderedPageBreak/>
        <w:t>费的</w:t>
      </w:r>
      <w:r w:rsidRPr="001D17B9">
        <w:rPr>
          <w:rFonts w:hint="eastAsia"/>
          <w:kern w:val="0"/>
          <w:sz w:val="24"/>
        </w:rPr>
        <w:t>25%</w:t>
      </w:r>
      <w:r w:rsidRPr="001D17B9">
        <w:rPr>
          <w:rFonts w:hint="eastAsia"/>
          <w:kern w:val="0"/>
          <w:sz w:val="24"/>
        </w:rPr>
        <w:t>归入转出基金的基金资产。</w:t>
      </w:r>
      <w:bookmarkStart w:id="192" w:name="_GoBack"/>
      <w:bookmarkEnd w:id="192"/>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3F513C" w:rsidRDefault="00006B40" w:rsidP="00044AA8">
      <w:pPr>
        <w:spacing w:beforeLines="50" w:before="156" w:line="360" w:lineRule="auto"/>
        <w:rPr>
          <w:rFonts w:eastAsiaTheme="minorEastAsia"/>
          <w:b/>
          <w:color w:val="000000" w:themeColor="text1"/>
          <w:sz w:val="24"/>
        </w:rPr>
      </w:pPr>
      <w:r w:rsidRPr="003F513C">
        <w:rPr>
          <w:rFonts w:eastAsiaTheme="minorEastAsia"/>
          <w:b/>
          <w:bCs/>
          <w:color w:val="000000" w:themeColor="text1"/>
          <w:kern w:val="0"/>
          <w:sz w:val="24"/>
        </w:rPr>
        <w:t xml:space="preserve">7.4.7.19 </w:t>
      </w:r>
      <w:r w:rsidRPr="003F513C">
        <w:rPr>
          <w:rFonts w:eastAsiaTheme="minorEastAsia" w:hint="eastAsia"/>
          <w:b/>
          <w:color w:val="000000" w:themeColor="text1"/>
          <w:sz w:val="24"/>
        </w:rPr>
        <w:t>交易费用</w:t>
      </w:r>
    </w:p>
    <w:p w:rsidR="00006B40" w:rsidRPr="003F513C" w:rsidRDefault="00006B40" w:rsidP="00006B40">
      <w:pPr>
        <w:tabs>
          <w:tab w:val="left" w:pos="7200"/>
          <w:tab w:val="left" w:pos="8280"/>
        </w:tabs>
        <w:spacing w:line="360" w:lineRule="auto"/>
        <w:ind w:rightChars="-52" w:right="-109"/>
        <w:jc w:val="right"/>
        <w:rPr>
          <w:rFonts w:eastAsiaTheme="minorEastAsia"/>
          <w:color w:val="000000" w:themeColor="text1"/>
          <w:sz w:val="24"/>
        </w:rPr>
      </w:pPr>
      <w:r w:rsidRPr="003F513C">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985FC8" w:rsidTr="0059358E">
        <w:trPr>
          <w:trHeight w:val="285"/>
        </w:trPr>
        <w:tc>
          <w:tcPr>
            <w:tcW w:w="2528" w:type="dxa"/>
            <w:vAlign w:val="center"/>
          </w:tcPr>
          <w:p w:rsidR="00006B40" w:rsidRPr="003F513C" w:rsidRDefault="00006B40" w:rsidP="0059358E">
            <w:pPr>
              <w:spacing w:line="360" w:lineRule="auto"/>
              <w:jc w:val="center"/>
              <w:rPr>
                <w:rFonts w:eastAsiaTheme="minorEastAsia"/>
                <w:color w:val="000000" w:themeColor="text1"/>
                <w:sz w:val="24"/>
              </w:rPr>
            </w:pPr>
            <w:r w:rsidRPr="003F513C">
              <w:rPr>
                <w:rFonts w:eastAsiaTheme="minorEastAsia" w:hint="eastAsia"/>
                <w:color w:val="000000" w:themeColor="text1"/>
                <w:sz w:val="24"/>
              </w:rPr>
              <w:t>项目</w:t>
            </w:r>
          </w:p>
        </w:tc>
        <w:tc>
          <w:tcPr>
            <w:tcW w:w="3114" w:type="dxa"/>
            <w:vAlign w:val="center"/>
          </w:tcPr>
          <w:p w:rsidR="00006B40" w:rsidRPr="003F513C" w:rsidRDefault="00006B40" w:rsidP="0059358E">
            <w:pPr>
              <w:spacing w:line="360" w:lineRule="auto"/>
              <w:jc w:val="center"/>
              <w:rPr>
                <w:rFonts w:eastAsiaTheme="minorEastAsia"/>
                <w:color w:val="000000" w:themeColor="text1"/>
                <w:sz w:val="24"/>
              </w:rPr>
            </w:pPr>
            <w:r w:rsidRPr="003F513C">
              <w:rPr>
                <w:rFonts w:eastAsiaTheme="minorEastAsia" w:hint="eastAsia"/>
                <w:color w:val="000000" w:themeColor="text1"/>
                <w:sz w:val="24"/>
              </w:rPr>
              <w:t>本期</w:t>
            </w:r>
          </w:p>
          <w:p w:rsidR="00006B40" w:rsidRPr="003F513C"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3F513C">
              <w:rPr>
                <w:rFonts w:eastAsiaTheme="minorEastAsia"/>
                <w:color w:val="000000" w:themeColor="text1"/>
                <w:sz w:val="24"/>
              </w:rPr>
              <w:t>2018</w:t>
            </w:r>
            <w:r w:rsidRPr="003F513C">
              <w:rPr>
                <w:rFonts w:eastAsiaTheme="minorEastAsia" w:hint="eastAsia"/>
                <w:color w:val="000000" w:themeColor="text1"/>
                <w:sz w:val="24"/>
              </w:rPr>
              <w:t>年</w:t>
            </w:r>
            <w:r w:rsidRPr="003F513C">
              <w:rPr>
                <w:rFonts w:eastAsiaTheme="minorEastAsia"/>
                <w:color w:val="000000" w:themeColor="text1"/>
                <w:sz w:val="24"/>
              </w:rPr>
              <w:t>1</w:t>
            </w:r>
            <w:r w:rsidRPr="003F513C">
              <w:rPr>
                <w:rFonts w:eastAsiaTheme="minorEastAsia" w:hint="eastAsia"/>
                <w:color w:val="000000" w:themeColor="text1"/>
                <w:sz w:val="24"/>
              </w:rPr>
              <w:t>月</w:t>
            </w:r>
            <w:r w:rsidRPr="003F513C">
              <w:rPr>
                <w:rFonts w:eastAsiaTheme="minorEastAsia"/>
                <w:color w:val="000000" w:themeColor="text1"/>
                <w:sz w:val="24"/>
              </w:rPr>
              <w:t>1</w:t>
            </w:r>
            <w:r w:rsidRPr="003F513C">
              <w:rPr>
                <w:rFonts w:eastAsiaTheme="minorEastAsia" w:hint="eastAsia"/>
                <w:color w:val="000000" w:themeColor="text1"/>
                <w:sz w:val="24"/>
              </w:rPr>
              <w:t>日至</w:t>
            </w:r>
            <w:r w:rsidRPr="003F513C">
              <w:rPr>
                <w:rFonts w:eastAsiaTheme="minorEastAsia"/>
                <w:color w:val="000000" w:themeColor="text1"/>
                <w:sz w:val="24"/>
              </w:rPr>
              <w:t>2018</w:t>
            </w:r>
            <w:r w:rsidRPr="003F513C">
              <w:rPr>
                <w:rFonts w:eastAsiaTheme="minorEastAsia" w:hint="eastAsia"/>
                <w:color w:val="000000" w:themeColor="text1"/>
                <w:sz w:val="24"/>
              </w:rPr>
              <w:t>年</w:t>
            </w:r>
            <w:r w:rsidRPr="003F513C">
              <w:rPr>
                <w:rFonts w:eastAsiaTheme="minorEastAsia"/>
                <w:color w:val="000000" w:themeColor="text1"/>
                <w:sz w:val="24"/>
              </w:rPr>
              <w:t>12</w:t>
            </w:r>
            <w:r w:rsidRPr="003F513C">
              <w:rPr>
                <w:rFonts w:eastAsiaTheme="minorEastAsia" w:hint="eastAsia"/>
                <w:color w:val="000000" w:themeColor="text1"/>
                <w:sz w:val="24"/>
              </w:rPr>
              <w:t>月</w:t>
            </w:r>
            <w:r w:rsidRPr="003F513C">
              <w:rPr>
                <w:rFonts w:eastAsiaTheme="minorEastAsia"/>
                <w:color w:val="000000" w:themeColor="text1"/>
                <w:sz w:val="24"/>
              </w:rPr>
              <w:t>31</w:t>
            </w:r>
            <w:r w:rsidRPr="003F513C">
              <w:rPr>
                <w:rFonts w:eastAsiaTheme="minorEastAsia" w:hint="eastAsia"/>
                <w:color w:val="000000" w:themeColor="text1"/>
                <w:sz w:val="24"/>
              </w:rPr>
              <w:t>日</w:t>
            </w:r>
          </w:p>
        </w:tc>
        <w:tc>
          <w:tcPr>
            <w:tcW w:w="3553" w:type="dxa"/>
            <w:vAlign w:val="center"/>
          </w:tcPr>
          <w:p w:rsidR="00006B40" w:rsidRPr="003F513C" w:rsidRDefault="00006B40" w:rsidP="0059358E">
            <w:pPr>
              <w:spacing w:line="360" w:lineRule="auto"/>
              <w:jc w:val="center"/>
              <w:rPr>
                <w:rFonts w:eastAsiaTheme="minorEastAsia"/>
                <w:color w:val="000000" w:themeColor="text1"/>
                <w:sz w:val="24"/>
              </w:rPr>
            </w:pPr>
            <w:r w:rsidRPr="003F513C">
              <w:rPr>
                <w:rFonts w:eastAsiaTheme="minorEastAsia" w:hint="eastAsia"/>
                <w:color w:val="000000" w:themeColor="text1"/>
                <w:sz w:val="24"/>
              </w:rPr>
              <w:t>上年度可比期间</w:t>
            </w:r>
          </w:p>
          <w:p w:rsidR="00006B40" w:rsidRPr="003F513C" w:rsidRDefault="00006B40" w:rsidP="0059358E">
            <w:pPr>
              <w:spacing w:line="360" w:lineRule="auto"/>
              <w:jc w:val="center"/>
              <w:rPr>
                <w:rFonts w:eastAsiaTheme="minorEastAsia"/>
                <w:color w:val="000000" w:themeColor="text1"/>
                <w:kern w:val="0"/>
                <w:sz w:val="24"/>
              </w:rPr>
            </w:pPr>
            <w:r w:rsidRPr="003F513C">
              <w:rPr>
                <w:rFonts w:eastAsiaTheme="minorEastAsia"/>
                <w:color w:val="000000" w:themeColor="text1"/>
                <w:sz w:val="24"/>
              </w:rPr>
              <w:t>2017</w:t>
            </w:r>
            <w:r w:rsidRPr="003F513C">
              <w:rPr>
                <w:rFonts w:eastAsiaTheme="minorEastAsia" w:hint="eastAsia"/>
                <w:color w:val="000000" w:themeColor="text1"/>
                <w:sz w:val="24"/>
              </w:rPr>
              <w:t>年</w:t>
            </w:r>
            <w:r w:rsidRPr="003F513C">
              <w:rPr>
                <w:rFonts w:eastAsiaTheme="minorEastAsia"/>
                <w:color w:val="000000" w:themeColor="text1"/>
                <w:sz w:val="24"/>
              </w:rPr>
              <w:t>8</w:t>
            </w:r>
            <w:r w:rsidRPr="003F513C">
              <w:rPr>
                <w:rFonts w:eastAsiaTheme="minorEastAsia" w:hint="eastAsia"/>
                <w:color w:val="000000" w:themeColor="text1"/>
                <w:sz w:val="24"/>
              </w:rPr>
              <w:t>月</w:t>
            </w:r>
            <w:r w:rsidRPr="003F513C">
              <w:rPr>
                <w:rFonts w:eastAsiaTheme="minorEastAsia"/>
                <w:color w:val="000000" w:themeColor="text1"/>
                <w:sz w:val="24"/>
              </w:rPr>
              <w:t>25</w:t>
            </w:r>
            <w:r w:rsidRPr="003F513C">
              <w:rPr>
                <w:rFonts w:eastAsiaTheme="minorEastAsia" w:hint="eastAsia"/>
                <w:color w:val="000000" w:themeColor="text1"/>
                <w:sz w:val="24"/>
              </w:rPr>
              <w:t>日（基金合同生效日）至</w:t>
            </w:r>
            <w:r w:rsidRPr="003F513C">
              <w:rPr>
                <w:rFonts w:eastAsiaTheme="minorEastAsia"/>
                <w:color w:val="000000" w:themeColor="text1"/>
                <w:sz w:val="24"/>
              </w:rPr>
              <w:t>2017</w:t>
            </w:r>
            <w:r w:rsidRPr="003F513C">
              <w:rPr>
                <w:rFonts w:eastAsiaTheme="minorEastAsia" w:hint="eastAsia"/>
                <w:color w:val="000000" w:themeColor="text1"/>
                <w:sz w:val="24"/>
              </w:rPr>
              <w:t>年</w:t>
            </w:r>
            <w:r w:rsidRPr="003F513C">
              <w:rPr>
                <w:rFonts w:eastAsiaTheme="minorEastAsia"/>
                <w:color w:val="000000" w:themeColor="text1"/>
                <w:sz w:val="24"/>
              </w:rPr>
              <w:t>12</w:t>
            </w:r>
            <w:r w:rsidRPr="003F513C">
              <w:rPr>
                <w:rFonts w:eastAsiaTheme="minorEastAsia" w:hint="eastAsia"/>
                <w:color w:val="000000" w:themeColor="text1"/>
                <w:sz w:val="24"/>
              </w:rPr>
              <w:t>月</w:t>
            </w:r>
            <w:r w:rsidRPr="003F513C">
              <w:rPr>
                <w:rFonts w:eastAsiaTheme="minorEastAsia"/>
                <w:color w:val="000000" w:themeColor="text1"/>
                <w:sz w:val="24"/>
              </w:rPr>
              <w:t>31</w:t>
            </w:r>
            <w:r w:rsidRPr="003F513C">
              <w:rPr>
                <w:rFonts w:eastAsiaTheme="minorEastAsia" w:hint="eastAsia"/>
                <w:color w:val="000000" w:themeColor="text1"/>
                <w:sz w:val="24"/>
              </w:rPr>
              <w:t>日</w:t>
            </w:r>
          </w:p>
        </w:tc>
      </w:tr>
      <w:tr w:rsidR="00006B40" w:rsidRPr="00985FC8" w:rsidTr="0059358E">
        <w:trPr>
          <w:trHeight w:val="285"/>
        </w:trPr>
        <w:tc>
          <w:tcPr>
            <w:tcW w:w="2528" w:type="dxa"/>
            <w:vAlign w:val="center"/>
          </w:tcPr>
          <w:p w:rsidR="00006B40" w:rsidRPr="003F513C" w:rsidRDefault="00006B40" w:rsidP="0059358E">
            <w:pPr>
              <w:spacing w:line="360" w:lineRule="auto"/>
              <w:rPr>
                <w:rFonts w:eastAsiaTheme="minorEastAsia"/>
                <w:color w:val="000000" w:themeColor="text1"/>
                <w:sz w:val="24"/>
              </w:rPr>
            </w:pPr>
            <w:r w:rsidRPr="003F513C">
              <w:rPr>
                <w:rFonts w:eastAsiaTheme="minorEastAsia" w:hint="eastAsia"/>
                <w:color w:val="000000" w:themeColor="text1"/>
                <w:sz w:val="24"/>
              </w:rPr>
              <w:t>交易所市场交易费用</w:t>
            </w:r>
          </w:p>
        </w:tc>
        <w:tc>
          <w:tcPr>
            <w:tcW w:w="3114"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1,416,399.75</w:t>
            </w:r>
          </w:p>
        </w:tc>
        <w:tc>
          <w:tcPr>
            <w:tcW w:w="3553"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2,314,862.76</w:t>
            </w:r>
          </w:p>
        </w:tc>
      </w:tr>
      <w:tr w:rsidR="00006B40" w:rsidRPr="00985FC8" w:rsidTr="0059358E">
        <w:trPr>
          <w:trHeight w:val="285"/>
        </w:trPr>
        <w:tc>
          <w:tcPr>
            <w:tcW w:w="2528" w:type="dxa"/>
            <w:vAlign w:val="center"/>
          </w:tcPr>
          <w:p w:rsidR="00006B40" w:rsidRPr="003F513C" w:rsidRDefault="00006B40" w:rsidP="0059358E">
            <w:pPr>
              <w:spacing w:line="360" w:lineRule="auto"/>
              <w:rPr>
                <w:rFonts w:eastAsiaTheme="minorEastAsia"/>
                <w:color w:val="000000" w:themeColor="text1"/>
                <w:sz w:val="24"/>
              </w:rPr>
            </w:pPr>
            <w:r w:rsidRPr="003F513C">
              <w:rPr>
                <w:rFonts w:eastAsiaTheme="minorEastAsia" w:hint="eastAsia"/>
                <w:color w:val="000000" w:themeColor="text1"/>
                <w:sz w:val="24"/>
              </w:rPr>
              <w:t>银行间市场交易费用</w:t>
            </w:r>
          </w:p>
        </w:tc>
        <w:tc>
          <w:tcPr>
            <w:tcW w:w="3114"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c>
          <w:tcPr>
            <w:tcW w:w="3553"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r>
      <w:tr w:rsidR="00006B40" w:rsidRPr="00985FC8" w:rsidTr="0059358E">
        <w:trPr>
          <w:trHeight w:val="285"/>
        </w:trPr>
        <w:tc>
          <w:tcPr>
            <w:tcW w:w="2528" w:type="dxa"/>
            <w:vAlign w:val="center"/>
          </w:tcPr>
          <w:p w:rsidR="00006B40" w:rsidRPr="003F513C" w:rsidRDefault="00006B40" w:rsidP="0059358E">
            <w:pPr>
              <w:spacing w:line="360" w:lineRule="auto"/>
              <w:rPr>
                <w:rFonts w:eastAsiaTheme="minorEastAsia"/>
                <w:color w:val="000000" w:themeColor="text1"/>
                <w:sz w:val="24"/>
              </w:rPr>
            </w:pPr>
            <w:r w:rsidRPr="003F513C">
              <w:rPr>
                <w:rFonts w:eastAsiaTheme="minorEastAsia" w:hint="eastAsia"/>
                <w:color w:val="000000" w:themeColor="text1"/>
                <w:sz w:val="24"/>
              </w:rPr>
              <w:t>交易基金产生的费用</w:t>
            </w:r>
          </w:p>
        </w:tc>
        <w:tc>
          <w:tcPr>
            <w:tcW w:w="3114"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c>
          <w:tcPr>
            <w:tcW w:w="3553"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r>
      <w:tr w:rsidR="00006B40" w:rsidRPr="00985FC8" w:rsidTr="0059358E">
        <w:trPr>
          <w:trHeight w:val="285"/>
        </w:trPr>
        <w:tc>
          <w:tcPr>
            <w:tcW w:w="2528" w:type="dxa"/>
            <w:vAlign w:val="center"/>
          </w:tcPr>
          <w:p w:rsidR="00006B40" w:rsidRPr="003F513C" w:rsidRDefault="00006B40" w:rsidP="0059358E">
            <w:pPr>
              <w:spacing w:line="360" w:lineRule="auto"/>
              <w:rPr>
                <w:rFonts w:eastAsiaTheme="minorEastAsia"/>
                <w:color w:val="000000" w:themeColor="text1"/>
                <w:sz w:val="24"/>
              </w:rPr>
            </w:pPr>
            <w:r w:rsidRPr="003F513C">
              <w:rPr>
                <w:rFonts w:eastAsiaTheme="minorEastAsia" w:hint="eastAsia"/>
                <w:color w:val="000000" w:themeColor="text1"/>
                <w:sz w:val="24"/>
              </w:rPr>
              <w:t>其中：申购费</w:t>
            </w:r>
          </w:p>
        </w:tc>
        <w:tc>
          <w:tcPr>
            <w:tcW w:w="3114"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c>
          <w:tcPr>
            <w:tcW w:w="3553"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r>
      <w:tr w:rsidR="00006B40" w:rsidRPr="00985FC8" w:rsidTr="0059358E">
        <w:trPr>
          <w:trHeight w:val="285"/>
        </w:trPr>
        <w:tc>
          <w:tcPr>
            <w:tcW w:w="2528" w:type="dxa"/>
            <w:vAlign w:val="center"/>
          </w:tcPr>
          <w:p w:rsidR="00006B40" w:rsidRPr="003F513C" w:rsidRDefault="00006B40" w:rsidP="0059358E">
            <w:pPr>
              <w:spacing w:line="360" w:lineRule="auto"/>
              <w:rPr>
                <w:rFonts w:eastAsiaTheme="minorEastAsia"/>
                <w:color w:val="000000" w:themeColor="text1"/>
                <w:sz w:val="24"/>
              </w:rPr>
            </w:pPr>
            <w:r w:rsidRPr="003F513C">
              <w:rPr>
                <w:rFonts w:eastAsiaTheme="minorEastAsia"/>
                <w:color w:val="000000" w:themeColor="text1"/>
                <w:sz w:val="24"/>
              </w:rPr>
              <w:t xml:space="preserve">      </w:t>
            </w:r>
            <w:r w:rsidRPr="003F513C">
              <w:rPr>
                <w:rFonts w:eastAsiaTheme="minorEastAsia" w:hint="eastAsia"/>
                <w:color w:val="000000" w:themeColor="text1"/>
                <w:sz w:val="24"/>
              </w:rPr>
              <w:t>赎回费</w:t>
            </w:r>
          </w:p>
        </w:tc>
        <w:tc>
          <w:tcPr>
            <w:tcW w:w="3114"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c>
          <w:tcPr>
            <w:tcW w:w="3553"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w:t>
            </w:r>
          </w:p>
        </w:tc>
      </w:tr>
      <w:tr w:rsidR="00006B40" w:rsidRPr="00985FC8" w:rsidTr="0059358E">
        <w:trPr>
          <w:trHeight w:val="285"/>
        </w:trPr>
        <w:tc>
          <w:tcPr>
            <w:tcW w:w="2528" w:type="dxa"/>
            <w:vAlign w:val="center"/>
          </w:tcPr>
          <w:p w:rsidR="00006B40" w:rsidRPr="003F513C" w:rsidRDefault="00006B40" w:rsidP="0059358E">
            <w:pPr>
              <w:spacing w:line="360" w:lineRule="auto"/>
              <w:rPr>
                <w:rFonts w:eastAsiaTheme="minorEastAsia"/>
                <w:color w:val="000000" w:themeColor="text1"/>
                <w:sz w:val="24"/>
              </w:rPr>
            </w:pPr>
            <w:r w:rsidRPr="003F513C">
              <w:rPr>
                <w:rFonts w:eastAsiaTheme="minorEastAsia" w:hint="eastAsia"/>
                <w:color w:val="000000" w:themeColor="text1"/>
                <w:sz w:val="24"/>
                <w:lang w:val="en-AU"/>
              </w:rPr>
              <w:t>合计</w:t>
            </w:r>
          </w:p>
        </w:tc>
        <w:tc>
          <w:tcPr>
            <w:tcW w:w="3114"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1,416,399.75</w:t>
            </w:r>
          </w:p>
        </w:tc>
        <w:tc>
          <w:tcPr>
            <w:tcW w:w="3553" w:type="dxa"/>
            <w:vAlign w:val="center"/>
          </w:tcPr>
          <w:p w:rsidR="00006B40" w:rsidRPr="003F513C" w:rsidRDefault="00006B40" w:rsidP="0059358E">
            <w:pPr>
              <w:spacing w:line="360" w:lineRule="auto"/>
              <w:jc w:val="right"/>
              <w:rPr>
                <w:rFonts w:eastAsiaTheme="minorEastAsia"/>
                <w:color w:val="000000" w:themeColor="text1"/>
                <w:sz w:val="24"/>
              </w:rPr>
            </w:pPr>
            <w:r w:rsidRPr="003F513C">
              <w:rPr>
                <w:rFonts w:eastAsiaTheme="minorEastAsia"/>
                <w:color w:val="000000" w:themeColor="text1"/>
                <w:sz w:val="24"/>
              </w:rPr>
              <w:t>2,314,862.76</w:t>
            </w:r>
          </w:p>
        </w:tc>
      </w:tr>
    </w:tbl>
    <w:p w:rsidR="00985FC8" w:rsidRDefault="00985FC8"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6718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8</w:t>
            </w:r>
            <w:r w:rsidRPr="00CF086B">
              <w:rPr>
                <w:sz w:val="24"/>
              </w:rPr>
              <w:t>月</w:t>
            </w:r>
            <w:r w:rsidRPr="00CF086B">
              <w:rPr>
                <w:sz w:val="24"/>
              </w:rPr>
              <w:t>25</w:t>
            </w:r>
            <w:r w:rsidRPr="00CF086B">
              <w:rPr>
                <w:sz w:val="24"/>
              </w:rPr>
              <w:t>日（基金合同生效日）至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78,000.00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r>
      <w:tr w:rsidR="00413707">
        <w:trPr>
          <w:jc w:val="center"/>
        </w:trPr>
        <w:tc>
          <w:tcPr>
            <w:tcW w:w="2855" w:type="dxa"/>
            <w:vAlign w:val="center"/>
          </w:tcPr>
          <w:p w:rsidR="00413707" w:rsidRDefault="00532CED">
            <w:pPr>
              <w:jc w:val="left"/>
            </w:pPr>
            <w:r>
              <w:rPr>
                <w:sz w:val="24"/>
              </w:rPr>
              <w:t>银行费用</w:t>
            </w:r>
          </w:p>
        </w:tc>
        <w:tc>
          <w:tcPr>
            <w:tcW w:w="2893" w:type="dxa"/>
            <w:vAlign w:val="center"/>
          </w:tcPr>
          <w:p w:rsidR="00413707" w:rsidRDefault="00532CED">
            <w:pPr>
              <w:jc w:val="right"/>
            </w:pPr>
            <w:r>
              <w:rPr>
                <w:sz w:val="24"/>
              </w:rPr>
              <w:t>6,300.45</w:t>
            </w:r>
          </w:p>
        </w:tc>
        <w:tc>
          <w:tcPr>
            <w:tcW w:w="3367" w:type="dxa"/>
            <w:vAlign w:val="center"/>
          </w:tcPr>
          <w:p w:rsidR="00413707" w:rsidRDefault="00532CED">
            <w:pPr>
              <w:jc w:val="right"/>
            </w:pPr>
            <w:r>
              <w:rPr>
                <w:sz w:val="24"/>
              </w:rPr>
              <w:t>9,643.97</w:t>
            </w:r>
          </w:p>
        </w:tc>
      </w:tr>
      <w:tr w:rsidR="00413707">
        <w:trPr>
          <w:jc w:val="center"/>
        </w:trPr>
        <w:tc>
          <w:tcPr>
            <w:tcW w:w="2855" w:type="dxa"/>
            <w:vAlign w:val="center"/>
          </w:tcPr>
          <w:p w:rsidR="00413707" w:rsidRDefault="00532CED">
            <w:pPr>
              <w:jc w:val="left"/>
            </w:pPr>
            <w:r>
              <w:rPr>
                <w:sz w:val="24"/>
              </w:rPr>
              <w:t>债券账户费用</w:t>
            </w:r>
          </w:p>
        </w:tc>
        <w:tc>
          <w:tcPr>
            <w:tcW w:w="2893" w:type="dxa"/>
            <w:vAlign w:val="center"/>
          </w:tcPr>
          <w:p w:rsidR="00413707" w:rsidRDefault="00532CED">
            <w:pPr>
              <w:jc w:val="right"/>
            </w:pPr>
            <w:r>
              <w:rPr>
                <w:sz w:val="24"/>
              </w:rPr>
              <w:t>46,500.00</w:t>
            </w:r>
          </w:p>
        </w:tc>
        <w:tc>
          <w:tcPr>
            <w:tcW w:w="3367" w:type="dxa"/>
            <w:vAlign w:val="center"/>
          </w:tcPr>
          <w:p w:rsidR="00413707" w:rsidRDefault="00532CED">
            <w:pPr>
              <w:jc w:val="right"/>
            </w:pPr>
            <w:r>
              <w:rPr>
                <w:sz w:val="24"/>
              </w:rPr>
              <w:t>-</w:t>
            </w:r>
          </w:p>
        </w:tc>
      </w:tr>
      <w:tr w:rsidR="00413707">
        <w:trPr>
          <w:jc w:val="center"/>
        </w:trPr>
        <w:tc>
          <w:tcPr>
            <w:tcW w:w="2855" w:type="dxa"/>
            <w:vAlign w:val="center"/>
          </w:tcPr>
          <w:p w:rsidR="00413707" w:rsidRDefault="00532CED">
            <w:pPr>
              <w:jc w:val="left"/>
            </w:pPr>
            <w:r>
              <w:rPr>
                <w:sz w:val="24"/>
              </w:rPr>
              <w:t>其他</w:t>
            </w:r>
          </w:p>
        </w:tc>
        <w:tc>
          <w:tcPr>
            <w:tcW w:w="2893" w:type="dxa"/>
            <w:vAlign w:val="center"/>
          </w:tcPr>
          <w:p w:rsidR="00413707" w:rsidRDefault="00532CED">
            <w:pPr>
              <w:jc w:val="right"/>
            </w:pPr>
            <w:r>
              <w:rPr>
                <w:sz w:val="24"/>
              </w:rPr>
              <w:t>400.00</w:t>
            </w:r>
          </w:p>
        </w:tc>
        <w:tc>
          <w:tcPr>
            <w:tcW w:w="3367" w:type="dxa"/>
            <w:vAlign w:val="center"/>
          </w:tcPr>
          <w:p w:rsidR="00413707" w:rsidRDefault="00532CED">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173,200.45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237,643.97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6718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416718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9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6718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9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lastRenderedPageBreak/>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A67D9B">
        <w:tc>
          <w:tcPr>
            <w:tcW w:w="5220" w:type="dxa"/>
          </w:tcPr>
          <w:p w:rsidR="00F469F4" w:rsidRPr="004E7650" w:rsidRDefault="00F469F4" w:rsidP="00A67D9B">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A67D9B">
            <w:pPr>
              <w:spacing w:before="29" w:line="288" w:lineRule="auto"/>
              <w:jc w:val="center"/>
              <w:rPr>
                <w:color w:val="000000"/>
                <w:sz w:val="24"/>
              </w:rPr>
            </w:pPr>
            <w:r w:rsidRPr="004E7650">
              <w:rPr>
                <w:rFonts w:hint="eastAsia"/>
                <w:color w:val="000000"/>
                <w:sz w:val="24"/>
              </w:rPr>
              <w:t>与本基金的关系</w:t>
            </w:r>
          </w:p>
        </w:tc>
      </w:tr>
      <w:tr w:rsidR="00413707">
        <w:tc>
          <w:tcPr>
            <w:tcW w:w="5220" w:type="dxa"/>
            <w:vAlign w:val="center"/>
          </w:tcPr>
          <w:p w:rsidR="00413707" w:rsidRDefault="00532CE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13707" w:rsidRDefault="00532CED">
            <w:pPr>
              <w:jc w:val="center"/>
            </w:pPr>
            <w:r>
              <w:rPr>
                <w:color w:val="000000"/>
                <w:sz w:val="24"/>
              </w:rPr>
              <w:t>基金管理人、基金销售机构</w:t>
            </w:r>
          </w:p>
        </w:tc>
      </w:tr>
      <w:tr w:rsidR="00413707">
        <w:tc>
          <w:tcPr>
            <w:tcW w:w="5220" w:type="dxa"/>
            <w:vAlign w:val="center"/>
          </w:tcPr>
          <w:p w:rsidR="00413707" w:rsidRDefault="00532CE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13707" w:rsidRDefault="00532CED">
            <w:pPr>
              <w:jc w:val="center"/>
            </w:pPr>
            <w:r>
              <w:rPr>
                <w:color w:val="000000"/>
                <w:sz w:val="24"/>
              </w:rPr>
              <w:t>基金托管人、基金销售机构</w:t>
            </w:r>
          </w:p>
        </w:tc>
      </w:tr>
      <w:tr w:rsidR="00413707">
        <w:tc>
          <w:tcPr>
            <w:tcW w:w="5220" w:type="dxa"/>
            <w:vAlign w:val="center"/>
          </w:tcPr>
          <w:p w:rsidR="00413707" w:rsidRDefault="00532CE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13707" w:rsidRDefault="00532CED">
            <w:pPr>
              <w:jc w:val="center"/>
            </w:pPr>
            <w:r>
              <w:rPr>
                <w:color w:val="000000"/>
                <w:sz w:val="24"/>
              </w:rPr>
              <w:t>基金管理人的股东、基金销售机构</w:t>
            </w:r>
          </w:p>
        </w:tc>
      </w:tr>
      <w:tr w:rsidR="00413707">
        <w:tc>
          <w:tcPr>
            <w:tcW w:w="5220" w:type="dxa"/>
            <w:vAlign w:val="center"/>
          </w:tcPr>
          <w:p w:rsidR="00413707" w:rsidRDefault="00532CED">
            <w:pPr>
              <w:jc w:val="left"/>
            </w:pPr>
            <w:r>
              <w:rPr>
                <w:color w:val="000000"/>
                <w:sz w:val="24"/>
              </w:rPr>
              <w:t>施罗德投资管理有限公司</w:t>
            </w:r>
          </w:p>
        </w:tc>
        <w:tc>
          <w:tcPr>
            <w:tcW w:w="3780" w:type="dxa"/>
            <w:vAlign w:val="center"/>
          </w:tcPr>
          <w:p w:rsidR="00413707" w:rsidRDefault="00532CED">
            <w:pPr>
              <w:jc w:val="center"/>
            </w:pPr>
            <w:r>
              <w:rPr>
                <w:color w:val="000000"/>
                <w:sz w:val="24"/>
              </w:rPr>
              <w:t>基金管理人的股东</w:t>
            </w:r>
          </w:p>
        </w:tc>
      </w:tr>
      <w:tr w:rsidR="00413707">
        <w:tc>
          <w:tcPr>
            <w:tcW w:w="5220" w:type="dxa"/>
            <w:vAlign w:val="center"/>
          </w:tcPr>
          <w:p w:rsidR="00413707" w:rsidRDefault="00532CE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13707" w:rsidRDefault="00532CED">
            <w:pPr>
              <w:jc w:val="center"/>
            </w:pPr>
            <w:r>
              <w:rPr>
                <w:color w:val="000000"/>
                <w:sz w:val="24"/>
              </w:rPr>
              <w:t>基金管理人的股东</w:t>
            </w:r>
          </w:p>
        </w:tc>
      </w:tr>
      <w:tr w:rsidR="00413707">
        <w:tc>
          <w:tcPr>
            <w:tcW w:w="5220" w:type="dxa"/>
            <w:vAlign w:val="center"/>
          </w:tcPr>
          <w:p w:rsidR="00413707" w:rsidRDefault="00532CED">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413707" w:rsidRDefault="00532CED">
            <w:pPr>
              <w:jc w:val="center"/>
            </w:pPr>
            <w:r>
              <w:rPr>
                <w:color w:val="000000"/>
                <w:sz w:val="24"/>
              </w:rPr>
              <w:t>基金管理人的子公司</w:t>
            </w:r>
          </w:p>
        </w:tc>
      </w:tr>
      <w:tr w:rsidR="00413707">
        <w:tc>
          <w:tcPr>
            <w:tcW w:w="5220" w:type="dxa"/>
            <w:vAlign w:val="center"/>
          </w:tcPr>
          <w:p w:rsidR="00413707" w:rsidRDefault="00532CED">
            <w:pPr>
              <w:jc w:val="left"/>
            </w:pPr>
            <w:r>
              <w:rPr>
                <w:color w:val="000000"/>
                <w:sz w:val="24"/>
              </w:rPr>
              <w:t>上海直源投资管理有限公司</w:t>
            </w:r>
          </w:p>
        </w:tc>
        <w:tc>
          <w:tcPr>
            <w:tcW w:w="3780" w:type="dxa"/>
            <w:vAlign w:val="center"/>
          </w:tcPr>
          <w:p w:rsidR="00413707" w:rsidRDefault="00532CED">
            <w:pPr>
              <w:jc w:val="center"/>
            </w:pPr>
            <w:r>
              <w:rPr>
                <w:color w:val="000000"/>
                <w:sz w:val="24"/>
              </w:rPr>
              <w:t>受基金管理人控制的公司</w:t>
            </w:r>
          </w:p>
        </w:tc>
      </w:tr>
      <w:tr w:rsidR="00413707">
        <w:tc>
          <w:tcPr>
            <w:tcW w:w="5220" w:type="dxa"/>
            <w:vAlign w:val="center"/>
          </w:tcPr>
          <w:p w:rsidR="00413707" w:rsidRDefault="00532CED">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13707" w:rsidRDefault="00532CED">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416718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6718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98"/>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r w:rsidR="008063C7" w:rsidRPr="003F513C">
        <w:rPr>
          <w:rFonts w:hint="eastAsia"/>
          <w:sz w:val="24"/>
        </w:rPr>
        <w:t>及上年度可比期间</w:t>
      </w:r>
      <w:proofErr w:type="gramStart"/>
      <w:r w:rsidRPr="008063C7">
        <w:rPr>
          <w:color w:val="000000"/>
          <w:sz w:val="24"/>
        </w:rPr>
        <w:t>无通</w:t>
      </w:r>
      <w:r w:rsidRPr="00E605C6">
        <w:rPr>
          <w:color w:val="000000"/>
          <w:sz w:val="24"/>
        </w:rPr>
        <w:t>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6718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99"/>
    </w:p>
    <w:p w:rsidR="001A59F9" w:rsidRPr="00AD0E47" w:rsidRDefault="001A59F9" w:rsidP="00AD0E47">
      <w:pPr>
        <w:pStyle w:val="20"/>
        <w:spacing w:before="29" w:after="0" w:line="288" w:lineRule="auto"/>
        <w:rPr>
          <w:rFonts w:ascii="Times New Roman" w:hAnsi="Times New Roman"/>
          <w:kern w:val="0"/>
          <w:szCs w:val="24"/>
        </w:rPr>
      </w:pPr>
      <w:bookmarkStart w:id="200" w:name="_Toc416718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25</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2,528,908.11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3,547,559.38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1,183,614.19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1,781,871.62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6718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25</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421,484.72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591,259.90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02" w:name="_Toc416719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02"/>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6719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03"/>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w:t>
      </w:r>
      <w:r w:rsidR="008063C7" w:rsidRPr="00E16C78">
        <w:rPr>
          <w:rFonts w:hint="eastAsia"/>
          <w:sz w:val="24"/>
        </w:rPr>
        <w:t>及上年度可比期间</w:t>
      </w:r>
      <w:r w:rsidRPr="00D754A9">
        <w:rPr>
          <w:kern w:val="0"/>
          <w:sz w:val="24"/>
        </w:rPr>
        <w:t>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67192"/>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204"/>
    </w:p>
    <w:p w:rsidR="001A59F9" w:rsidRPr="00AD0E47" w:rsidRDefault="001A59F9" w:rsidP="00AD0E47">
      <w:pPr>
        <w:pStyle w:val="20"/>
        <w:spacing w:before="29" w:after="0" w:line="288" w:lineRule="auto"/>
        <w:rPr>
          <w:rFonts w:ascii="Times New Roman" w:hAnsi="Times New Roman"/>
          <w:kern w:val="0"/>
          <w:szCs w:val="24"/>
        </w:rPr>
      </w:pPr>
      <w:bookmarkStart w:id="205" w:name="_Toc4167193"/>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205"/>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06" w:name="_Toc416719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0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7" w:name="_Toc416719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8</w:t>
            </w:r>
            <w:r w:rsidRPr="009A4D19">
              <w:rPr>
                <w:color w:val="000000"/>
                <w:szCs w:val="21"/>
              </w:rPr>
              <w:t>月</w:t>
            </w:r>
            <w:r w:rsidRPr="009A4D19">
              <w:rPr>
                <w:color w:val="000000"/>
                <w:szCs w:val="21"/>
              </w:rPr>
              <w:t>25</w:t>
            </w:r>
            <w:r w:rsidRPr="009A4D19">
              <w:rPr>
                <w:color w:val="000000"/>
                <w:szCs w:val="21"/>
              </w:rPr>
              <w:t>日（基金合同生效日）至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13707">
        <w:tc>
          <w:tcPr>
            <w:tcW w:w="2268" w:type="dxa"/>
            <w:vAlign w:val="center"/>
          </w:tcPr>
          <w:p w:rsidR="00413707" w:rsidRDefault="00532CED">
            <w:pPr>
              <w:jc w:val="left"/>
            </w:pPr>
            <w:r>
              <w:rPr>
                <w:szCs w:val="21"/>
              </w:rPr>
              <w:t>中国建设银行股份有限公司</w:t>
            </w:r>
          </w:p>
        </w:tc>
        <w:tc>
          <w:tcPr>
            <w:tcW w:w="1683" w:type="dxa"/>
            <w:vAlign w:val="center"/>
          </w:tcPr>
          <w:p w:rsidR="00413707" w:rsidRDefault="00532CED">
            <w:pPr>
              <w:jc w:val="right"/>
            </w:pPr>
            <w:r>
              <w:rPr>
                <w:szCs w:val="21"/>
              </w:rPr>
              <w:t>16,351,720.86</w:t>
            </w:r>
          </w:p>
        </w:tc>
        <w:tc>
          <w:tcPr>
            <w:tcW w:w="1683" w:type="dxa"/>
            <w:vAlign w:val="center"/>
          </w:tcPr>
          <w:p w:rsidR="00413707" w:rsidRDefault="00532CED">
            <w:pPr>
              <w:jc w:val="right"/>
            </w:pPr>
            <w:r>
              <w:rPr>
                <w:szCs w:val="21"/>
              </w:rPr>
              <w:t>186,227.98</w:t>
            </w:r>
          </w:p>
        </w:tc>
        <w:tc>
          <w:tcPr>
            <w:tcW w:w="1683" w:type="dxa"/>
            <w:vAlign w:val="center"/>
          </w:tcPr>
          <w:p w:rsidR="00413707" w:rsidRDefault="00532CED">
            <w:pPr>
              <w:jc w:val="right"/>
            </w:pPr>
            <w:r>
              <w:rPr>
                <w:szCs w:val="21"/>
              </w:rPr>
              <w:t>40,417,274.78</w:t>
            </w:r>
          </w:p>
        </w:tc>
        <w:tc>
          <w:tcPr>
            <w:tcW w:w="1683" w:type="dxa"/>
            <w:vAlign w:val="center"/>
          </w:tcPr>
          <w:p w:rsidR="00413707" w:rsidRDefault="00532CED">
            <w:pPr>
              <w:jc w:val="right"/>
            </w:pPr>
            <w:r>
              <w:rPr>
                <w:szCs w:val="21"/>
              </w:rPr>
              <w:t>337,671.31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6719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0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w:t>
      </w:r>
      <w:r w:rsidR="006076FC" w:rsidRPr="00E16C78">
        <w:rPr>
          <w:rFonts w:hint="eastAsia"/>
          <w:sz w:val="24"/>
        </w:rPr>
        <w:t>及上年度可比期间</w:t>
      </w:r>
      <w:r w:rsidRPr="00D754A9">
        <w:rPr>
          <w:kern w:val="0"/>
          <w:sz w:val="24"/>
        </w:rPr>
        <w:t>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3F513C" w:rsidRDefault="00317485" w:rsidP="008063C7">
      <w:pPr>
        <w:pStyle w:val="20"/>
        <w:spacing w:before="29" w:after="0" w:line="288" w:lineRule="auto"/>
        <w:rPr>
          <w:rFonts w:ascii="Times New Roman" w:hAnsi="Times New Roman"/>
          <w:kern w:val="0"/>
          <w:szCs w:val="24"/>
        </w:rPr>
      </w:pPr>
      <w:bookmarkStart w:id="209" w:name="_Toc4167197"/>
      <w:r w:rsidRPr="003F513C">
        <w:rPr>
          <w:rFonts w:ascii="Times New Roman" w:hAnsi="Times New Roman"/>
          <w:kern w:val="0"/>
          <w:szCs w:val="24"/>
        </w:rPr>
        <w:lastRenderedPageBreak/>
        <w:t xml:space="preserve">7.4.10.7 </w:t>
      </w:r>
      <w:r w:rsidRPr="008063C7">
        <w:rPr>
          <w:rFonts w:ascii="Times New Roman" w:hAnsi="Times New Roman"/>
          <w:kern w:val="0"/>
          <w:szCs w:val="24"/>
        </w:rPr>
        <w:t>其他关联交易事项的说明</w:t>
      </w:r>
      <w:bookmarkEnd w:id="209"/>
    </w:p>
    <w:p w:rsidR="00317485" w:rsidRDefault="00317485" w:rsidP="003F513C">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本基金本报告期内</w:t>
      </w:r>
      <w:r w:rsidR="006076FC" w:rsidRPr="00E16C78">
        <w:rPr>
          <w:rFonts w:hint="eastAsia"/>
          <w:sz w:val="24"/>
        </w:rPr>
        <w:t>及上年度可比期间</w:t>
      </w:r>
      <w:r w:rsidRPr="00A2475B">
        <w:rPr>
          <w:rFonts w:eastAsiaTheme="minorEastAsia"/>
          <w:color w:val="000000" w:themeColor="text1"/>
          <w:kern w:val="0"/>
          <w:sz w:val="24"/>
        </w:rPr>
        <w:t>无其他关联交易事项。</w:t>
      </w:r>
    </w:p>
    <w:p w:rsidR="008063C7" w:rsidRPr="008063C7" w:rsidRDefault="008063C7" w:rsidP="003F513C">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6719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10"/>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1" w:name="_Toc416719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416720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6076FC">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6076FC">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413707" w:rsidTr="006076FC">
        <w:tc>
          <w:tcPr>
            <w:tcW w:w="834" w:type="dxa"/>
            <w:vAlign w:val="center"/>
          </w:tcPr>
          <w:p w:rsidR="00413707" w:rsidRDefault="00532CED">
            <w:pPr>
              <w:jc w:val="center"/>
            </w:pPr>
            <w:r>
              <w:rPr>
                <w:sz w:val="24"/>
              </w:rPr>
              <w:t>601860</w:t>
            </w:r>
          </w:p>
        </w:tc>
        <w:tc>
          <w:tcPr>
            <w:tcW w:w="835" w:type="dxa"/>
            <w:vAlign w:val="center"/>
          </w:tcPr>
          <w:p w:rsidR="00413707" w:rsidRDefault="00532CED">
            <w:pPr>
              <w:jc w:val="center"/>
            </w:pPr>
            <w:r>
              <w:rPr>
                <w:sz w:val="24"/>
              </w:rPr>
              <w:t>紫金银行</w:t>
            </w:r>
          </w:p>
        </w:tc>
        <w:tc>
          <w:tcPr>
            <w:tcW w:w="834" w:type="dxa"/>
            <w:vAlign w:val="center"/>
          </w:tcPr>
          <w:p w:rsidR="00413707" w:rsidRDefault="00532CED">
            <w:pPr>
              <w:jc w:val="center"/>
            </w:pPr>
            <w:r>
              <w:rPr>
                <w:sz w:val="24"/>
              </w:rPr>
              <w:t>2018-12-20</w:t>
            </w:r>
          </w:p>
        </w:tc>
        <w:tc>
          <w:tcPr>
            <w:tcW w:w="835" w:type="dxa"/>
            <w:vAlign w:val="center"/>
          </w:tcPr>
          <w:p w:rsidR="00413707" w:rsidRDefault="0066460E" w:rsidP="0066460E">
            <w:pPr>
              <w:jc w:val="center"/>
            </w:pPr>
            <w:r>
              <w:rPr>
                <w:sz w:val="24"/>
              </w:rPr>
              <w:t>2019-1-3</w:t>
            </w:r>
          </w:p>
        </w:tc>
        <w:tc>
          <w:tcPr>
            <w:tcW w:w="834" w:type="dxa"/>
            <w:vAlign w:val="center"/>
          </w:tcPr>
          <w:p w:rsidR="00413707" w:rsidRDefault="00532CED">
            <w:pPr>
              <w:jc w:val="center"/>
            </w:pPr>
            <w:r>
              <w:rPr>
                <w:sz w:val="24"/>
              </w:rPr>
              <w:t>新股未上市</w:t>
            </w:r>
          </w:p>
        </w:tc>
        <w:tc>
          <w:tcPr>
            <w:tcW w:w="835" w:type="dxa"/>
            <w:vAlign w:val="center"/>
          </w:tcPr>
          <w:p w:rsidR="00413707" w:rsidRDefault="00532CED">
            <w:pPr>
              <w:jc w:val="right"/>
            </w:pPr>
            <w:r>
              <w:rPr>
                <w:sz w:val="24"/>
              </w:rPr>
              <w:t>3.14</w:t>
            </w:r>
          </w:p>
        </w:tc>
        <w:tc>
          <w:tcPr>
            <w:tcW w:w="834" w:type="dxa"/>
            <w:vAlign w:val="center"/>
          </w:tcPr>
          <w:p w:rsidR="00413707" w:rsidRDefault="00532CED">
            <w:pPr>
              <w:jc w:val="right"/>
            </w:pPr>
            <w:r>
              <w:rPr>
                <w:sz w:val="24"/>
              </w:rPr>
              <w:t>3.14</w:t>
            </w:r>
          </w:p>
        </w:tc>
        <w:tc>
          <w:tcPr>
            <w:tcW w:w="835" w:type="dxa"/>
            <w:vAlign w:val="center"/>
          </w:tcPr>
          <w:p w:rsidR="00413707" w:rsidRDefault="00532CED">
            <w:pPr>
              <w:jc w:val="right"/>
            </w:pPr>
            <w:r>
              <w:rPr>
                <w:sz w:val="24"/>
              </w:rPr>
              <w:t>15,970</w:t>
            </w:r>
          </w:p>
        </w:tc>
        <w:tc>
          <w:tcPr>
            <w:tcW w:w="834" w:type="dxa"/>
            <w:vAlign w:val="center"/>
          </w:tcPr>
          <w:p w:rsidR="00413707" w:rsidRDefault="00532CED">
            <w:pPr>
              <w:jc w:val="right"/>
            </w:pPr>
            <w:r>
              <w:rPr>
                <w:sz w:val="24"/>
              </w:rPr>
              <w:t>50,145.80</w:t>
            </w:r>
          </w:p>
        </w:tc>
        <w:tc>
          <w:tcPr>
            <w:tcW w:w="835" w:type="dxa"/>
            <w:vAlign w:val="center"/>
          </w:tcPr>
          <w:p w:rsidR="00413707" w:rsidRDefault="00532CED">
            <w:pPr>
              <w:jc w:val="right"/>
            </w:pPr>
            <w:r>
              <w:rPr>
                <w:sz w:val="24"/>
              </w:rPr>
              <w:t>50,145.80</w:t>
            </w:r>
          </w:p>
        </w:tc>
        <w:tc>
          <w:tcPr>
            <w:tcW w:w="835" w:type="dxa"/>
            <w:vAlign w:val="center"/>
          </w:tcPr>
          <w:p w:rsidR="00413707" w:rsidRDefault="00532CED">
            <w:pPr>
              <w:jc w:val="center"/>
            </w:pPr>
            <w:r>
              <w:rPr>
                <w:sz w:val="24"/>
              </w:rPr>
              <w:t>-</w:t>
            </w:r>
          </w:p>
        </w:tc>
      </w:tr>
    </w:tbl>
    <w:p w:rsidR="006076FC" w:rsidRPr="00B454D3" w:rsidRDefault="006076FC" w:rsidP="006076FC">
      <w:r w:rsidRPr="00B454D3">
        <w:rPr>
          <w:rFonts w:hint="eastAsia"/>
        </w:rPr>
        <w:t>注：</w:t>
      </w:r>
      <w:r w:rsidRPr="00B454D3">
        <w:rPr>
          <w:rFonts w:hint="eastAsia"/>
        </w:rPr>
        <w:t>1</w:t>
      </w:r>
      <w:r w:rsidRPr="00B454D3">
        <w:rPr>
          <w:rFonts w:hint="eastAsia"/>
        </w:rPr>
        <w:t>、基金可作为特定投资者，认购由中国证监会《上市公司证券发行管理办法》规范的非公开发行股份，所认购的股份自发行结束之日起</w:t>
      </w:r>
      <w:r w:rsidRPr="00B454D3">
        <w:rPr>
          <w:rFonts w:hint="eastAsia"/>
        </w:rPr>
        <w:t>12</w:t>
      </w:r>
      <w:r w:rsidRPr="00B454D3">
        <w:rPr>
          <w:rFonts w:hint="eastAsia"/>
        </w:rPr>
        <w:t>个月内不得转让。根据《上市公司股东、董监高减持股份的若干规定》及《深圳</w:t>
      </w:r>
      <w:r w:rsidRPr="00B454D3">
        <w:rPr>
          <w:rFonts w:hint="eastAsia"/>
        </w:rPr>
        <w:t>-</w:t>
      </w:r>
      <w:r w:rsidRPr="00B454D3">
        <w:rPr>
          <w:rFonts w:hint="eastAsia"/>
        </w:rPr>
        <w:t>上海证券交易所上市公司股东及董事、监事、高级管理人员减持股份实施细则》，本基金持有的上市公司非公开发行股份，自股份解除限售之日起</w:t>
      </w:r>
      <w:r w:rsidRPr="00B454D3">
        <w:rPr>
          <w:rFonts w:hint="eastAsia"/>
        </w:rPr>
        <w:t>12</w:t>
      </w:r>
      <w:r w:rsidRPr="00B454D3">
        <w:rPr>
          <w:rFonts w:hint="eastAsia"/>
        </w:rPr>
        <w:t>个月内，通过集中竞价交易减持的数量不得超过其持有该次非公开发行股份数量的</w:t>
      </w:r>
      <w:r w:rsidRPr="00B454D3">
        <w:rPr>
          <w:rFonts w:hint="eastAsia"/>
        </w:rPr>
        <w:t>50%</w:t>
      </w:r>
      <w:r w:rsidRPr="00B454D3">
        <w:rPr>
          <w:rFonts w:hint="eastAsia"/>
        </w:rPr>
        <w:t>；采取集中竞价交易方式的，在任意连续</w:t>
      </w:r>
      <w:r w:rsidRPr="00B454D3">
        <w:rPr>
          <w:rFonts w:hint="eastAsia"/>
        </w:rPr>
        <w:t>90</w:t>
      </w:r>
      <w:r w:rsidRPr="00B454D3">
        <w:rPr>
          <w:rFonts w:hint="eastAsia"/>
        </w:rPr>
        <w:t>日内，减持股份的总数不得超过公司股份总数的</w:t>
      </w:r>
      <w:r w:rsidRPr="00B454D3">
        <w:rPr>
          <w:rFonts w:hint="eastAsia"/>
        </w:rPr>
        <w:t>1%</w:t>
      </w:r>
      <w:r w:rsidRPr="00B454D3">
        <w:rPr>
          <w:rFonts w:hint="eastAsia"/>
        </w:rPr>
        <w:t>；采取大宗交易方式的，在任意连续</w:t>
      </w:r>
      <w:r w:rsidRPr="00B454D3">
        <w:rPr>
          <w:rFonts w:hint="eastAsia"/>
        </w:rPr>
        <w:t>90</w:t>
      </w:r>
      <w:r w:rsidRPr="00B454D3">
        <w:rPr>
          <w:rFonts w:hint="eastAsia"/>
        </w:rPr>
        <w:t>日内，减持股份的总数不得超过公司股份总数的</w:t>
      </w:r>
      <w:r w:rsidRPr="00B454D3">
        <w:rPr>
          <w:rFonts w:hint="eastAsia"/>
        </w:rPr>
        <w:t>2%</w:t>
      </w:r>
      <w:r w:rsidRPr="00B454D3">
        <w:rPr>
          <w:rFonts w:hint="eastAsia"/>
        </w:rPr>
        <w:t>。此外，本基金通过大宗交易方式受让的原上市公司大股东减</w:t>
      </w:r>
      <w:proofErr w:type="gramStart"/>
      <w:r w:rsidRPr="00B454D3">
        <w:rPr>
          <w:rFonts w:hint="eastAsia"/>
        </w:rPr>
        <w:t>持或者</w:t>
      </w:r>
      <w:proofErr w:type="gramEnd"/>
      <w:r w:rsidRPr="00B454D3">
        <w:rPr>
          <w:rFonts w:hint="eastAsia"/>
        </w:rPr>
        <w:t>特定股东减持的股份，在受让后</w:t>
      </w:r>
      <w:r w:rsidRPr="00B454D3">
        <w:rPr>
          <w:rFonts w:hint="eastAsia"/>
        </w:rPr>
        <w:t>6</w:t>
      </w:r>
      <w:r w:rsidRPr="00B454D3">
        <w:rPr>
          <w:rFonts w:hint="eastAsia"/>
        </w:rPr>
        <w:t>个月内，不得转让所受让的股份。</w:t>
      </w:r>
    </w:p>
    <w:p w:rsidR="001A59F9" w:rsidRDefault="006076FC" w:rsidP="003F513C">
      <w:pPr>
        <w:ind w:firstLineChars="200" w:firstLine="420"/>
      </w:pPr>
      <w:r w:rsidRPr="00B454D3">
        <w:rPr>
          <w:rFonts w:hint="eastAsia"/>
        </w:rPr>
        <w:t>2</w:t>
      </w:r>
      <w:r w:rsidRPr="00B454D3">
        <w:rPr>
          <w:rFonts w:hint="eastAsia"/>
        </w:rPr>
        <w:t>、基金还可作为特定投资者，认购首次公开发行股票时公司股东公开发售股份，所认购的股份自发行结束之日起</w:t>
      </w:r>
      <w:r w:rsidRPr="00B454D3">
        <w:rPr>
          <w:rFonts w:hint="eastAsia"/>
        </w:rPr>
        <w:t>12</w:t>
      </w:r>
      <w:r w:rsidRPr="00B454D3">
        <w:rPr>
          <w:rFonts w:hint="eastAsia"/>
        </w:rPr>
        <w:t>个月内不得转让。</w:t>
      </w:r>
    </w:p>
    <w:p w:rsidR="006076FC" w:rsidRPr="0091212A" w:rsidRDefault="006076FC" w:rsidP="006076F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416720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13"/>
    </w:p>
    <w:p w:rsidR="006E2EEA" w:rsidRPr="00D623B5" w:rsidRDefault="006E2EEA" w:rsidP="00D623B5">
      <w:pPr>
        <w:spacing w:before="29" w:line="288" w:lineRule="auto"/>
        <w:rPr>
          <w:color w:val="000000"/>
          <w:sz w:val="24"/>
        </w:rPr>
      </w:pPr>
      <w:bookmarkStart w:id="214" w:name="FJ2205T2305"/>
      <w:r>
        <w:rPr>
          <w:rFonts w:ascii="Arial" w:hAnsi="Arial" w:cs="Arial"/>
          <w:color w:val="000000"/>
          <w:sz w:val="24"/>
        </w:rPr>
        <w:t>本基金本期末未持有暂时停牌等流通受限股票。</w:t>
      </w:r>
      <w:bookmarkEnd w:id="214"/>
    </w:p>
    <w:p w:rsidR="001A59F9" w:rsidRPr="006E2EE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416720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15"/>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416720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416720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17"/>
    </w:p>
    <w:p w:rsidR="00413707" w:rsidRDefault="00532CED">
      <w:pPr>
        <w:spacing w:before="29" w:line="288" w:lineRule="auto"/>
        <w:ind w:firstLineChars="200" w:firstLine="480"/>
        <w:rPr>
          <w:color w:val="000000"/>
          <w:sz w:val="24"/>
        </w:rPr>
      </w:pPr>
      <w:r>
        <w:rPr>
          <w:color w:val="000000"/>
          <w:sz w:val="24"/>
        </w:rPr>
        <w:t>本基金是一只混合型基金，其风险和预期收益高于债券型基金和货币市场基金，低</w:t>
      </w:r>
      <w:r>
        <w:rPr>
          <w:color w:val="000000"/>
          <w:sz w:val="24"/>
        </w:rPr>
        <w:lastRenderedPageBreak/>
        <w:t>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等）、货币市场工具、债券回购、同业存单、银行存款（</w:t>
      </w:r>
      <w:proofErr w:type="gramStart"/>
      <w:r>
        <w:rPr>
          <w:color w:val="000000"/>
          <w:sz w:val="24"/>
        </w:rPr>
        <w:t>含协议</w:t>
      </w:r>
      <w:proofErr w:type="gramEnd"/>
      <w:r>
        <w:rPr>
          <w:color w:val="000000"/>
          <w:sz w:val="24"/>
        </w:rPr>
        <w:t>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有稳定股息收益且具有成长性的优质上市公司发行的证券，以及具有较高息票率的债券，力争实现基金资产的长期稳定增值。</w:t>
      </w:r>
    </w:p>
    <w:p w:rsidR="00413707" w:rsidRDefault="00532CED">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413707" w:rsidRDefault="00532CED">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167205"/>
      <w:r w:rsidRPr="00AD0E47">
        <w:rPr>
          <w:rFonts w:ascii="Times New Roman" w:hAnsi="Times New Roman"/>
          <w:kern w:val="0"/>
          <w:szCs w:val="24"/>
        </w:rPr>
        <w:t>7.4.13.2</w:t>
      </w:r>
      <w:r w:rsidRPr="00AD0E47">
        <w:rPr>
          <w:rFonts w:ascii="Times New Roman" w:hAnsi="Times New Roman" w:hint="eastAsia"/>
          <w:kern w:val="0"/>
          <w:szCs w:val="24"/>
        </w:rPr>
        <w:t>信用风险</w:t>
      </w:r>
      <w:bookmarkEnd w:id="218"/>
    </w:p>
    <w:p w:rsidR="00413707" w:rsidRDefault="00532CE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13707" w:rsidRDefault="00532CE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w:t>
      </w:r>
      <w:r w:rsidRPr="00EB2750">
        <w:rPr>
          <w:color w:val="000000"/>
          <w:sz w:val="24"/>
        </w:rPr>
        <w:lastRenderedPageBreak/>
        <w:t>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16720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19"/>
    </w:p>
    <w:p w:rsidR="00413707" w:rsidRDefault="00532CE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13707" w:rsidRDefault="00532CE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13707" w:rsidRDefault="00532CE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3F513C" w:rsidRDefault="00964075" w:rsidP="00044AA8">
      <w:pPr>
        <w:spacing w:beforeLines="50" w:before="156" w:line="360" w:lineRule="auto"/>
        <w:rPr>
          <w:rFonts w:eastAsiaTheme="minorEastAsia"/>
          <w:b/>
          <w:bCs/>
          <w:color w:val="000000" w:themeColor="text1"/>
          <w:sz w:val="24"/>
        </w:rPr>
      </w:pPr>
      <w:r w:rsidRPr="003F513C">
        <w:rPr>
          <w:rFonts w:eastAsiaTheme="minorEastAsia"/>
          <w:b/>
          <w:bCs/>
          <w:color w:val="000000" w:themeColor="text1"/>
          <w:kern w:val="0"/>
          <w:sz w:val="24"/>
        </w:rPr>
        <w:t xml:space="preserve">7.4.13.3.1 </w:t>
      </w:r>
      <w:r w:rsidRPr="003F513C">
        <w:rPr>
          <w:rFonts w:eastAsiaTheme="minorEastAsia" w:hint="eastAsia"/>
          <w:b/>
          <w:bCs/>
          <w:color w:val="000000" w:themeColor="text1"/>
          <w:sz w:val="24"/>
        </w:rPr>
        <w:t>报告期内本基金组合资产的流动性风险分析</w:t>
      </w:r>
    </w:p>
    <w:p w:rsidR="00413707" w:rsidRPr="003F513C" w:rsidRDefault="00532CED">
      <w:pPr>
        <w:widowControl/>
        <w:spacing w:line="360" w:lineRule="auto"/>
        <w:ind w:firstLineChars="200" w:firstLine="480"/>
        <w:rPr>
          <w:rFonts w:eastAsiaTheme="minorEastAsia"/>
          <w:color w:val="000000" w:themeColor="text1"/>
          <w:kern w:val="0"/>
          <w:sz w:val="24"/>
        </w:rPr>
      </w:pPr>
      <w:r w:rsidRPr="003F513C">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3F513C">
        <w:rPr>
          <w:rFonts w:eastAsiaTheme="minorEastAsia"/>
          <w:color w:val="000000" w:themeColor="text1"/>
          <w:kern w:val="0"/>
          <w:sz w:val="24"/>
        </w:rPr>
        <w:t>(</w:t>
      </w:r>
      <w:r w:rsidRPr="003F513C">
        <w:rPr>
          <w:rFonts w:eastAsiaTheme="minorEastAsia" w:hint="eastAsia"/>
          <w:color w:val="000000" w:themeColor="text1"/>
          <w:kern w:val="0"/>
          <w:sz w:val="24"/>
        </w:rPr>
        <w:t>自</w:t>
      </w:r>
      <w:r w:rsidRPr="003F513C">
        <w:rPr>
          <w:rFonts w:eastAsiaTheme="minorEastAsia"/>
          <w:color w:val="000000" w:themeColor="text1"/>
          <w:kern w:val="0"/>
          <w:sz w:val="24"/>
        </w:rPr>
        <w:t>2017</w:t>
      </w:r>
      <w:r w:rsidRPr="003F513C">
        <w:rPr>
          <w:rFonts w:eastAsiaTheme="minorEastAsia" w:hint="eastAsia"/>
          <w:color w:val="000000" w:themeColor="text1"/>
          <w:kern w:val="0"/>
          <w:sz w:val="24"/>
        </w:rPr>
        <w:t>年</w:t>
      </w:r>
      <w:r w:rsidRPr="003F513C">
        <w:rPr>
          <w:rFonts w:eastAsiaTheme="minorEastAsia"/>
          <w:color w:val="000000" w:themeColor="text1"/>
          <w:kern w:val="0"/>
          <w:sz w:val="24"/>
        </w:rPr>
        <w:t>10</w:t>
      </w:r>
      <w:r w:rsidRPr="003F513C">
        <w:rPr>
          <w:rFonts w:eastAsiaTheme="minorEastAsia" w:hint="eastAsia"/>
          <w:color w:val="000000" w:themeColor="text1"/>
          <w:kern w:val="0"/>
          <w:sz w:val="24"/>
        </w:rPr>
        <w:t>月</w:t>
      </w:r>
      <w:r w:rsidRPr="003F513C">
        <w:rPr>
          <w:rFonts w:eastAsiaTheme="minorEastAsia"/>
          <w:color w:val="000000" w:themeColor="text1"/>
          <w:kern w:val="0"/>
          <w:sz w:val="24"/>
        </w:rPr>
        <w:t>1</w:t>
      </w:r>
      <w:r w:rsidRPr="003F513C">
        <w:rPr>
          <w:rFonts w:eastAsiaTheme="minorEastAsia" w:hint="eastAsia"/>
          <w:color w:val="000000" w:themeColor="text1"/>
          <w:kern w:val="0"/>
          <w:sz w:val="24"/>
        </w:rPr>
        <w:t>日起施行</w:t>
      </w:r>
      <w:r w:rsidRPr="003F513C">
        <w:rPr>
          <w:rFonts w:eastAsiaTheme="minorEastAsia"/>
          <w:color w:val="000000" w:themeColor="text1"/>
          <w:kern w:val="0"/>
          <w:sz w:val="24"/>
        </w:rPr>
        <w:t>)</w:t>
      </w:r>
      <w:r w:rsidRPr="003F513C">
        <w:rPr>
          <w:rFonts w:eastAsiaTheme="minorEastAsia" w:hint="eastAsia"/>
          <w:color w:val="000000" w:themeColor="text1"/>
          <w:kern w:val="0"/>
          <w:sz w:val="24"/>
        </w:rPr>
        <w:t>等法规的要求对本基金组合资产的流动性风险进行管理，通过独立的风险管理部门对本基金的组合持仓集中度指标、</w:t>
      </w:r>
      <w:proofErr w:type="gramStart"/>
      <w:r w:rsidRPr="003F513C">
        <w:rPr>
          <w:rFonts w:eastAsiaTheme="minorEastAsia" w:hint="eastAsia"/>
          <w:color w:val="000000" w:themeColor="text1"/>
          <w:kern w:val="0"/>
          <w:sz w:val="24"/>
        </w:rPr>
        <w:t>流通受</w:t>
      </w:r>
      <w:proofErr w:type="gramEnd"/>
      <w:r w:rsidRPr="003F513C">
        <w:rPr>
          <w:rFonts w:eastAsiaTheme="minorEastAsia" w:hint="eastAsia"/>
          <w:color w:val="000000" w:themeColor="text1"/>
          <w:kern w:val="0"/>
          <w:sz w:val="24"/>
        </w:rPr>
        <w:t>限制的投资品种比例以及组合在短时间内变现能力的综合指标等流动性指标进行持续的监测和分析。</w:t>
      </w:r>
    </w:p>
    <w:p w:rsidR="00413707" w:rsidRPr="003F513C" w:rsidRDefault="00532CED">
      <w:pPr>
        <w:widowControl/>
        <w:spacing w:line="360" w:lineRule="auto"/>
        <w:ind w:firstLineChars="200" w:firstLine="480"/>
        <w:rPr>
          <w:rFonts w:eastAsiaTheme="minorEastAsia"/>
          <w:color w:val="000000" w:themeColor="text1"/>
          <w:kern w:val="0"/>
          <w:sz w:val="24"/>
        </w:rPr>
      </w:pPr>
      <w:r w:rsidRPr="003F513C">
        <w:rPr>
          <w:rFonts w:eastAsiaTheme="minorEastAsia" w:hint="eastAsia"/>
          <w:color w:val="000000" w:themeColor="text1"/>
          <w:kern w:val="0"/>
          <w:sz w:val="24"/>
        </w:rPr>
        <w:t>本基金投资于一家公司发行的证券市值不超过基金资产净值的</w:t>
      </w:r>
      <w:r w:rsidRPr="003F513C">
        <w:rPr>
          <w:rFonts w:eastAsiaTheme="minorEastAsia"/>
          <w:color w:val="000000" w:themeColor="text1"/>
          <w:kern w:val="0"/>
          <w:sz w:val="24"/>
        </w:rPr>
        <w:t>10%</w:t>
      </w:r>
      <w:r w:rsidRPr="003F513C">
        <w:rPr>
          <w:rFonts w:eastAsiaTheme="minorEastAsia" w:hint="eastAsia"/>
          <w:color w:val="000000" w:themeColor="text1"/>
          <w:kern w:val="0"/>
          <w:sz w:val="24"/>
        </w:rPr>
        <w:t>，且本基金与由本基金的基金管理人管理的其他基金共同持有一家公司发行的证券不得超过该证券的</w:t>
      </w:r>
      <w:r w:rsidRPr="003F513C">
        <w:rPr>
          <w:rFonts w:eastAsiaTheme="minorEastAsia"/>
          <w:color w:val="000000" w:themeColor="text1"/>
          <w:kern w:val="0"/>
          <w:sz w:val="24"/>
        </w:rPr>
        <w:t>10%</w:t>
      </w:r>
      <w:r w:rsidRPr="003F513C">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3F513C">
        <w:rPr>
          <w:rFonts w:eastAsiaTheme="minorEastAsia"/>
          <w:color w:val="000000" w:themeColor="text1"/>
          <w:kern w:val="0"/>
          <w:sz w:val="24"/>
        </w:rPr>
        <w:t>15%</w:t>
      </w:r>
      <w:r w:rsidRPr="003F513C">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3F513C">
        <w:rPr>
          <w:rFonts w:eastAsiaTheme="minorEastAsia"/>
          <w:color w:val="000000" w:themeColor="text1"/>
          <w:kern w:val="0"/>
          <w:sz w:val="24"/>
        </w:rPr>
        <w:t>30%(</w:t>
      </w:r>
      <w:r w:rsidRPr="003F513C">
        <w:rPr>
          <w:rFonts w:eastAsiaTheme="minorEastAsia" w:hint="eastAsia"/>
          <w:color w:val="000000" w:themeColor="text1"/>
          <w:kern w:val="0"/>
          <w:sz w:val="24"/>
        </w:rPr>
        <w:t>完全按照有关指数构成比例进行证券投资的开放式基金及中国证监会认定的特殊投资组合不受该比例限制</w:t>
      </w:r>
      <w:r w:rsidRPr="003F513C">
        <w:rPr>
          <w:rFonts w:eastAsiaTheme="minorEastAsia"/>
          <w:color w:val="000000" w:themeColor="text1"/>
          <w:kern w:val="0"/>
          <w:sz w:val="24"/>
        </w:rPr>
        <w:t>)</w:t>
      </w:r>
      <w:r w:rsidRPr="003F513C">
        <w:rPr>
          <w:rFonts w:eastAsiaTheme="minorEastAsia" w:hint="eastAsia"/>
          <w:color w:val="000000" w:themeColor="text1"/>
          <w:kern w:val="0"/>
          <w:sz w:val="24"/>
        </w:rPr>
        <w:t>。</w:t>
      </w:r>
    </w:p>
    <w:p w:rsidR="00413707" w:rsidRPr="003F513C" w:rsidRDefault="00532CED">
      <w:pPr>
        <w:widowControl/>
        <w:spacing w:line="360" w:lineRule="auto"/>
        <w:ind w:firstLineChars="200" w:firstLine="480"/>
        <w:rPr>
          <w:rFonts w:eastAsiaTheme="minorEastAsia"/>
          <w:color w:val="000000" w:themeColor="text1"/>
          <w:kern w:val="0"/>
          <w:sz w:val="24"/>
        </w:rPr>
      </w:pPr>
      <w:r w:rsidRPr="003F513C">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3F513C">
        <w:rPr>
          <w:rFonts w:eastAsiaTheme="minorEastAsia"/>
          <w:color w:val="000000" w:themeColor="text1"/>
          <w:kern w:val="0"/>
          <w:sz w:val="24"/>
        </w:rPr>
        <w:t>7.4.12</w:t>
      </w:r>
      <w:r w:rsidRPr="003F513C">
        <w:rPr>
          <w:rFonts w:eastAsiaTheme="minorEastAsia" w:hint="eastAsia"/>
          <w:color w:val="000000" w:themeColor="text1"/>
          <w:kern w:val="0"/>
          <w:sz w:val="24"/>
        </w:rPr>
        <w:t>。此外，本基金可通过卖出</w:t>
      </w:r>
      <w:r w:rsidRPr="003F513C">
        <w:rPr>
          <w:rFonts w:eastAsiaTheme="minorEastAsia" w:hint="eastAsia"/>
          <w:color w:val="000000" w:themeColor="text1"/>
          <w:kern w:val="0"/>
          <w:sz w:val="24"/>
        </w:rPr>
        <w:lastRenderedPageBreak/>
        <w:t>回购金融资产方式借入短期资金应对流动性需求，其上限一般不超过基金持有的债券投资的公允价值。本基金主动投资于流动性受限资产的市值合计不得超过基金资产净值的</w:t>
      </w:r>
      <w:r w:rsidRPr="003F513C">
        <w:rPr>
          <w:rFonts w:eastAsiaTheme="minorEastAsia"/>
          <w:color w:val="000000" w:themeColor="text1"/>
          <w:kern w:val="0"/>
          <w:sz w:val="24"/>
        </w:rPr>
        <w:t>15%</w:t>
      </w:r>
      <w:r w:rsidRPr="003F513C">
        <w:rPr>
          <w:rFonts w:eastAsiaTheme="minorEastAsia" w:hint="eastAsia"/>
          <w:color w:val="000000" w:themeColor="text1"/>
          <w:kern w:val="0"/>
          <w:sz w:val="24"/>
        </w:rPr>
        <w:t>。</w:t>
      </w:r>
    </w:p>
    <w:p w:rsidR="00413707" w:rsidRPr="003F513C" w:rsidRDefault="00532CED">
      <w:pPr>
        <w:widowControl/>
        <w:spacing w:line="360" w:lineRule="auto"/>
        <w:ind w:firstLineChars="200" w:firstLine="480"/>
        <w:rPr>
          <w:rFonts w:eastAsiaTheme="minorEastAsia"/>
          <w:color w:val="000000" w:themeColor="text1"/>
          <w:kern w:val="0"/>
          <w:sz w:val="24"/>
        </w:rPr>
      </w:pPr>
      <w:r w:rsidRPr="003F513C">
        <w:rPr>
          <w:rFonts w:eastAsiaTheme="minorEastAsia" w:hint="eastAsia"/>
          <w:color w:val="000000" w:themeColor="text1"/>
          <w:kern w:val="0"/>
          <w:sz w:val="24"/>
        </w:rPr>
        <w:t>本基金的基金管理人每日对基金组合资产中</w:t>
      </w:r>
      <w:r w:rsidRPr="003F513C">
        <w:rPr>
          <w:rFonts w:eastAsiaTheme="minorEastAsia"/>
          <w:color w:val="000000" w:themeColor="text1"/>
          <w:kern w:val="0"/>
          <w:sz w:val="24"/>
        </w:rPr>
        <w:t>7</w:t>
      </w:r>
      <w:r w:rsidRPr="003F513C">
        <w:rPr>
          <w:rFonts w:eastAsiaTheme="minorEastAsia" w:hint="eastAsia"/>
          <w:color w:val="000000" w:themeColor="text1"/>
          <w:kern w:val="0"/>
          <w:sz w:val="24"/>
        </w:rPr>
        <w:t>个工作日可变现资产的可变现价值进行审慎评估与测算，确保每日确认的净赎回申请不得超过</w:t>
      </w:r>
      <w:r w:rsidRPr="003F513C">
        <w:rPr>
          <w:rFonts w:eastAsiaTheme="minorEastAsia"/>
          <w:color w:val="000000" w:themeColor="text1"/>
          <w:kern w:val="0"/>
          <w:sz w:val="24"/>
        </w:rPr>
        <w:t>7</w:t>
      </w:r>
      <w:r w:rsidRPr="003F513C">
        <w:rPr>
          <w:rFonts w:eastAsiaTheme="minorEastAsia" w:hint="eastAsia"/>
          <w:color w:val="000000" w:themeColor="text1"/>
          <w:kern w:val="0"/>
          <w:sz w:val="24"/>
        </w:rPr>
        <w:t>个工作日可变现资产的可变现价值。</w:t>
      </w:r>
    </w:p>
    <w:p w:rsidR="00413707" w:rsidRPr="003F513C" w:rsidRDefault="00532CED">
      <w:pPr>
        <w:widowControl/>
        <w:spacing w:line="360" w:lineRule="auto"/>
        <w:ind w:firstLineChars="200" w:firstLine="480"/>
        <w:rPr>
          <w:rFonts w:eastAsiaTheme="minorEastAsia"/>
          <w:color w:val="000000" w:themeColor="text1"/>
          <w:kern w:val="0"/>
          <w:sz w:val="24"/>
        </w:rPr>
      </w:pPr>
      <w:r w:rsidRPr="003F513C">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3F513C">
        <w:rPr>
          <w:rFonts w:eastAsiaTheme="minorEastAsia" w:hint="eastAsia"/>
          <w:color w:val="000000" w:themeColor="text1"/>
          <w:kern w:val="0"/>
          <w:sz w:val="24"/>
        </w:rPr>
        <w:t>证券资管产品</w:t>
      </w:r>
      <w:proofErr w:type="gramEnd"/>
      <w:r w:rsidRPr="003F513C">
        <w:rPr>
          <w:rFonts w:eastAsiaTheme="minorEastAsia" w:hint="eastAsia"/>
          <w:color w:val="000000" w:themeColor="text1"/>
          <w:kern w:val="0"/>
          <w:sz w:val="24"/>
        </w:rPr>
        <w:t>及中国证监会认定的其他主体为交易对手开展逆回购交易时，可接受质押品的资质要求与基金合同约定的投资范围保持一致。</w:t>
      </w:r>
    </w:p>
    <w:p w:rsidR="00964075" w:rsidRPr="003F513C" w:rsidRDefault="00964075" w:rsidP="00964075">
      <w:pPr>
        <w:widowControl/>
        <w:spacing w:line="360" w:lineRule="auto"/>
        <w:ind w:firstLineChars="200" w:firstLine="480"/>
        <w:rPr>
          <w:rFonts w:eastAsiaTheme="minorEastAsia"/>
          <w:color w:val="000000" w:themeColor="text1"/>
          <w:kern w:val="0"/>
          <w:sz w:val="24"/>
        </w:rPr>
      </w:pPr>
      <w:r w:rsidRPr="003F513C">
        <w:rPr>
          <w:rFonts w:eastAsiaTheme="minorEastAsia" w:hint="eastAsia"/>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167207"/>
      <w:r w:rsidRPr="00AD0E47">
        <w:rPr>
          <w:rFonts w:ascii="Times New Roman" w:hAnsi="Times New Roman"/>
          <w:kern w:val="0"/>
          <w:szCs w:val="24"/>
        </w:rPr>
        <w:t>7.4.13.4</w:t>
      </w:r>
      <w:r w:rsidRPr="00AD0E47">
        <w:rPr>
          <w:rFonts w:ascii="Times New Roman" w:hAnsi="Times New Roman" w:hint="eastAsia"/>
          <w:kern w:val="0"/>
          <w:szCs w:val="24"/>
        </w:rPr>
        <w:t>市场风险</w:t>
      </w:r>
      <w:bookmarkEnd w:id="220"/>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16720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21"/>
    </w:p>
    <w:p w:rsidR="00413707" w:rsidRDefault="00532CE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13707" w:rsidRDefault="00532CED">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22" w:name="_Toc4167209"/>
      <w:r w:rsidRPr="00AD0E47">
        <w:rPr>
          <w:rFonts w:ascii="Times New Roman" w:hAnsi="Times New Roman"/>
          <w:kern w:val="0"/>
          <w:szCs w:val="24"/>
        </w:rPr>
        <w:lastRenderedPageBreak/>
        <w:t>7.4.13.4.1.1</w:t>
      </w:r>
      <w:r w:rsidRPr="00AD0E47">
        <w:rPr>
          <w:rFonts w:ascii="Times New Roman" w:hAnsi="Times New Roman" w:hint="eastAsia"/>
          <w:kern w:val="0"/>
          <w:szCs w:val="24"/>
        </w:rPr>
        <w:t>利率风险敞口</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13707">
        <w:trPr>
          <w:jc w:val="center"/>
        </w:trPr>
        <w:tc>
          <w:tcPr>
            <w:tcW w:w="1588" w:type="dxa"/>
            <w:vAlign w:val="center"/>
          </w:tcPr>
          <w:p w:rsidR="00413707" w:rsidRDefault="00532CED">
            <w:pPr>
              <w:jc w:val="center"/>
            </w:pPr>
            <w:r>
              <w:rPr>
                <w:color w:val="000000"/>
                <w:sz w:val="18"/>
                <w:szCs w:val="18"/>
              </w:rPr>
              <w:t>银行存款</w:t>
            </w:r>
          </w:p>
        </w:tc>
        <w:tc>
          <w:tcPr>
            <w:tcW w:w="1701" w:type="dxa"/>
            <w:vAlign w:val="center"/>
          </w:tcPr>
          <w:p w:rsidR="00413707" w:rsidRDefault="00532CED">
            <w:pPr>
              <w:jc w:val="right"/>
            </w:pPr>
            <w:r>
              <w:rPr>
                <w:color w:val="000000"/>
                <w:sz w:val="18"/>
                <w:szCs w:val="18"/>
              </w:rPr>
              <w:t>16,351,720.86</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301" w:type="dxa"/>
            <w:vAlign w:val="center"/>
          </w:tcPr>
          <w:p w:rsidR="00413707" w:rsidRDefault="00532CED">
            <w:pPr>
              <w:jc w:val="right"/>
            </w:pPr>
            <w:r>
              <w:rPr>
                <w:color w:val="000000"/>
                <w:sz w:val="18"/>
                <w:szCs w:val="18"/>
              </w:rPr>
              <w:t>16,351,720.86</w:t>
            </w:r>
          </w:p>
        </w:tc>
      </w:tr>
      <w:tr w:rsidR="00413707">
        <w:trPr>
          <w:jc w:val="center"/>
        </w:trPr>
        <w:tc>
          <w:tcPr>
            <w:tcW w:w="1588" w:type="dxa"/>
            <w:vAlign w:val="center"/>
          </w:tcPr>
          <w:p w:rsidR="00413707" w:rsidRDefault="00532CED">
            <w:pPr>
              <w:jc w:val="center"/>
            </w:pPr>
            <w:r>
              <w:rPr>
                <w:color w:val="000000"/>
                <w:sz w:val="18"/>
                <w:szCs w:val="18"/>
              </w:rPr>
              <w:t>结算备付金</w:t>
            </w:r>
          </w:p>
        </w:tc>
        <w:tc>
          <w:tcPr>
            <w:tcW w:w="1701" w:type="dxa"/>
            <w:vAlign w:val="center"/>
          </w:tcPr>
          <w:p w:rsidR="00413707" w:rsidRDefault="00532CED">
            <w:pPr>
              <w:jc w:val="right"/>
            </w:pPr>
            <w:r>
              <w:rPr>
                <w:color w:val="000000"/>
                <w:sz w:val="18"/>
                <w:szCs w:val="18"/>
              </w:rPr>
              <w:t>324,274.10</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301" w:type="dxa"/>
            <w:vAlign w:val="center"/>
          </w:tcPr>
          <w:p w:rsidR="00413707" w:rsidRDefault="00532CED">
            <w:pPr>
              <w:jc w:val="right"/>
            </w:pPr>
            <w:r>
              <w:rPr>
                <w:color w:val="000000"/>
                <w:sz w:val="18"/>
                <w:szCs w:val="18"/>
              </w:rPr>
              <w:t>324,274.10</w:t>
            </w:r>
          </w:p>
        </w:tc>
      </w:tr>
      <w:tr w:rsidR="00413707">
        <w:trPr>
          <w:jc w:val="center"/>
        </w:trPr>
        <w:tc>
          <w:tcPr>
            <w:tcW w:w="1588" w:type="dxa"/>
            <w:vAlign w:val="center"/>
          </w:tcPr>
          <w:p w:rsidR="00413707" w:rsidRDefault="00532CED">
            <w:pPr>
              <w:jc w:val="center"/>
            </w:pPr>
            <w:r>
              <w:rPr>
                <w:color w:val="000000"/>
                <w:sz w:val="18"/>
                <w:szCs w:val="18"/>
              </w:rPr>
              <w:t>存出保证金</w:t>
            </w:r>
          </w:p>
        </w:tc>
        <w:tc>
          <w:tcPr>
            <w:tcW w:w="1701" w:type="dxa"/>
            <w:vAlign w:val="center"/>
          </w:tcPr>
          <w:p w:rsidR="00413707" w:rsidRDefault="00532CED">
            <w:pPr>
              <w:jc w:val="right"/>
            </w:pPr>
            <w:r>
              <w:rPr>
                <w:color w:val="000000"/>
                <w:sz w:val="18"/>
                <w:szCs w:val="18"/>
              </w:rPr>
              <w:t>59,006.33</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301" w:type="dxa"/>
            <w:vAlign w:val="center"/>
          </w:tcPr>
          <w:p w:rsidR="00413707" w:rsidRDefault="00532CED">
            <w:pPr>
              <w:jc w:val="right"/>
            </w:pPr>
            <w:r>
              <w:rPr>
                <w:color w:val="000000"/>
                <w:sz w:val="18"/>
                <w:szCs w:val="18"/>
              </w:rPr>
              <w:t>59,006.33</w:t>
            </w:r>
          </w:p>
        </w:tc>
      </w:tr>
      <w:tr w:rsidR="00413707">
        <w:trPr>
          <w:jc w:val="center"/>
        </w:trPr>
        <w:tc>
          <w:tcPr>
            <w:tcW w:w="1588" w:type="dxa"/>
            <w:vAlign w:val="center"/>
          </w:tcPr>
          <w:p w:rsidR="00413707" w:rsidRDefault="00532CED">
            <w:pPr>
              <w:jc w:val="center"/>
            </w:pPr>
            <w:r>
              <w:rPr>
                <w:color w:val="000000"/>
                <w:sz w:val="18"/>
                <w:szCs w:val="18"/>
              </w:rPr>
              <w:t>交易性金融资产</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117,309,178.76</w:t>
            </w:r>
          </w:p>
        </w:tc>
        <w:tc>
          <w:tcPr>
            <w:tcW w:w="1301" w:type="dxa"/>
            <w:vAlign w:val="center"/>
          </w:tcPr>
          <w:p w:rsidR="00413707" w:rsidRDefault="00532CED">
            <w:pPr>
              <w:jc w:val="right"/>
            </w:pPr>
            <w:r>
              <w:rPr>
                <w:color w:val="000000"/>
                <w:sz w:val="18"/>
                <w:szCs w:val="18"/>
              </w:rPr>
              <w:t>117,309,178.76</w:t>
            </w:r>
          </w:p>
        </w:tc>
      </w:tr>
      <w:tr w:rsidR="00413707">
        <w:trPr>
          <w:jc w:val="center"/>
        </w:trPr>
        <w:tc>
          <w:tcPr>
            <w:tcW w:w="1588" w:type="dxa"/>
            <w:vAlign w:val="center"/>
          </w:tcPr>
          <w:p w:rsidR="00413707" w:rsidRDefault="00532CED">
            <w:pPr>
              <w:jc w:val="center"/>
            </w:pPr>
            <w:r>
              <w:rPr>
                <w:color w:val="000000"/>
                <w:sz w:val="18"/>
                <w:szCs w:val="18"/>
              </w:rPr>
              <w:t>应收利息</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3,220.91</w:t>
            </w:r>
          </w:p>
        </w:tc>
        <w:tc>
          <w:tcPr>
            <w:tcW w:w="1301" w:type="dxa"/>
            <w:vAlign w:val="center"/>
          </w:tcPr>
          <w:p w:rsidR="00413707" w:rsidRDefault="00532CED">
            <w:pPr>
              <w:jc w:val="right"/>
            </w:pPr>
            <w:r>
              <w:rPr>
                <w:color w:val="000000"/>
                <w:sz w:val="18"/>
                <w:szCs w:val="18"/>
              </w:rPr>
              <w:t>3,220.91</w:t>
            </w:r>
          </w:p>
        </w:tc>
      </w:tr>
      <w:tr w:rsidR="00413707">
        <w:trPr>
          <w:jc w:val="center"/>
        </w:trPr>
        <w:tc>
          <w:tcPr>
            <w:tcW w:w="1588" w:type="dxa"/>
            <w:vAlign w:val="center"/>
          </w:tcPr>
          <w:p w:rsidR="00413707" w:rsidRDefault="00532CED">
            <w:pPr>
              <w:jc w:val="center"/>
            </w:pPr>
            <w:r>
              <w:rPr>
                <w:color w:val="000000"/>
                <w:sz w:val="18"/>
                <w:szCs w:val="18"/>
              </w:rPr>
              <w:t>应收申购款</w:t>
            </w:r>
          </w:p>
        </w:tc>
        <w:tc>
          <w:tcPr>
            <w:tcW w:w="1701" w:type="dxa"/>
            <w:vAlign w:val="center"/>
          </w:tcPr>
          <w:p w:rsidR="00413707" w:rsidRDefault="00532CED">
            <w:pPr>
              <w:jc w:val="right"/>
            </w:pPr>
            <w:r>
              <w:rPr>
                <w:color w:val="000000"/>
                <w:sz w:val="18"/>
                <w:szCs w:val="18"/>
              </w:rPr>
              <w:t>70,184.72</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17,510.72</w:t>
            </w:r>
          </w:p>
        </w:tc>
        <w:tc>
          <w:tcPr>
            <w:tcW w:w="1301" w:type="dxa"/>
            <w:vAlign w:val="center"/>
          </w:tcPr>
          <w:p w:rsidR="00413707" w:rsidRDefault="00532CED">
            <w:pPr>
              <w:jc w:val="right"/>
            </w:pPr>
            <w:r>
              <w:rPr>
                <w:color w:val="000000"/>
                <w:sz w:val="18"/>
                <w:szCs w:val="18"/>
              </w:rPr>
              <w:t>87,695.44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16,805,186.01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117,329,910.39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134,135,096.40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13707">
        <w:trPr>
          <w:jc w:val="center"/>
        </w:trPr>
        <w:tc>
          <w:tcPr>
            <w:tcW w:w="1588" w:type="dxa"/>
            <w:vAlign w:val="center"/>
          </w:tcPr>
          <w:p w:rsidR="00413707" w:rsidRDefault="00532CED">
            <w:pPr>
              <w:jc w:val="center"/>
            </w:pPr>
            <w:r>
              <w:rPr>
                <w:color w:val="000000"/>
                <w:sz w:val="18"/>
                <w:szCs w:val="18"/>
              </w:rPr>
              <w:t>应付证券清算款</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4,564,760.33</w:t>
            </w:r>
          </w:p>
        </w:tc>
        <w:tc>
          <w:tcPr>
            <w:tcW w:w="1301" w:type="dxa"/>
            <w:vAlign w:val="center"/>
          </w:tcPr>
          <w:p w:rsidR="00413707" w:rsidRDefault="00532CED">
            <w:pPr>
              <w:jc w:val="right"/>
            </w:pPr>
            <w:r>
              <w:rPr>
                <w:color w:val="000000"/>
                <w:sz w:val="18"/>
                <w:szCs w:val="18"/>
              </w:rPr>
              <w:t>4,564,760.33</w:t>
            </w:r>
          </w:p>
        </w:tc>
      </w:tr>
      <w:tr w:rsidR="00413707">
        <w:trPr>
          <w:jc w:val="center"/>
        </w:trPr>
        <w:tc>
          <w:tcPr>
            <w:tcW w:w="1588" w:type="dxa"/>
            <w:vAlign w:val="center"/>
          </w:tcPr>
          <w:p w:rsidR="00413707" w:rsidRDefault="00532CED">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105,160.30</w:t>
            </w:r>
          </w:p>
        </w:tc>
        <w:tc>
          <w:tcPr>
            <w:tcW w:w="1301" w:type="dxa"/>
            <w:vAlign w:val="center"/>
          </w:tcPr>
          <w:p w:rsidR="00413707" w:rsidRDefault="00532CED">
            <w:pPr>
              <w:jc w:val="right"/>
            </w:pPr>
            <w:r>
              <w:rPr>
                <w:color w:val="000000"/>
                <w:sz w:val="18"/>
                <w:szCs w:val="18"/>
              </w:rPr>
              <w:t>105,160.30</w:t>
            </w:r>
          </w:p>
        </w:tc>
      </w:tr>
      <w:tr w:rsidR="00413707">
        <w:trPr>
          <w:jc w:val="center"/>
        </w:trPr>
        <w:tc>
          <w:tcPr>
            <w:tcW w:w="1588" w:type="dxa"/>
            <w:vAlign w:val="center"/>
          </w:tcPr>
          <w:p w:rsidR="00413707" w:rsidRDefault="00532CED">
            <w:pPr>
              <w:jc w:val="center"/>
            </w:pPr>
            <w:r>
              <w:rPr>
                <w:color w:val="000000"/>
                <w:sz w:val="18"/>
                <w:szCs w:val="18"/>
              </w:rPr>
              <w:t>应付管理人报酬</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169,411.68</w:t>
            </w:r>
          </w:p>
        </w:tc>
        <w:tc>
          <w:tcPr>
            <w:tcW w:w="1301" w:type="dxa"/>
            <w:vAlign w:val="center"/>
          </w:tcPr>
          <w:p w:rsidR="00413707" w:rsidRDefault="00532CED">
            <w:pPr>
              <w:jc w:val="right"/>
            </w:pPr>
            <w:r>
              <w:rPr>
                <w:color w:val="000000"/>
                <w:sz w:val="18"/>
                <w:szCs w:val="18"/>
              </w:rPr>
              <w:t>169,411.68</w:t>
            </w:r>
          </w:p>
        </w:tc>
      </w:tr>
      <w:tr w:rsidR="00413707">
        <w:trPr>
          <w:jc w:val="center"/>
        </w:trPr>
        <w:tc>
          <w:tcPr>
            <w:tcW w:w="1588" w:type="dxa"/>
            <w:vAlign w:val="center"/>
          </w:tcPr>
          <w:p w:rsidR="00413707" w:rsidRDefault="00532CED">
            <w:pPr>
              <w:jc w:val="center"/>
            </w:pPr>
            <w:r>
              <w:rPr>
                <w:color w:val="000000"/>
                <w:sz w:val="18"/>
                <w:szCs w:val="18"/>
              </w:rPr>
              <w:t>应付托管费</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28,235.29</w:t>
            </w:r>
          </w:p>
        </w:tc>
        <w:tc>
          <w:tcPr>
            <w:tcW w:w="1301" w:type="dxa"/>
            <w:vAlign w:val="center"/>
          </w:tcPr>
          <w:p w:rsidR="00413707" w:rsidRDefault="00532CED">
            <w:pPr>
              <w:jc w:val="right"/>
            </w:pPr>
            <w:r>
              <w:rPr>
                <w:color w:val="000000"/>
                <w:sz w:val="18"/>
                <w:szCs w:val="18"/>
              </w:rPr>
              <w:t>28,235.29</w:t>
            </w:r>
          </w:p>
        </w:tc>
      </w:tr>
      <w:tr w:rsidR="00413707">
        <w:trPr>
          <w:jc w:val="center"/>
        </w:trPr>
        <w:tc>
          <w:tcPr>
            <w:tcW w:w="1588" w:type="dxa"/>
            <w:vAlign w:val="center"/>
          </w:tcPr>
          <w:p w:rsidR="00413707" w:rsidRDefault="00532CED">
            <w:pPr>
              <w:jc w:val="center"/>
            </w:pPr>
            <w:r>
              <w:rPr>
                <w:color w:val="000000"/>
                <w:sz w:val="18"/>
                <w:szCs w:val="18"/>
              </w:rPr>
              <w:t>应付交易费用</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245,750.02</w:t>
            </w:r>
          </w:p>
        </w:tc>
        <w:tc>
          <w:tcPr>
            <w:tcW w:w="1301" w:type="dxa"/>
            <w:vAlign w:val="center"/>
          </w:tcPr>
          <w:p w:rsidR="00413707" w:rsidRDefault="00532CED">
            <w:pPr>
              <w:jc w:val="right"/>
            </w:pPr>
            <w:r>
              <w:rPr>
                <w:color w:val="000000"/>
                <w:sz w:val="18"/>
                <w:szCs w:val="18"/>
              </w:rPr>
              <w:t>245,750.02</w:t>
            </w:r>
          </w:p>
        </w:tc>
      </w:tr>
      <w:tr w:rsidR="00413707">
        <w:trPr>
          <w:jc w:val="center"/>
        </w:trPr>
        <w:tc>
          <w:tcPr>
            <w:tcW w:w="1588" w:type="dxa"/>
            <w:vAlign w:val="center"/>
          </w:tcPr>
          <w:p w:rsidR="00413707" w:rsidRDefault="00532CED">
            <w:pPr>
              <w:jc w:val="center"/>
            </w:pPr>
            <w:r>
              <w:rPr>
                <w:color w:val="000000"/>
                <w:sz w:val="18"/>
                <w:szCs w:val="18"/>
              </w:rPr>
              <w:t>其他负债</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129,574.49</w:t>
            </w:r>
          </w:p>
        </w:tc>
        <w:tc>
          <w:tcPr>
            <w:tcW w:w="1301" w:type="dxa"/>
            <w:vAlign w:val="center"/>
          </w:tcPr>
          <w:p w:rsidR="00413707" w:rsidRDefault="00532CED">
            <w:pPr>
              <w:jc w:val="right"/>
            </w:pPr>
            <w:r>
              <w:rPr>
                <w:color w:val="000000"/>
                <w:sz w:val="18"/>
                <w:szCs w:val="18"/>
              </w:rPr>
              <w:t>129,574.49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5,242,892.11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5,242,892.11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16,805,186.01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112,087,018.28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128,892,204.29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413707">
        <w:trPr>
          <w:jc w:val="center"/>
        </w:trPr>
        <w:tc>
          <w:tcPr>
            <w:tcW w:w="1588" w:type="dxa"/>
            <w:vAlign w:val="center"/>
          </w:tcPr>
          <w:p w:rsidR="00413707" w:rsidRDefault="00532CED">
            <w:pPr>
              <w:jc w:val="center"/>
            </w:pPr>
            <w:r>
              <w:rPr>
                <w:color w:val="000000"/>
                <w:sz w:val="18"/>
                <w:szCs w:val="18"/>
              </w:rPr>
              <w:t>银行存款</w:t>
            </w:r>
          </w:p>
        </w:tc>
        <w:tc>
          <w:tcPr>
            <w:tcW w:w="1701" w:type="dxa"/>
            <w:vAlign w:val="center"/>
          </w:tcPr>
          <w:p w:rsidR="00413707" w:rsidRDefault="00532CED">
            <w:pPr>
              <w:jc w:val="right"/>
            </w:pPr>
            <w:r>
              <w:rPr>
                <w:color w:val="000000"/>
                <w:sz w:val="18"/>
                <w:szCs w:val="18"/>
              </w:rPr>
              <w:t>40,417,274.78</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301" w:type="dxa"/>
            <w:vAlign w:val="center"/>
          </w:tcPr>
          <w:p w:rsidR="00413707" w:rsidRDefault="00532CED">
            <w:pPr>
              <w:jc w:val="right"/>
            </w:pPr>
            <w:r>
              <w:rPr>
                <w:color w:val="000000"/>
                <w:sz w:val="18"/>
                <w:szCs w:val="18"/>
              </w:rPr>
              <w:t>40,417,274.78</w:t>
            </w:r>
          </w:p>
        </w:tc>
      </w:tr>
      <w:tr w:rsidR="00413707">
        <w:trPr>
          <w:jc w:val="center"/>
        </w:trPr>
        <w:tc>
          <w:tcPr>
            <w:tcW w:w="1588" w:type="dxa"/>
            <w:vAlign w:val="center"/>
          </w:tcPr>
          <w:p w:rsidR="00413707" w:rsidRDefault="00532CED">
            <w:pPr>
              <w:jc w:val="center"/>
            </w:pPr>
            <w:r>
              <w:rPr>
                <w:color w:val="000000"/>
                <w:sz w:val="18"/>
                <w:szCs w:val="18"/>
              </w:rPr>
              <w:t>结算备付金</w:t>
            </w:r>
          </w:p>
        </w:tc>
        <w:tc>
          <w:tcPr>
            <w:tcW w:w="1701" w:type="dxa"/>
            <w:vAlign w:val="center"/>
          </w:tcPr>
          <w:p w:rsidR="00413707" w:rsidRDefault="00532CED">
            <w:pPr>
              <w:jc w:val="right"/>
            </w:pPr>
            <w:r>
              <w:rPr>
                <w:color w:val="000000"/>
                <w:sz w:val="18"/>
                <w:szCs w:val="18"/>
              </w:rPr>
              <w:t>1,180,492.97</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301" w:type="dxa"/>
            <w:vAlign w:val="center"/>
          </w:tcPr>
          <w:p w:rsidR="00413707" w:rsidRDefault="00532CED">
            <w:pPr>
              <w:jc w:val="right"/>
            </w:pPr>
            <w:r>
              <w:rPr>
                <w:color w:val="000000"/>
                <w:sz w:val="18"/>
                <w:szCs w:val="18"/>
              </w:rPr>
              <w:t>1,180,492.97</w:t>
            </w:r>
          </w:p>
        </w:tc>
      </w:tr>
      <w:tr w:rsidR="00413707">
        <w:trPr>
          <w:jc w:val="center"/>
        </w:trPr>
        <w:tc>
          <w:tcPr>
            <w:tcW w:w="1588" w:type="dxa"/>
            <w:vAlign w:val="center"/>
          </w:tcPr>
          <w:p w:rsidR="00413707" w:rsidRDefault="00532CED">
            <w:pPr>
              <w:jc w:val="center"/>
            </w:pPr>
            <w:r>
              <w:rPr>
                <w:color w:val="000000"/>
                <w:sz w:val="18"/>
                <w:szCs w:val="18"/>
              </w:rPr>
              <w:t>存出保证金</w:t>
            </w:r>
          </w:p>
        </w:tc>
        <w:tc>
          <w:tcPr>
            <w:tcW w:w="1701" w:type="dxa"/>
            <w:vAlign w:val="center"/>
          </w:tcPr>
          <w:p w:rsidR="00413707" w:rsidRDefault="00532CED">
            <w:pPr>
              <w:jc w:val="right"/>
            </w:pPr>
            <w:r>
              <w:rPr>
                <w:color w:val="000000"/>
                <w:sz w:val="18"/>
                <w:szCs w:val="18"/>
              </w:rPr>
              <w:t>221,502.02</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301" w:type="dxa"/>
            <w:vAlign w:val="center"/>
          </w:tcPr>
          <w:p w:rsidR="00413707" w:rsidRDefault="00532CED">
            <w:pPr>
              <w:jc w:val="right"/>
            </w:pPr>
            <w:r>
              <w:rPr>
                <w:color w:val="000000"/>
                <w:sz w:val="18"/>
                <w:szCs w:val="18"/>
              </w:rPr>
              <w:t>221,502.02</w:t>
            </w:r>
          </w:p>
        </w:tc>
      </w:tr>
      <w:tr w:rsidR="00413707">
        <w:trPr>
          <w:jc w:val="center"/>
        </w:trPr>
        <w:tc>
          <w:tcPr>
            <w:tcW w:w="1588" w:type="dxa"/>
            <w:vAlign w:val="center"/>
          </w:tcPr>
          <w:p w:rsidR="00413707" w:rsidRDefault="00532CED">
            <w:pPr>
              <w:jc w:val="center"/>
            </w:pPr>
            <w:r>
              <w:rPr>
                <w:color w:val="000000"/>
                <w:sz w:val="18"/>
                <w:szCs w:val="18"/>
              </w:rPr>
              <w:t>交易性金融资产</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292,301,025.71</w:t>
            </w:r>
          </w:p>
        </w:tc>
        <w:tc>
          <w:tcPr>
            <w:tcW w:w="1301" w:type="dxa"/>
            <w:vAlign w:val="center"/>
          </w:tcPr>
          <w:p w:rsidR="00413707" w:rsidRDefault="00532CED">
            <w:pPr>
              <w:jc w:val="right"/>
            </w:pPr>
            <w:r>
              <w:rPr>
                <w:color w:val="000000"/>
                <w:sz w:val="18"/>
                <w:szCs w:val="18"/>
              </w:rPr>
              <w:t>292,301,025.71</w:t>
            </w:r>
          </w:p>
        </w:tc>
      </w:tr>
      <w:tr w:rsidR="00413707">
        <w:trPr>
          <w:jc w:val="center"/>
        </w:trPr>
        <w:tc>
          <w:tcPr>
            <w:tcW w:w="1588" w:type="dxa"/>
            <w:vAlign w:val="center"/>
          </w:tcPr>
          <w:p w:rsidR="00413707" w:rsidRDefault="00532CED">
            <w:pPr>
              <w:jc w:val="center"/>
            </w:pPr>
            <w:r>
              <w:rPr>
                <w:color w:val="000000"/>
                <w:sz w:val="18"/>
                <w:szCs w:val="18"/>
              </w:rPr>
              <w:t>应收证券清算款</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4,709,082.92</w:t>
            </w:r>
          </w:p>
        </w:tc>
        <w:tc>
          <w:tcPr>
            <w:tcW w:w="1301" w:type="dxa"/>
            <w:vAlign w:val="center"/>
          </w:tcPr>
          <w:p w:rsidR="00413707" w:rsidRDefault="00532CED">
            <w:pPr>
              <w:jc w:val="right"/>
            </w:pPr>
            <w:r>
              <w:rPr>
                <w:color w:val="000000"/>
                <w:sz w:val="18"/>
                <w:szCs w:val="18"/>
              </w:rPr>
              <w:t>4,709,082.92</w:t>
            </w:r>
          </w:p>
        </w:tc>
      </w:tr>
      <w:tr w:rsidR="00413707">
        <w:trPr>
          <w:jc w:val="center"/>
        </w:trPr>
        <w:tc>
          <w:tcPr>
            <w:tcW w:w="1588" w:type="dxa"/>
            <w:vAlign w:val="center"/>
          </w:tcPr>
          <w:p w:rsidR="00413707" w:rsidRDefault="00532CED">
            <w:pPr>
              <w:jc w:val="center"/>
            </w:pPr>
            <w:r>
              <w:rPr>
                <w:color w:val="000000"/>
                <w:sz w:val="18"/>
                <w:szCs w:val="18"/>
              </w:rPr>
              <w:t>应收利息</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13,171.34</w:t>
            </w:r>
          </w:p>
        </w:tc>
        <w:tc>
          <w:tcPr>
            <w:tcW w:w="1301" w:type="dxa"/>
            <w:vAlign w:val="center"/>
          </w:tcPr>
          <w:p w:rsidR="00413707" w:rsidRDefault="00532CED">
            <w:pPr>
              <w:jc w:val="right"/>
            </w:pPr>
            <w:r>
              <w:rPr>
                <w:color w:val="000000"/>
                <w:sz w:val="18"/>
                <w:szCs w:val="18"/>
              </w:rPr>
              <w:t>13,171.34</w:t>
            </w:r>
          </w:p>
        </w:tc>
      </w:tr>
      <w:tr w:rsidR="00413707">
        <w:trPr>
          <w:jc w:val="center"/>
        </w:trPr>
        <w:tc>
          <w:tcPr>
            <w:tcW w:w="1588" w:type="dxa"/>
            <w:vAlign w:val="center"/>
          </w:tcPr>
          <w:p w:rsidR="00413707" w:rsidRDefault="00532CED">
            <w:pPr>
              <w:jc w:val="center"/>
            </w:pPr>
            <w:r>
              <w:rPr>
                <w:color w:val="000000"/>
                <w:sz w:val="18"/>
                <w:szCs w:val="18"/>
              </w:rPr>
              <w:t>应收申购款</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149,208.17</w:t>
            </w:r>
          </w:p>
        </w:tc>
        <w:tc>
          <w:tcPr>
            <w:tcW w:w="1301" w:type="dxa"/>
            <w:vAlign w:val="center"/>
          </w:tcPr>
          <w:p w:rsidR="00413707" w:rsidRDefault="00532CED">
            <w:pPr>
              <w:jc w:val="right"/>
            </w:pPr>
            <w:r>
              <w:rPr>
                <w:color w:val="000000"/>
                <w:sz w:val="18"/>
                <w:szCs w:val="18"/>
              </w:rPr>
              <w:t>149,208.17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41,819,269.77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297,172,488.14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338,991,757.91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413707">
        <w:trPr>
          <w:jc w:val="center"/>
        </w:trPr>
        <w:tc>
          <w:tcPr>
            <w:tcW w:w="1588" w:type="dxa"/>
            <w:vAlign w:val="center"/>
          </w:tcPr>
          <w:p w:rsidR="00413707" w:rsidRDefault="00532CED">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5,737,267.99</w:t>
            </w:r>
          </w:p>
        </w:tc>
        <w:tc>
          <w:tcPr>
            <w:tcW w:w="1301" w:type="dxa"/>
            <w:vAlign w:val="center"/>
          </w:tcPr>
          <w:p w:rsidR="00413707" w:rsidRDefault="00532CED">
            <w:pPr>
              <w:jc w:val="right"/>
            </w:pPr>
            <w:r>
              <w:rPr>
                <w:color w:val="000000"/>
                <w:sz w:val="18"/>
                <w:szCs w:val="18"/>
              </w:rPr>
              <w:t>5,737,267.99</w:t>
            </w:r>
          </w:p>
        </w:tc>
      </w:tr>
      <w:tr w:rsidR="00413707">
        <w:trPr>
          <w:jc w:val="center"/>
        </w:trPr>
        <w:tc>
          <w:tcPr>
            <w:tcW w:w="1588" w:type="dxa"/>
            <w:vAlign w:val="center"/>
          </w:tcPr>
          <w:p w:rsidR="00413707" w:rsidRDefault="00532CED">
            <w:pPr>
              <w:jc w:val="center"/>
            </w:pPr>
            <w:r>
              <w:rPr>
                <w:color w:val="000000"/>
                <w:sz w:val="18"/>
                <w:szCs w:val="18"/>
              </w:rPr>
              <w:t>应付管理人报酬</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507,252.83</w:t>
            </w:r>
          </w:p>
        </w:tc>
        <w:tc>
          <w:tcPr>
            <w:tcW w:w="1301" w:type="dxa"/>
            <w:vAlign w:val="center"/>
          </w:tcPr>
          <w:p w:rsidR="00413707" w:rsidRDefault="00532CED">
            <w:pPr>
              <w:jc w:val="right"/>
            </w:pPr>
            <w:r>
              <w:rPr>
                <w:color w:val="000000"/>
                <w:sz w:val="18"/>
                <w:szCs w:val="18"/>
              </w:rPr>
              <w:t>507,252.83</w:t>
            </w:r>
          </w:p>
        </w:tc>
      </w:tr>
      <w:tr w:rsidR="00413707">
        <w:trPr>
          <w:jc w:val="center"/>
        </w:trPr>
        <w:tc>
          <w:tcPr>
            <w:tcW w:w="1588" w:type="dxa"/>
            <w:vAlign w:val="center"/>
          </w:tcPr>
          <w:p w:rsidR="00413707" w:rsidRDefault="00532CED">
            <w:pPr>
              <w:jc w:val="center"/>
            </w:pPr>
            <w:r>
              <w:rPr>
                <w:color w:val="000000"/>
                <w:sz w:val="18"/>
                <w:szCs w:val="18"/>
              </w:rPr>
              <w:t>应付托管费</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84,542.14</w:t>
            </w:r>
          </w:p>
        </w:tc>
        <w:tc>
          <w:tcPr>
            <w:tcW w:w="1301" w:type="dxa"/>
            <w:vAlign w:val="center"/>
          </w:tcPr>
          <w:p w:rsidR="00413707" w:rsidRDefault="00532CED">
            <w:pPr>
              <w:jc w:val="right"/>
            </w:pPr>
            <w:r>
              <w:rPr>
                <w:color w:val="000000"/>
                <w:sz w:val="18"/>
                <w:szCs w:val="18"/>
              </w:rPr>
              <w:t>84,542.14</w:t>
            </w:r>
          </w:p>
        </w:tc>
      </w:tr>
      <w:tr w:rsidR="00413707">
        <w:trPr>
          <w:jc w:val="center"/>
        </w:trPr>
        <w:tc>
          <w:tcPr>
            <w:tcW w:w="1588" w:type="dxa"/>
            <w:vAlign w:val="center"/>
          </w:tcPr>
          <w:p w:rsidR="00413707" w:rsidRDefault="00532CED">
            <w:pPr>
              <w:jc w:val="center"/>
            </w:pPr>
            <w:r>
              <w:rPr>
                <w:color w:val="000000"/>
                <w:sz w:val="18"/>
                <w:szCs w:val="18"/>
              </w:rPr>
              <w:t>应付交易费用</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949,247.26</w:t>
            </w:r>
          </w:p>
        </w:tc>
        <w:tc>
          <w:tcPr>
            <w:tcW w:w="1301" w:type="dxa"/>
            <w:vAlign w:val="center"/>
          </w:tcPr>
          <w:p w:rsidR="00413707" w:rsidRDefault="00532CED">
            <w:pPr>
              <w:jc w:val="right"/>
            </w:pPr>
            <w:r>
              <w:rPr>
                <w:color w:val="000000"/>
                <w:sz w:val="18"/>
                <w:szCs w:val="18"/>
              </w:rPr>
              <w:t>949,247.26</w:t>
            </w:r>
          </w:p>
        </w:tc>
      </w:tr>
      <w:tr w:rsidR="00413707">
        <w:trPr>
          <w:jc w:val="center"/>
        </w:trPr>
        <w:tc>
          <w:tcPr>
            <w:tcW w:w="1588" w:type="dxa"/>
            <w:vAlign w:val="center"/>
          </w:tcPr>
          <w:p w:rsidR="00413707" w:rsidRDefault="00532CED">
            <w:pPr>
              <w:jc w:val="center"/>
            </w:pPr>
            <w:r>
              <w:rPr>
                <w:color w:val="000000"/>
                <w:sz w:val="18"/>
                <w:szCs w:val="18"/>
              </w:rPr>
              <w:t>其他负债</w:t>
            </w:r>
          </w:p>
        </w:tc>
        <w:tc>
          <w:tcPr>
            <w:tcW w:w="1701" w:type="dxa"/>
            <w:vAlign w:val="center"/>
          </w:tcPr>
          <w:p w:rsidR="00413707" w:rsidRDefault="00532CED">
            <w:pPr>
              <w:jc w:val="right"/>
            </w:pPr>
            <w:r>
              <w:rPr>
                <w:color w:val="000000"/>
                <w:sz w:val="18"/>
                <w:szCs w:val="18"/>
              </w:rPr>
              <w:t>-</w:t>
            </w:r>
          </w:p>
        </w:tc>
        <w:tc>
          <w:tcPr>
            <w:tcW w:w="1701"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w:t>
            </w:r>
          </w:p>
        </w:tc>
        <w:tc>
          <w:tcPr>
            <w:tcW w:w="1559" w:type="dxa"/>
            <w:vAlign w:val="center"/>
          </w:tcPr>
          <w:p w:rsidR="00413707" w:rsidRDefault="00532CED">
            <w:pPr>
              <w:jc w:val="right"/>
            </w:pPr>
            <w:r>
              <w:rPr>
                <w:color w:val="000000"/>
                <w:sz w:val="18"/>
                <w:szCs w:val="18"/>
              </w:rPr>
              <w:t>241,813.39</w:t>
            </w:r>
          </w:p>
        </w:tc>
        <w:tc>
          <w:tcPr>
            <w:tcW w:w="1301" w:type="dxa"/>
            <w:vAlign w:val="center"/>
          </w:tcPr>
          <w:p w:rsidR="00413707" w:rsidRDefault="00532CED">
            <w:pPr>
              <w:jc w:val="right"/>
            </w:pPr>
            <w:r>
              <w:rPr>
                <w:color w:val="000000"/>
                <w:sz w:val="18"/>
                <w:szCs w:val="18"/>
              </w:rPr>
              <w:t>241,813.39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7,520,123.61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7,520,123.61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lastRenderedPageBreak/>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41,819,269.77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289,652,364.53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331,471,634.30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16721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23"/>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w:t>
      </w:r>
      <w:r w:rsidRPr="00D754A9">
        <w:rPr>
          <w:kern w:val="0"/>
          <w:sz w:val="24"/>
        </w:rPr>
        <w:t>同），因此市场利率的变动对于本基金资产净值无重大影响（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24" w:name="_Toc416721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24"/>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67212"/>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25"/>
    </w:p>
    <w:p w:rsidR="00413707" w:rsidRDefault="00532CE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13707" w:rsidRDefault="00532CE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本基金通过投资组合的分散化降低其他价格风险。股票资产占基金资产的</w:t>
      </w:r>
      <w:r w:rsidRPr="00C10D71">
        <w:rPr>
          <w:color w:val="000000"/>
          <w:sz w:val="24"/>
        </w:rPr>
        <w:t>50%-95%</w:t>
      </w:r>
      <w:r w:rsidRPr="00C10D71">
        <w:rPr>
          <w:color w:val="000000"/>
          <w:sz w:val="24"/>
        </w:rPr>
        <w:t>，其中投资于股息优化</w:t>
      </w:r>
      <w:proofErr w:type="gramStart"/>
      <w:r w:rsidRPr="00C10D71">
        <w:rPr>
          <w:color w:val="000000"/>
          <w:sz w:val="24"/>
        </w:rPr>
        <w:t>型证券</w:t>
      </w:r>
      <w:proofErr w:type="gramEnd"/>
      <w:r w:rsidRPr="00C10D71">
        <w:rPr>
          <w:color w:val="000000"/>
          <w:sz w:val="24"/>
        </w:rPr>
        <w:t>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00E171FB" w:rsidRPr="00E171FB">
        <w:rPr>
          <w:rFonts w:hint="eastAsia"/>
          <w:color w:val="000000"/>
          <w:sz w:val="24"/>
        </w:rPr>
        <w:t>，其中现金不包括结算备付金、存出保证金和应收申购款等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67213"/>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26"/>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w:t>
            </w:r>
            <w:r w:rsidRPr="00C10D71">
              <w:rPr>
                <w:rFonts w:hint="eastAsia"/>
                <w:color w:val="000000"/>
                <w:sz w:val="24"/>
              </w:rPr>
              <w:lastRenderedPageBreak/>
              <w:t>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lastRenderedPageBreak/>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w:t>
            </w:r>
            <w:r w:rsidRPr="00C10D71">
              <w:rPr>
                <w:rFonts w:hint="eastAsia"/>
                <w:color w:val="000000"/>
                <w:sz w:val="24"/>
              </w:rPr>
              <w:lastRenderedPageBreak/>
              <w:t>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117,309,178.76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91.01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292,301,025.71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88.18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117,309,178.76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91.01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292,301,025.71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88.18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167214"/>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2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13707">
        <w:tc>
          <w:tcPr>
            <w:tcW w:w="851" w:type="dxa"/>
            <w:vAlign w:val="center"/>
          </w:tcPr>
          <w:p w:rsidR="00413707" w:rsidRDefault="00532CED">
            <w:pPr>
              <w:jc w:val="left"/>
            </w:pPr>
            <w:r>
              <w:rPr>
                <w:bCs/>
                <w:color w:val="000000"/>
                <w:sz w:val="24"/>
              </w:rPr>
              <w:t>假设</w:t>
            </w:r>
          </w:p>
        </w:tc>
        <w:tc>
          <w:tcPr>
            <w:tcW w:w="8221" w:type="dxa"/>
            <w:gridSpan w:val="3"/>
            <w:vAlign w:val="center"/>
          </w:tcPr>
          <w:p w:rsidR="00413707" w:rsidRDefault="00532CED">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413707">
        <w:tc>
          <w:tcPr>
            <w:tcW w:w="851" w:type="dxa"/>
            <w:vMerge/>
          </w:tcPr>
          <w:p w:rsidR="00413707" w:rsidRDefault="00413707"/>
        </w:tc>
        <w:tc>
          <w:tcPr>
            <w:tcW w:w="3969" w:type="dxa"/>
            <w:vAlign w:val="center"/>
          </w:tcPr>
          <w:p w:rsidR="00413707" w:rsidRDefault="00532CED">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413707" w:rsidRDefault="00532CED">
            <w:pPr>
              <w:jc w:val="right"/>
            </w:pPr>
            <w:r>
              <w:rPr>
                <w:color w:val="000000"/>
                <w:sz w:val="24"/>
              </w:rPr>
              <w:t>增加约</w:t>
            </w:r>
            <w:r>
              <w:rPr>
                <w:color w:val="000000"/>
                <w:sz w:val="24"/>
              </w:rPr>
              <w:t>1,109</w:t>
            </w:r>
          </w:p>
        </w:tc>
        <w:tc>
          <w:tcPr>
            <w:tcW w:w="2126" w:type="dxa"/>
            <w:vAlign w:val="center"/>
          </w:tcPr>
          <w:p w:rsidR="00413707" w:rsidRDefault="004C186B">
            <w:pPr>
              <w:jc w:val="right"/>
            </w:pPr>
            <w:r>
              <w:rPr>
                <w:rFonts w:hint="eastAsia"/>
                <w:color w:val="000000"/>
                <w:sz w:val="24"/>
              </w:rPr>
              <w:t>无经验数据</w:t>
            </w:r>
          </w:p>
        </w:tc>
      </w:tr>
      <w:tr w:rsidR="00413707">
        <w:tc>
          <w:tcPr>
            <w:tcW w:w="851" w:type="dxa"/>
            <w:vMerge/>
          </w:tcPr>
          <w:p w:rsidR="00413707" w:rsidRDefault="00413707"/>
        </w:tc>
        <w:tc>
          <w:tcPr>
            <w:tcW w:w="3969" w:type="dxa"/>
            <w:vAlign w:val="center"/>
          </w:tcPr>
          <w:p w:rsidR="00413707" w:rsidRDefault="00532CED">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413707" w:rsidRDefault="00532CED">
            <w:pPr>
              <w:jc w:val="right"/>
            </w:pPr>
            <w:r>
              <w:rPr>
                <w:color w:val="000000"/>
                <w:sz w:val="24"/>
              </w:rPr>
              <w:t>减少约</w:t>
            </w:r>
            <w:r>
              <w:rPr>
                <w:color w:val="000000"/>
                <w:sz w:val="24"/>
              </w:rPr>
              <w:t>1,109</w:t>
            </w:r>
          </w:p>
        </w:tc>
        <w:tc>
          <w:tcPr>
            <w:tcW w:w="2126" w:type="dxa"/>
            <w:vAlign w:val="center"/>
          </w:tcPr>
          <w:p w:rsidR="00413707" w:rsidRDefault="004C186B">
            <w:pPr>
              <w:jc w:val="right"/>
            </w:pPr>
            <w:r>
              <w:rPr>
                <w:color w:val="000000"/>
                <w:sz w:val="24"/>
              </w:rPr>
              <w:t>无经验数据</w:t>
            </w:r>
          </w:p>
        </w:tc>
      </w:tr>
    </w:tbl>
    <w:p w:rsidR="004C186B" w:rsidRDefault="004C186B" w:rsidP="004C186B">
      <w:pPr>
        <w:spacing w:before="29" w:line="288" w:lineRule="auto"/>
        <w:rPr>
          <w:color w:val="000000"/>
          <w:sz w:val="24"/>
        </w:rPr>
      </w:pPr>
      <w:r>
        <w:rPr>
          <w:color w:val="000000"/>
          <w:sz w:val="24"/>
        </w:rPr>
        <w:t>注</w:t>
      </w:r>
      <w:r>
        <w:rPr>
          <w:rFonts w:hint="eastAsia"/>
          <w:color w:val="000000"/>
          <w:sz w:val="24"/>
        </w:rPr>
        <w:t>：</w:t>
      </w:r>
      <w:r w:rsidRPr="004C186B">
        <w:rPr>
          <w:rFonts w:hint="eastAsia"/>
          <w:color w:val="000000"/>
          <w:sz w:val="24"/>
        </w:rPr>
        <w:t>于</w:t>
      </w:r>
      <w:r w:rsidRPr="004C186B">
        <w:rPr>
          <w:rFonts w:hint="eastAsia"/>
          <w:color w:val="000000"/>
          <w:sz w:val="24"/>
        </w:rPr>
        <w:t>201</w:t>
      </w:r>
      <w:r>
        <w:rPr>
          <w:color w:val="000000"/>
          <w:sz w:val="24"/>
        </w:rPr>
        <w:t>7</w:t>
      </w:r>
      <w:r w:rsidRPr="004C186B">
        <w:rPr>
          <w:rFonts w:hint="eastAsia"/>
          <w:color w:val="000000"/>
          <w:sz w:val="24"/>
        </w:rPr>
        <w:t>年</w:t>
      </w:r>
      <w:r>
        <w:rPr>
          <w:color w:val="000000"/>
          <w:sz w:val="24"/>
        </w:rPr>
        <w:t>12</w:t>
      </w:r>
      <w:r w:rsidRPr="004C186B">
        <w:rPr>
          <w:rFonts w:hint="eastAsia"/>
          <w:color w:val="000000"/>
          <w:sz w:val="24"/>
        </w:rPr>
        <w:t>月</w:t>
      </w:r>
      <w:r w:rsidRPr="004C186B">
        <w:rPr>
          <w:rFonts w:hint="eastAsia"/>
          <w:color w:val="000000"/>
          <w:sz w:val="24"/>
        </w:rPr>
        <w:t>3</w:t>
      </w:r>
      <w:r>
        <w:rPr>
          <w:color w:val="000000"/>
          <w:sz w:val="24"/>
        </w:rPr>
        <w:t>1</w:t>
      </w:r>
      <w:r w:rsidRPr="004C186B">
        <w:rPr>
          <w:rFonts w:hint="eastAsia"/>
          <w:color w:val="000000"/>
          <w:sz w:val="24"/>
        </w:rPr>
        <w:t>日，由于本基金运行期间不足一年，尚不存在足够的经验数据，因此无法对本基金资产净值对于其他价格风险的敏感性作定量分析。</w:t>
      </w:r>
    </w:p>
    <w:p w:rsidR="00D623B5" w:rsidRDefault="00D623B5" w:rsidP="004C186B">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16721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28"/>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(1)</w:t>
      </w:r>
      <w:r w:rsidRPr="006E2EEA">
        <w:rPr>
          <w:rFonts w:hint="eastAsia"/>
          <w:color w:val="000000"/>
          <w:sz w:val="24"/>
        </w:rPr>
        <w:t>公允价值</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 xml:space="preserve">(a)  </w:t>
      </w:r>
      <w:r w:rsidRPr="006E2EEA">
        <w:rPr>
          <w:rFonts w:hint="eastAsia"/>
          <w:color w:val="000000"/>
          <w:sz w:val="24"/>
        </w:rPr>
        <w:t>金融工具公允价值计量的方法</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公允价值计量结果所属的层次，由对公允价值计量整体而言具有重要意义的输入值所属的最低层次决定：</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第一层次：相同资产或负债在活跃市场上未经调整的报价。</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第二层次：除第一层次输入</w:t>
      </w:r>
      <w:proofErr w:type="gramStart"/>
      <w:r w:rsidRPr="006E2EEA">
        <w:rPr>
          <w:rFonts w:hint="eastAsia"/>
          <w:color w:val="000000"/>
          <w:sz w:val="24"/>
        </w:rPr>
        <w:t>值外相关</w:t>
      </w:r>
      <w:proofErr w:type="gramEnd"/>
      <w:r w:rsidRPr="006E2EEA">
        <w:rPr>
          <w:rFonts w:hint="eastAsia"/>
          <w:color w:val="000000"/>
          <w:sz w:val="24"/>
        </w:rPr>
        <w:t>资产或负债直接或</w:t>
      </w:r>
      <w:proofErr w:type="gramStart"/>
      <w:r w:rsidRPr="006E2EEA">
        <w:rPr>
          <w:rFonts w:hint="eastAsia"/>
          <w:color w:val="000000"/>
          <w:sz w:val="24"/>
        </w:rPr>
        <w:t>间接可</w:t>
      </w:r>
      <w:proofErr w:type="gramEnd"/>
      <w:r w:rsidRPr="006E2EEA">
        <w:rPr>
          <w:rFonts w:hint="eastAsia"/>
          <w:color w:val="000000"/>
          <w:sz w:val="24"/>
        </w:rPr>
        <w:t>观察的输入值。</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第三层次：相关资产或负债的不可观察输入值。</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 xml:space="preserve">(b)  </w:t>
      </w:r>
      <w:r w:rsidRPr="006E2EEA">
        <w:rPr>
          <w:rFonts w:hint="eastAsia"/>
          <w:color w:val="000000"/>
          <w:sz w:val="24"/>
        </w:rPr>
        <w:t>持续的以公允价值计量的金融工具</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 xml:space="preserve">(i)  </w:t>
      </w:r>
      <w:r w:rsidRPr="006E2EEA">
        <w:rPr>
          <w:rFonts w:hint="eastAsia"/>
          <w:color w:val="000000"/>
          <w:sz w:val="24"/>
        </w:rPr>
        <w:t>各层次金融工具公允价值</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于</w:t>
      </w:r>
      <w:r w:rsidRPr="006E2EEA">
        <w:rPr>
          <w:rFonts w:hint="eastAsia"/>
          <w:color w:val="000000"/>
          <w:sz w:val="24"/>
        </w:rPr>
        <w:t>2018</w:t>
      </w:r>
      <w:r w:rsidRPr="006E2EEA">
        <w:rPr>
          <w:rFonts w:hint="eastAsia"/>
          <w:color w:val="000000"/>
          <w:sz w:val="24"/>
        </w:rPr>
        <w:t>年</w:t>
      </w:r>
      <w:r w:rsidRPr="006E2EEA">
        <w:rPr>
          <w:rFonts w:hint="eastAsia"/>
          <w:color w:val="000000"/>
          <w:sz w:val="24"/>
        </w:rPr>
        <w:t>12</w:t>
      </w:r>
      <w:r w:rsidRPr="006E2EEA">
        <w:rPr>
          <w:rFonts w:hint="eastAsia"/>
          <w:color w:val="000000"/>
          <w:sz w:val="24"/>
        </w:rPr>
        <w:t>月</w:t>
      </w:r>
      <w:r w:rsidRPr="006E2EEA">
        <w:rPr>
          <w:rFonts w:hint="eastAsia"/>
          <w:color w:val="000000"/>
          <w:sz w:val="24"/>
        </w:rPr>
        <w:t>31</w:t>
      </w:r>
      <w:r w:rsidRPr="006E2EEA">
        <w:rPr>
          <w:rFonts w:hint="eastAsia"/>
          <w:color w:val="000000"/>
          <w:sz w:val="24"/>
        </w:rPr>
        <w:t>日，本基金持有的以公允价值计量且其变动计入当期损益的金融资产中属于第一层次的余额为</w:t>
      </w:r>
      <w:r w:rsidRPr="006E2EEA">
        <w:rPr>
          <w:rFonts w:hint="eastAsia"/>
          <w:color w:val="000000"/>
          <w:sz w:val="24"/>
        </w:rPr>
        <w:t>117,259,032.96</w:t>
      </w:r>
      <w:r w:rsidRPr="006E2EEA">
        <w:rPr>
          <w:rFonts w:hint="eastAsia"/>
          <w:color w:val="000000"/>
          <w:sz w:val="24"/>
        </w:rPr>
        <w:t>元，属于第二层次的余额为</w:t>
      </w:r>
      <w:r w:rsidRPr="006E2EEA">
        <w:rPr>
          <w:rFonts w:hint="eastAsia"/>
          <w:color w:val="000000"/>
          <w:sz w:val="24"/>
        </w:rPr>
        <w:t>50,145.80</w:t>
      </w:r>
      <w:r w:rsidRPr="006E2EEA">
        <w:rPr>
          <w:rFonts w:hint="eastAsia"/>
          <w:color w:val="000000"/>
          <w:sz w:val="24"/>
        </w:rPr>
        <w:t>元，</w:t>
      </w:r>
      <w:proofErr w:type="gramStart"/>
      <w:r w:rsidRPr="006E2EEA">
        <w:rPr>
          <w:rFonts w:hint="eastAsia"/>
          <w:color w:val="000000"/>
          <w:sz w:val="24"/>
        </w:rPr>
        <w:lastRenderedPageBreak/>
        <w:t>无属于</w:t>
      </w:r>
      <w:proofErr w:type="gramEnd"/>
      <w:r w:rsidRPr="006E2EEA">
        <w:rPr>
          <w:rFonts w:hint="eastAsia"/>
          <w:color w:val="000000"/>
          <w:sz w:val="24"/>
        </w:rPr>
        <w:t>第三层次的余额</w:t>
      </w:r>
      <w:r w:rsidRPr="006E2EEA">
        <w:rPr>
          <w:rFonts w:hint="eastAsia"/>
          <w:color w:val="000000"/>
          <w:sz w:val="24"/>
        </w:rPr>
        <w:t>(2017</w:t>
      </w:r>
      <w:r w:rsidRPr="006E2EEA">
        <w:rPr>
          <w:rFonts w:hint="eastAsia"/>
          <w:color w:val="000000"/>
          <w:sz w:val="24"/>
        </w:rPr>
        <w:t>年</w:t>
      </w:r>
      <w:r w:rsidRPr="006E2EEA">
        <w:rPr>
          <w:rFonts w:hint="eastAsia"/>
          <w:color w:val="000000"/>
          <w:sz w:val="24"/>
        </w:rPr>
        <w:t>12</w:t>
      </w:r>
      <w:r w:rsidRPr="006E2EEA">
        <w:rPr>
          <w:rFonts w:hint="eastAsia"/>
          <w:color w:val="000000"/>
          <w:sz w:val="24"/>
        </w:rPr>
        <w:t>月</w:t>
      </w:r>
      <w:r w:rsidRPr="006E2EEA">
        <w:rPr>
          <w:rFonts w:hint="eastAsia"/>
          <w:color w:val="000000"/>
          <w:sz w:val="24"/>
        </w:rPr>
        <w:t>31</w:t>
      </w:r>
      <w:r w:rsidRPr="006E2EEA">
        <w:rPr>
          <w:rFonts w:hint="eastAsia"/>
          <w:color w:val="000000"/>
          <w:sz w:val="24"/>
        </w:rPr>
        <w:t>日：第一层次</w:t>
      </w:r>
      <w:r w:rsidRPr="006E2EEA">
        <w:rPr>
          <w:rFonts w:hint="eastAsia"/>
          <w:color w:val="000000"/>
          <w:sz w:val="24"/>
        </w:rPr>
        <w:t>276,564,665.97</w:t>
      </w:r>
      <w:r w:rsidRPr="006E2EEA">
        <w:rPr>
          <w:rFonts w:hint="eastAsia"/>
          <w:color w:val="000000"/>
          <w:sz w:val="24"/>
        </w:rPr>
        <w:t>元，第二层次</w:t>
      </w:r>
      <w:r w:rsidRPr="006E2EEA">
        <w:rPr>
          <w:rFonts w:hint="eastAsia"/>
          <w:color w:val="000000"/>
          <w:sz w:val="24"/>
        </w:rPr>
        <w:t>15,736,359.74</w:t>
      </w:r>
      <w:r w:rsidRPr="006E2EEA">
        <w:rPr>
          <w:rFonts w:hint="eastAsia"/>
          <w:color w:val="000000"/>
          <w:sz w:val="24"/>
        </w:rPr>
        <w:t>元，无第三层次</w:t>
      </w:r>
      <w:r w:rsidRPr="006E2EEA">
        <w:rPr>
          <w:rFonts w:hint="eastAsia"/>
          <w:color w:val="000000"/>
          <w:sz w:val="24"/>
        </w:rPr>
        <w:t>)</w:t>
      </w:r>
      <w:r w:rsidRPr="006E2EEA">
        <w:rPr>
          <w:rFonts w:hint="eastAsia"/>
          <w:color w:val="000000"/>
          <w:sz w:val="24"/>
        </w:rPr>
        <w:t>。</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 xml:space="preserve">(ii)  </w:t>
      </w:r>
      <w:r w:rsidRPr="006E2EEA">
        <w:rPr>
          <w:rFonts w:hint="eastAsia"/>
          <w:color w:val="000000"/>
          <w:sz w:val="24"/>
        </w:rPr>
        <w:t>公允价值所属层次间的重大变动</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本基金以导致各层次之间转换的事项发生日为确认各层次之间转换的时点。</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对于证券交易所上市的股票和债券，若出现重大事项停牌、交易不活跃</w:t>
      </w:r>
      <w:r w:rsidRPr="006E2EEA">
        <w:rPr>
          <w:rFonts w:hint="eastAsia"/>
          <w:color w:val="000000"/>
          <w:sz w:val="24"/>
        </w:rPr>
        <w:t>(</w:t>
      </w:r>
      <w:r w:rsidRPr="006E2EEA">
        <w:rPr>
          <w:rFonts w:hint="eastAsia"/>
          <w:color w:val="000000"/>
          <w:sz w:val="24"/>
        </w:rPr>
        <w:t>包括涨跌停时的交易不活跃</w:t>
      </w:r>
      <w:r w:rsidRPr="006E2EEA">
        <w:rPr>
          <w:rFonts w:hint="eastAsia"/>
          <w:color w:val="000000"/>
          <w:sz w:val="24"/>
        </w:rPr>
        <w:t>)</w:t>
      </w:r>
      <w:r w:rsidRPr="006E2EEA">
        <w:rPr>
          <w:rFonts w:hint="eastAsia"/>
          <w:color w:val="000000"/>
          <w:sz w:val="24"/>
        </w:rPr>
        <w:t>、或属于非公开发行等情况，本基金不会于</w:t>
      </w:r>
      <w:proofErr w:type="gramStart"/>
      <w:r w:rsidRPr="006E2EEA">
        <w:rPr>
          <w:rFonts w:hint="eastAsia"/>
          <w:color w:val="000000"/>
          <w:sz w:val="24"/>
        </w:rPr>
        <w:t>停牌日</w:t>
      </w:r>
      <w:proofErr w:type="gramEnd"/>
      <w:r w:rsidRPr="006E2EEA">
        <w:rPr>
          <w:rFonts w:hint="eastAsia"/>
          <w:color w:val="000000"/>
          <w:sz w:val="24"/>
        </w:rPr>
        <w:t>至交易恢复活跃日期间、交易</w:t>
      </w:r>
      <w:proofErr w:type="gramStart"/>
      <w:r w:rsidRPr="006E2EEA">
        <w:rPr>
          <w:rFonts w:hint="eastAsia"/>
          <w:color w:val="000000"/>
          <w:sz w:val="24"/>
        </w:rPr>
        <w:t>不</w:t>
      </w:r>
      <w:proofErr w:type="gramEnd"/>
      <w:r w:rsidRPr="006E2EEA">
        <w:rPr>
          <w:rFonts w:hint="eastAsia"/>
          <w:color w:val="000000"/>
          <w:sz w:val="24"/>
        </w:rPr>
        <w:t>活跃期间及限售期间将相关股票和债券的公允价值列入第一层次；并根据估值调整中采用的不可观察输入</w:t>
      </w:r>
      <w:proofErr w:type="gramStart"/>
      <w:r w:rsidRPr="006E2EEA">
        <w:rPr>
          <w:rFonts w:hint="eastAsia"/>
          <w:color w:val="000000"/>
          <w:sz w:val="24"/>
        </w:rPr>
        <w:t>值对于</w:t>
      </w:r>
      <w:proofErr w:type="gramEnd"/>
      <w:r w:rsidRPr="006E2EEA">
        <w:rPr>
          <w:rFonts w:hint="eastAsia"/>
          <w:color w:val="000000"/>
          <w:sz w:val="24"/>
        </w:rPr>
        <w:t>公允价值的影响程度，确定相关股票和债券公允价值应属第二层次还是第三层次。</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 xml:space="preserve">(iii)  </w:t>
      </w:r>
      <w:r w:rsidRPr="006E2EEA">
        <w:rPr>
          <w:rFonts w:hint="eastAsia"/>
          <w:color w:val="000000"/>
          <w:sz w:val="24"/>
        </w:rPr>
        <w:t>第三层次公允价值余额和本期变动金额</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无。</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 xml:space="preserve">(c)  </w:t>
      </w:r>
      <w:r w:rsidRPr="006E2EEA">
        <w:rPr>
          <w:rFonts w:hint="eastAsia"/>
          <w:color w:val="000000"/>
          <w:sz w:val="24"/>
        </w:rPr>
        <w:t>非持续的以公允价值计量的金融工具</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于</w:t>
      </w:r>
      <w:r w:rsidRPr="006E2EEA">
        <w:rPr>
          <w:rFonts w:hint="eastAsia"/>
          <w:color w:val="000000"/>
          <w:sz w:val="24"/>
        </w:rPr>
        <w:t>2018</w:t>
      </w:r>
      <w:r w:rsidRPr="006E2EEA">
        <w:rPr>
          <w:rFonts w:hint="eastAsia"/>
          <w:color w:val="000000"/>
          <w:sz w:val="24"/>
        </w:rPr>
        <w:t>年</w:t>
      </w:r>
      <w:r w:rsidRPr="006E2EEA">
        <w:rPr>
          <w:rFonts w:hint="eastAsia"/>
          <w:color w:val="000000"/>
          <w:sz w:val="24"/>
        </w:rPr>
        <w:t>12</w:t>
      </w:r>
      <w:r w:rsidRPr="006E2EEA">
        <w:rPr>
          <w:rFonts w:hint="eastAsia"/>
          <w:color w:val="000000"/>
          <w:sz w:val="24"/>
        </w:rPr>
        <w:t>月</w:t>
      </w:r>
      <w:r w:rsidRPr="006E2EEA">
        <w:rPr>
          <w:rFonts w:hint="eastAsia"/>
          <w:color w:val="000000"/>
          <w:sz w:val="24"/>
        </w:rPr>
        <w:t>31</w:t>
      </w:r>
      <w:r w:rsidRPr="006E2EEA">
        <w:rPr>
          <w:rFonts w:hint="eastAsia"/>
          <w:color w:val="000000"/>
          <w:sz w:val="24"/>
        </w:rPr>
        <w:t>日，本基金未持有非持续的以公允价值计量的金融资产</w:t>
      </w:r>
      <w:r w:rsidRPr="006E2EEA">
        <w:rPr>
          <w:rFonts w:hint="eastAsia"/>
          <w:color w:val="000000"/>
          <w:sz w:val="24"/>
        </w:rPr>
        <w:t>(2017</w:t>
      </w:r>
      <w:r w:rsidRPr="006E2EEA">
        <w:rPr>
          <w:rFonts w:hint="eastAsia"/>
          <w:color w:val="000000"/>
          <w:sz w:val="24"/>
        </w:rPr>
        <w:t>年</w:t>
      </w:r>
      <w:r w:rsidRPr="006E2EEA">
        <w:rPr>
          <w:rFonts w:hint="eastAsia"/>
          <w:color w:val="000000"/>
          <w:sz w:val="24"/>
        </w:rPr>
        <w:t>12</w:t>
      </w:r>
      <w:r w:rsidRPr="006E2EEA">
        <w:rPr>
          <w:rFonts w:hint="eastAsia"/>
          <w:color w:val="000000"/>
          <w:sz w:val="24"/>
        </w:rPr>
        <w:t>月</w:t>
      </w:r>
      <w:r w:rsidRPr="006E2EEA">
        <w:rPr>
          <w:rFonts w:hint="eastAsia"/>
          <w:color w:val="000000"/>
          <w:sz w:val="24"/>
        </w:rPr>
        <w:t>31</w:t>
      </w:r>
      <w:r w:rsidRPr="006E2EEA">
        <w:rPr>
          <w:rFonts w:hint="eastAsia"/>
          <w:color w:val="000000"/>
          <w:sz w:val="24"/>
        </w:rPr>
        <w:t>日：同</w:t>
      </w:r>
      <w:r w:rsidRPr="006E2EEA">
        <w:rPr>
          <w:rFonts w:hint="eastAsia"/>
          <w:color w:val="000000"/>
          <w:sz w:val="24"/>
        </w:rPr>
        <w:t>)</w:t>
      </w:r>
      <w:r w:rsidRPr="006E2EEA">
        <w:rPr>
          <w:rFonts w:hint="eastAsia"/>
          <w:color w:val="000000"/>
          <w:sz w:val="24"/>
        </w:rPr>
        <w:t>。</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 xml:space="preserve">(d)  </w:t>
      </w:r>
      <w:r w:rsidRPr="006E2EEA">
        <w:rPr>
          <w:rFonts w:hint="eastAsia"/>
          <w:color w:val="000000"/>
          <w:sz w:val="24"/>
        </w:rPr>
        <w:t>不以公允价值计量的金融工具</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不以公允价值计量的金融资产和负债主要包括应收款项和其他金融负债，其账面价值与公允价值相差很小。</w:t>
      </w:r>
    </w:p>
    <w:p w:rsidR="006E2EEA" w:rsidRPr="006E2EEA" w:rsidRDefault="006E2EEA" w:rsidP="006E2EEA">
      <w:pPr>
        <w:spacing w:before="29" w:line="288" w:lineRule="auto"/>
        <w:ind w:firstLineChars="200" w:firstLine="480"/>
        <w:rPr>
          <w:color w:val="000000"/>
          <w:sz w:val="24"/>
        </w:rPr>
      </w:pPr>
      <w:r w:rsidRPr="006E2EEA">
        <w:rPr>
          <w:rFonts w:hint="eastAsia"/>
          <w:color w:val="000000"/>
          <w:sz w:val="24"/>
        </w:rPr>
        <w:t>(2)</w:t>
      </w:r>
      <w:r w:rsidRPr="006E2EEA">
        <w:rPr>
          <w:rFonts w:hint="eastAsia"/>
          <w:color w:val="000000"/>
          <w:sz w:val="24"/>
        </w:rPr>
        <w:t>其他</w:t>
      </w:r>
    </w:p>
    <w:p w:rsidR="00342ECF" w:rsidRDefault="006E2EEA" w:rsidP="006E2EEA">
      <w:pPr>
        <w:spacing w:before="29" w:line="288" w:lineRule="auto"/>
        <w:ind w:firstLineChars="200" w:firstLine="480"/>
        <w:rPr>
          <w:color w:val="000000"/>
          <w:sz w:val="24"/>
        </w:rPr>
      </w:pPr>
      <w:r w:rsidRPr="006E2EEA">
        <w:rPr>
          <w:rFonts w:hint="eastAsia"/>
          <w:color w:val="000000"/>
          <w:sz w:val="24"/>
        </w:rPr>
        <w:t>除公允价值外，截至资产负债表日本基金无需要说明的其他重要事项。</w:t>
      </w:r>
    </w:p>
    <w:p w:rsidR="00FF5BB0" w:rsidRPr="006E2EEA" w:rsidRDefault="00FF5BB0" w:rsidP="006E2EEA">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29" w:name="_Toc225498272"/>
      <w:bookmarkStart w:id="230" w:name="_Toc361324877"/>
      <w:bookmarkStart w:id="231" w:name="_Toc416721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29"/>
      <w:bookmarkEnd w:id="230"/>
      <w:bookmarkEnd w:id="231"/>
    </w:p>
    <w:p w:rsidR="00CF5622" w:rsidRPr="003F513C" w:rsidRDefault="00CF5622" w:rsidP="00CF5622">
      <w:pPr>
        <w:pStyle w:val="20"/>
        <w:spacing w:before="0" w:after="0"/>
        <w:rPr>
          <w:rFonts w:ascii="Times New Roman" w:eastAsiaTheme="minorEastAsia" w:hAnsi="Times New Roman"/>
          <w:color w:val="000000" w:themeColor="text1"/>
          <w:kern w:val="0"/>
          <w:szCs w:val="24"/>
        </w:rPr>
      </w:pPr>
      <w:bookmarkStart w:id="232" w:name="_Toc225498273"/>
      <w:bookmarkStart w:id="233" w:name="_Toc361324878"/>
      <w:bookmarkStart w:id="234" w:name="_Toc374374955"/>
      <w:bookmarkStart w:id="235" w:name="_Toc4167217"/>
      <w:r w:rsidRPr="003F513C">
        <w:rPr>
          <w:rFonts w:ascii="Times New Roman" w:eastAsiaTheme="minorEastAsia" w:hAnsi="Times New Roman"/>
          <w:bCs w:val="0"/>
          <w:color w:val="000000" w:themeColor="text1"/>
          <w:kern w:val="0"/>
          <w:szCs w:val="24"/>
        </w:rPr>
        <w:t xml:space="preserve">8.1 </w:t>
      </w:r>
      <w:r w:rsidRPr="003F513C">
        <w:rPr>
          <w:rFonts w:ascii="Times New Roman" w:eastAsiaTheme="minorEastAsia" w:hAnsi="Times New Roman" w:hint="eastAsia"/>
          <w:color w:val="000000" w:themeColor="text1"/>
          <w:kern w:val="0"/>
          <w:szCs w:val="24"/>
        </w:rPr>
        <w:t>期末基金资产组合情况</w:t>
      </w:r>
      <w:bookmarkEnd w:id="232"/>
      <w:bookmarkEnd w:id="233"/>
      <w:bookmarkEnd w:id="234"/>
      <w:bookmarkEnd w:id="235"/>
    </w:p>
    <w:p w:rsidR="00CF5622" w:rsidRPr="003F513C"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3F513C">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hint="eastAsia"/>
                <w:color w:val="000000" w:themeColor="text1"/>
                <w:sz w:val="24"/>
              </w:rPr>
              <w:t>序号</w:t>
            </w:r>
          </w:p>
        </w:tc>
        <w:tc>
          <w:tcPr>
            <w:tcW w:w="2748"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hint="eastAsia"/>
                <w:color w:val="000000" w:themeColor="text1"/>
                <w:sz w:val="24"/>
              </w:rPr>
              <w:t>项目</w:t>
            </w:r>
          </w:p>
        </w:tc>
        <w:tc>
          <w:tcPr>
            <w:tcW w:w="2551"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hint="eastAsia"/>
                <w:color w:val="000000" w:themeColor="text1"/>
                <w:sz w:val="24"/>
              </w:rPr>
              <w:t>金额</w:t>
            </w:r>
          </w:p>
        </w:tc>
        <w:tc>
          <w:tcPr>
            <w:tcW w:w="2621"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hint="eastAsia"/>
                <w:color w:val="000000" w:themeColor="text1"/>
                <w:sz w:val="24"/>
              </w:rPr>
              <w:t>占基金总资产的比例（</w:t>
            </w:r>
            <w:r w:rsidRPr="003F513C">
              <w:rPr>
                <w:rFonts w:eastAsiaTheme="minorEastAsia"/>
                <w:color w:val="000000" w:themeColor="text1"/>
                <w:sz w:val="24"/>
              </w:rPr>
              <w:t>%</w:t>
            </w:r>
            <w:r w:rsidRPr="003F513C">
              <w:rPr>
                <w:rFonts w:eastAsiaTheme="minorEastAsia" w:hint="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color w:val="000000" w:themeColor="text1"/>
                <w:sz w:val="24"/>
              </w:rPr>
              <w:t>1</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权益投资</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117,309,178.76</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87.46</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其中：股票</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117,309,178.76</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87.46</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color w:val="000000" w:themeColor="text1"/>
                <w:sz w:val="24"/>
              </w:rPr>
              <w:t>2</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基金投资</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color w:val="000000" w:themeColor="text1"/>
                <w:sz w:val="24"/>
              </w:rPr>
              <w:t>3</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固定收益投资</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其中：债券</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p>
        </w:tc>
        <w:tc>
          <w:tcPr>
            <w:tcW w:w="2748" w:type="dxa"/>
            <w:vAlign w:val="center"/>
          </w:tcPr>
          <w:p w:rsidR="00CF5622" w:rsidRPr="003F513C" w:rsidRDefault="00CF5622" w:rsidP="0059358E">
            <w:pPr>
              <w:spacing w:line="276" w:lineRule="auto"/>
              <w:ind w:leftChars="50" w:left="105" w:firstLineChars="300" w:firstLine="720"/>
              <w:rPr>
                <w:rFonts w:eastAsiaTheme="minorEastAsia"/>
                <w:color w:val="000000" w:themeColor="text1"/>
                <w:sz w:val="24"/>
              </w:rPr>
            </w:pPr>
            <w:r w:rsidRPr="003F513C">
              <w:rPr>
                <w:rFonts w:eastAsiaTheme="minorEastAsia" w:hint="eastAsia"/>
                <w:color w:val="000000" w:themeColor="text1"/>
                <w:sz w:val="24"/>
              </w:rPr>
              <w:t>资产支持证券</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color w:val="000000" w:themeColor="text1"/>
                <w:sz w:val="24"/>
              </w:rPr>
              <w:t>4</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贵金属投资</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color w:val="000000" w:themeColor="text1"/>
                <w:sz w:val="24"/>
              </w:rPr>
              <w:t>5</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金融衍生</w:t>
            </w:r>
            <w:proofErr w:type="gramStart"/>
            <w:r w:rsidRPr="003F513C">
              <w:rPr>
                <w:rFonts w:eastAsiaTheme="minorEastAsia" w:hint="eastAsia"/>
                <w:color w:val="000000" w:themeColor="text1"/>
                <w:sz w:val="24"/>
              </w:rPr>
              <w:t>品投资</w:t>
            </w:r>
            <w:proofErr w:type="gramEnd"/>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color w:val="000000" w:themeColor="text1"/>
                <w:sz w:val="24"/>
              </w:rPr>
              <w:t>6</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买入返售金融资产</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其中：买断式回购的买入返售金融资产</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w:t>
            </w:r>
          </w:p>
        </w:tc>
      </w:tr>
      <w:tr w:rsidR="00CF5622" w:rsidRPr="000E2011" w:rsidTr="0059358E">
        <w:tc>
          <w:tcPr>
            <w:tcW w:w="1080" w:type="dxa"/>
            <w:vAlign w:val="center"/>
          </w:tcPr>
          <w:p w:rsidR="00CF5622" w:rsidRPr="003F513C" w:rsidRDefault="00CF5622" w:rsidP="0059358E">
            <w:pPr>
              <w:spacing w:line="276" w:lineRule="auto"/>
              <w:jc w:val="center"/>
              <w:rPr>
                <w:rFonts w:eastAsiaTheme="minorEastAsia"/>
                <w:color w:val="000000" w:themeColor="text1"/>
                <w:sz w:val="24"/>
              </w:rPr>
            </w:pPr>
            <w:r w:rsidRPr="003F513C">
              <w:rPr>
                <w:rFonts w:eastAsiaTheme="minorEastAsia"/>
                <w:color w:val="000000" w:themeColor="text1"/>
                <w:sz w:val="24"/>
              </w:rPr>
              <w:t>7</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银行存款和结算备付金合计</w:t>
            </w:r>
          </w:p>
        </w:tc>
        <w:tc>
          <w:tcPr>
            <w:tcW w:w="255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16,675,994.96</w:t>
            </w:r>
          </w:p>
        </w:tc>
        <w:tc>
          <w:tcPr>
            <w:tcW w:w="2621" w:type="dxa"/>
            <w:vAlign w:val="center"/>
          </w:tcPr>
          <w:p w:rsidR="00CF5622" w:rsidRPr="003F513C" w:rsidRDefault="00CF5622" w:rsidP="0059358E">
            <w:pPr>
              <w:spacing w:before="29" w:line="276" w:lineRule="auto"/>
              <w:ind w:left="17"/>
              <w:jc w:val="right"/>
              <w:rPr>
                <w:rFonts w:eastAsiaTheme="minorEastAsia"/>
                <w:color w:val="000000" w:themeColor="text1"/>
                <w:sz w:val="24"/>
              </w:rPr>
            </w:pPr>
            <w:r w:rsidRPr="003F513C">
              <w:rPr>
                <w:rFonts w:eastAsiaTheme="minorEastAsia"/>
                <w:color w:val="000000" w:themeColor="text1"/>
                <w:sz w:val="24"/>
              </w:rPr>
              <w:t>12.43</w:t>
            </w:r>
          </w:p>
        </w:tc>
      </w:tr>
      <w:tr w:rsidR="00CF5622" w:rsidRPr="000E2011" w:rsidTr="0059358E">
        <w:tc>
          <w:tcPr>
            <w:tcW w:w="1080" w:type="dxa"/>
            <w:vAlign w:val="center"/>
          </w:tcPr>
          <w:p w:rsidR="00CF5622" w:rsidRPr="003F513C" w:rsidRDefault="00CF5622" w:rsidP="0059358E">
            <w:pPr>
              <w:spacing w:before="29" w:line="276" w:lineRule="auto"/>
              <w:ind w:left="17"/>
              <w:jc w:val="center"/>
              <w:rPr>
                <w:rFonts w:eastAsiaTheme="minorEastAsia"/>
                <w:color w:val="000000" w:themeColor="text1"/>
                <w:sz w:val="24"/>
              </w:rPr>
            </w:pPr>
            <w:r w:rsidRPr="003F513C">
              <w:rPr>
                <w:rFonts w:eastAsiaTheme="minorEastAsia"/>
                <w:color w:val="000000" w:themeColor="text1"/>
                <w:sz w:val="24"/>
              </w:rPr>
              <w:t>8</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其他各项资产</w:t>
            </w:r>
          </w:p>
        </w:tc>
        <w:tc>
          <w:tcPr>
            <w:tcW w:w="2551" w:type="dxa"/>
            <w:vAlign w:val="center"/>
          </w:tcPr>
          <w:p w:rsidR="00CF5622" w:rsidRPr="003F513C" w:rsidRDefault="00CF5622" w:rsidP="0059358E">
            <w:pPr>
              <w:spacing w:line="276" w:lineRule="auto"/>
              <w:jc w:val="right"/>
              <w:rPr>
                <w:rFonts w:eastAsiaTheme="minorEastAsia"/>
                <w:color w:val="000000" w:themeColor="text1"/>
                <w:sz w:val="24"/>
              </w:rPr>
            </w:pPr>
            <w:r w:rsidRPr="003F513C">
              <w:rPr>
                <w:rFonts w:eastAsiaTheme="minorEastAsia"/>
                <w:color w:val="000000" w:themeColor="text1"/>
                <w:sz w:val="24"/>
              </w:rPr>
              <w:t>149,922.68</w:t>
            </w:r>
          </w:p>
        </w:tc>
        <w:tc>
          <w:tcPr>
            <w:tcW w:w="2621" w:type="dxa"/>
            <w:vAlign w:val="center"/>
          </w:tcPr>
          <w:p w:rsidR="00CF5622" w:rsidRPr="003F513C" w:rsidRDefault="00CF5622" w:rsidP="0059358E">
            <w:pPr>
              <w:spacing w:line="276" w:lineRule="auto"/>
              <w:jc w:val="right"/>
              <w:rPr>
                <w:rFonts w:eastAsiaTheme="minorEastAsia"/>
                <w:color w:val="000000" w:themeColor="text1"/>
                <w:sz w:val="24"/>
              </w:rPr>
            </w:pPr>
            <w:r w:rsidRPr="003F513C">
              <w:rPr>
                <w:rFonts w:eastAsiaTheme="minorEastAsia"/>
                <w:color w:val="000000" w:themeColor="text1"/>
                <w:sz w:val="24"/>
              </w:rPr>
              <w:t>0.11</w:t>
            </w:r>
          </w:p>
        </w:tc>
      </w:tr>
      <w:tr w:rsidR="00CF5622" w:rsidRPr="000E2011" w:rsidTr="0059358E">
        <w:tc>
          <w:tcPr>
            <w:tcW w:w="1080" w:type="dxa"/>
            <w:vAlign w:val="center"/>
          </w:tcPr>
          <w:p w:rsidR="00CF5622" w:rsidRPr="003F513C" w:rsidRDefault="00CF5622" w:rsidP="0059358E">
            <w:pPr>
              <w:spacing w:before="29" w:line="276" w:lineRule="auto"/>
              <w:ind w:left="17"/>
              <w:jc w:val="center"/>
              <w:rPr>
                <w:rFonts w:eastAsiaTheme="minorEastAsia"/>
                <w:color w:val="000000" w:themeColor="text1"/>
                <w:sz w:val="24"/>
              </w:rPr>
            </w:pPr>
            <w:r w:rsidRPr="003F513C">
              <w:rPr>
                <w:rFonts w:eastAsiaTheme="minorEastAsia"/>
                <w:color w:val="000000" w:themeColor="text1"/>
                <w:sz w:val="24"/>
              </w:rPr>
              <w:t>9</w:t>
            </w:r>
          </w:p>
        </w:tc>
        <w:tc>
          <w:tcPr>
            <w:tcW w:w="2748" w:type="dxa"/>
            <w:vAlign w:val="center"/>
          </w:tcPr>
          <w:p w:rsidR="00CF5622" w:rsidRPr="003F513C" w:rsidRDefault="00CF5622" w:rsidP="0059358E">
            <w:pPr>
              <w:spacing w:line="276" w:lineRule="auto"/>
              <w:ind w:leftChars="50" w:left="105"/>
              <w:rPr>
                <w:rFonts w:eastAsiaTheme="minorEastAsia"/>
                <w:color w:val="000000" w:themeColor="text1"/>
                <w:sz w:val="24"/>
              </w:rPr>
            </w:pPr>
            <w:r w:rsidRPr="003F513C">
              <w:rPr>
                <w:rFonts w:eastAsiaTheme="minorEastAsia" w:hint="eastAsia"/>
                <w:color w:val="000000" w:themeColor="text1"/>
                <w:sz w:val="24"/>
              </w:rPr>
              <w:t>合计</w:t>
            </w:r>
          </w:p>
        </w:tc>
        <w:tc>
          <w:tcPr>
            <w:tcW w:w="2551" w:type="dxa"/>
            <w:vAlign w:val="center"/>
          </w:tcPr>
          <w:p w:rsidR="00CF5622" w:rsidRPr="003F513C" w:rsidRDefault="00CF5622" w:rsidP="0059358E">
            <w:pPr>
              <w:spacing w:line="276" w:lineRule="auto"/>
              <w:jc w:val="right"/>
              <w:rPr>
                <w:rFonts w:eastAsiaTheme="minorEastAsia"/>
                <w:color w:val="000000" w:themeColor="text1"/>
                <w:sz w:val="24"/>
              </w:rPr>
            </w:pPr>
            <w:r w:rsidRPr="003F513C">
              <w:rPr>
                <w:rFonts w:eastAsiaTheme="minorEastAsia"/>
                <w:color w:val="000000" w:themeColor="text1"/>
                <w:sz w:val="24"/>
              </w:rPr>
              <w:t>134,135,096.40</w:t>
            </w:r>
          </w:p>
        </w:tc>
        <w:tc>
          <w:tcPr>
            <w:tcW w:w="2621" w:type="dxa"/>
            <w:vAlign w:val="center"/>
          </w:tcPr>
          <w:p w:rsidR="00CF5622" w:rsidRPr="003F513C" w:rsidRDefault="00CF5622" w:rsidP="0059358E">
            <w:pPr>
              <w:spacing w:line="276" w:lineRule="auto"/>
              <w:jc w:val="right"/>
              <w:rPr>
                <w:rFonts w:eastAsiaTheme="minorEastAsia"/>
                <w:color w:val="000000" w:themeColor="text1"/>
                <w:sz w:val="24"/>
              </w:rPr>
            </w:pPr>
            <w:r w:rsidRPr="003F513C">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36" w:name="_Toc225498274"/>
      <w:bookmarkStart w:id="237" w:name="_Toc361324879"/>
      <w:bookmarkStart w:id="238" w:name="_Toc416721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36"/>
      <w:bookmarkEnd w:id="237"/>
      <w:bookmarkEnd w:id="238"/>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91,561,834.99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71.04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1,254,520.00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1,322,119.80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22,560,659.97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17.50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106,937.92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503,106.08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0.39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117,309,178.76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91.01</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lastRenderedPageBreak/>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1"/>
      <w:bookmarkStart w:id="240" w:name="_Toc416721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39"/>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13707">
        <w:trPr>
          <w:jc w:val="center"/>
        </w:trPr>
        <w:tc>
          <w:tcPr>
            <w:tcW w:w="817" w:type="dxa"/>
            <w:vAlign w:val="center"/>
          </w:tcPr>
          <w:p w:rsidR="00413707" w:rsidRDefault="00532CED">
            <w:pPr>
              <w:jc w:val="center"/>
            </w:pPr>
            <w:r>
              <w:rPr>
                <w:color w:val="000000"/>
                <w:sz w:val="24"/>
              </w:rPr>
              <w:t>1</w:t>
            </w:r>
          </w:p>
        </w:tc>
        <w:tc>
          <w:tcPr>
            <w:tcW w:w="1276" w:type="dxa"/>
            <w:vAlign w:val="center"/>
          </w:tcPr>
          <w:p w:rsidR="00413707" w:rsidRDefault="00532CED">
            <w:pPr>
              <w:jc w:val="center"/>
            </w:pPr>
            <w:r>
              <w:rPr>
                <w:color w:val="000000"/>
                <w:sz w:val="24"/>
              </w:rPr>
              <w:t>600519</w:t>
            </w:r>
          </w:p>
        </w:tc>
        <w:tc>
          <w:tcPr>
            <w:tcW w:w="1701" w:type="dxa"/>
            <w:vAlign w:val="center"/>
          </w:tcPr>
          <w:p w:rsidR="00413707" w:rsidRDefault="00532CED">
            <w:pPr>
              <w:jc w:val="center"/>
            </w:pPr>
            <w:r>
              <w:rPr>
                <w:color w:val="000000"/>
                <w:sz w:val="24"/>
              </w:rPr>
              <w:t>贵州茅台</w:t>
            </w:r>
          </w:p>
        </w:tc>
        <w:tc>
          <w:tcPr>
            <w:tcW w:w="1559" w:type="dxa"/>
            <w:vAlign w:val="center"/>
          </w:tcPr>
          <w:p w:rsidR="00413707" w:rsidRDefault="00532CED">
            <w:pPr>
              <w:jc w:val="right"/>
            </w:pPr>
            <w:r>
              <w:rPr>
                <w:color w:val="000000"/>
                <w:sz w:val="24"/>
              </w:rPr>
              <w:t>20,477</w:t>
            </w:r>
          </w:p>
        </w:tc>
        <w:tc>
          <w:tcPr>
            <w:tcW w:w="1932" w:type="dxa"/>
            <w:vAlign w:val="center"/>
          </w:tcPr>
          <w:p w:rsidR="00413707" w:rsidRDefault="00532CED">
            <w:pPr>
              <w:jc w:val="right"/>
            </w:pPr>
            <w:r>
              <w:rPr>
                <w:color w:val="000000"/>
                <w:sz w:val="24"/>
              </w:rPr>
              <w:t>12,081,634.77</w:t>
            </w:r>
          </w:p>
        </w:tc>
        <w:tc>
          <w:tcPr>
            <w:tcW w:w="1612" w:type="dxa"/>
            <w:vAlign w:val="center"/>
          </w:tcPr>
          <w:p w:rsidR="00413707" w:rsidRDefault="00532CED">
            <w:pPr>
              <w:jc w:val="right"/>
            </w:pPr>
            <w:r>
              <w:rPr>
                <w:color w:val="000000"/>
                <w:sz w:val="24"/>
              </w:rPr>
              <w:t>9.37</w:t>
            </w:r>
          </w:p>
        </w:tc>
      </w:tr>
      <w:tr w:rsidR="00413707">
        <w:trPr>
          <w:jc w:val="center"/>
        </w:trPr>
        <w:tc>
          <w:tcPr>
            <w:tcW w:w="817" w:type="dxa"/>
            <w:vAlign w:val="center"/>
          </w:tcPr>
          <w:p w:rsidR="00413707" w:rsidRDefault="00532CED">
            <w:pPr>
              <w:jc w:val="center"/>
            </w:pPr>
            <w:r>
              <w:rPr>
                <w:color w:val="000000"/>
                <w:sz w:val="24"/>
              </w:rPr>
              <w:t>2</w:t>
            </w:r>
          </w:p>
        </w:tc>
        <w:tc>
          <w:tcPr>
            <w:tcW w:w="1276" w:type="dxa"/>
            <w:vAlign w:val="center"/>
          </w:tcPr>
          <w:p w:rsidR="00413707" w:rsidRDefault="00532CED">
            <w:pPr>
              <w:jc w:val="center"/>
            </w:pPr>
            <w:r>
              <w:rPr>
                <w:color w:val="000000"/>
                <w:sz w:val="24"/>
              </w:rPr>
              <w:t>300146</w:t>
            </w:r>
          </w:p>
        </w:tc>
        <w:tc>
          <w:tcPr>
            <w:tcW w:w="1701" w:type="dxa"/>
            <w:vAlign w:val="center"/>
          </w:tcPr>
          <w:p w:rsidR="00413707" w:rsidRDefault="00532CED">
            <w:pPr>
              <w:jc w:val="center"/>
            </w:pPr>
            <w:r>
              <w:rPr>
                <w:color w:val="000000"/>
                <w:sz w:val="24"/>
              </w:rPr>
              <w:t>汤臣</w:t>
            </w:r>
            <w:proofErr w:type="gramStart"/>
            <w:r>
              <w:rPr>
                <w:color w:val="000000"/>
                <w:sz w:val="24"/>
              </w:rPr>
              <w:t>倍</w:t>
            </w:r>
            <w:proofErr w:type="gramEnd"/>
            <w:r>
              <w:rPr>
                <w:color w:val="000000"/>
                <w:sz w:val="24"/>
              </w:rPr>
              <w:t>健</w:t>
            </w:r>
          </w:p>
        </w:tc>
        <w:tc>
          <w:tcPr>
            <w:tcW w:w="1559" w:type="dxa"/>
            <w:vAlign w:val="center"/>
          </w:tcPr>
          <w:p w:rsidR="00413707" w:rsidRDefault="00532CED">
            <w:pPr>
              <w:jc w:val="right"/>
            </w:pPr>
            <w:r>
              <w:rPr>
                <w:color w:val="000000"/>
                <w:sz w:val="24"/>
              </w:rPr>
              <w:t>703,003</w:t>
            </w:r>
          </w:p>
        </w:tc>
        <w:tc>
          <w:tcPr>
            <w:tcW w:w="1932" w:type="dxa"/>
            <w:vAlign w:val="center"/>
          </w:tcPr>
          <w:p w:rsidR="00413707" w:rsidRDefault="00532CED">
            <w:pPr>
              <w:jc w:val="right"/>
            </w:pPr>
            <w:r>
              <w:rPr>
                <w:color w:val="000000"/>
                <w:sz w:val="24"/>
              </w:rPr>
              <w:t>11,944,020.97</w:t>
            </w:r>
          </w:p>
        </w:tc>
        <w:tc>
          <w:tcPr>
            <w:tcW w:w="1612" w:type="dxa"/>
            <w:vAlign w:val="center"/>
          </w:tcPr>
          <w:p w:rsidR="00413707" w:rsidRDefault="00532CED">
            <w:pPr>
              <w:jc w:val="right"/>
            </w:pPr>
            <w:r>
              <w:rPr>
                <w:color w:val="000000"/>
                <w:sz w:val="24"/>
              </w:rPr>
              <w:t>9.27</w:t>
            </w:r>
          </w:p>
        </w:tc>
      </w:tr>
      <w:tr w:rsidR="00413707">
        <w:trPr>
          <w:jc w:val="center"/>
        </w:trPr>
        <w:tc>
          <w:tcPr>
            <w:tcW w:w="817" w:type="dxa"/>
            <w:vAlign w:val="center"/>
          </w:tcPr>
          <w:p w:rsidR="00413707" w:rsidRDefault="00532CED">
            <w:pPr>
              <w:jc w:val="center"/>
            </w:pPr>
            <w:r>
              <w:rPr>
                <w:color w:val="000000"/>
                <w:sz w:val="24"/>
              </w:rPr>
              <w:t>3</w:t>
            </w:r>
          </w:p>
        </w:tc>
        <w:tc>
          <w:tcPr>
            <w:tcW w:w="1276" w:type="dxa"/>
            <w:vAlign w:val="center"/>
          </w:tcPr>
          <w:p w:rsidR="00413707" w:rsidRDefault="00532CED">
            <w:pPr>
              <w:jc w:val="center"/>
            </w:pPr>
            <w:r>
              <w:rPr>
                <w:color w:val="000000"/>
                <w:sz w:val="24"/>
              </w:rPr>
              <w:t>002304</w:t>
            </w:r>
          </w:p>
        </w:tc>
        <w:tc>
          <w:tcPr>
            <w:tcW w:w="1701" w:type="dxa"/>
            <w:vAlign w:val="center"/>
          </w:tcPr>
          <w:p w:rsidR="00413707" w:rsidRDefault="00532CED">
            <w:pPr>
              <w:jc w:val="center"/>
            </w:pPr>
            <w:r>
              <w:rPr>
                <w:color w:val="000000"/>
                <w:sz w:val="24"/>
              </w:rPr>
              <w:t>洋河股份</w:t>
            </w:r>
          </w:p>
        </w:tc>
        <w:tc>
          <w:tcPr>
            <w:tcW w:w="1559" w:type="dxa"/>
            <w:vAlign w:val="center"/>
          </w:tcPr>
          <w:p w:rsidR="00413707" w:rsidRDefault="00532CED">
            <w:pPr>
              <w:jc w:val="right"/>
            </w:pPr>
            <w:r>
              <w:rPr>
                <w:color w:val="000000"/>
                <w:sz w:val="24"/>
              </w:rPr>
              <w:t>104,757</w:t>
            </w:r>
          </w:p>
        </w:tc>
        <w:tc>
          <w:tcPr>
            <w:tcW w:w="1932" w:type="dxa"/>
            <w:vAlign w:val="center"/>
          </w:tcPr>
          <w:p w:rsidR="00413707" w:rsidRDefault="00532CED">
            <w:pPr>
              <w:jc w:val="right"/>
            </w:pPr>
            <w:r>
              <w:rPr>
                <w:color w:val="000000"/>
                <w:sz w:val="24"/>
              </w:rPr>
              <w:t>9,922,583.04</w:t>
            </w:r>
          </w:p>
        </w:tc>
        <w:tc>
          <w:tcPr>
            <w:tcW w:w="1612" w:type="dxa"/>
            <w:vAlign w:val="center"/>
          </w:tcPr>
          <w:p w:rsidR="00413707" w:rsidRDefault="00532CED">
            <w:pPr>
              <w:jc w:val="right"/>
            </w:pPr>
            <w:r>
              <w:rPr>
                <w:color w:val="000000"/>
                <w:sz w:val="24"/>
              </w:rPr>
              <w:t>7.70</w:t>
            </w:r>
          </w:p>
        </w:tc>
      </w:tr>
      <w:tr w:rsidR="00413707">
        <w:trPr>
          <w:jc w:val="center"/>
        </w:trPr>
        <w:tc>
          <w:tcPr>
            <w:tcW w:w="817" w:type="dxa"/>
            <w:vAlign w:val="center"/>
          </w:tcPr>
          <w:p w:rsidR="00413707" w:rsidRDefault="00532CED">
            <w:pPr>
              <w:jc w:val="center"/>
            </w:pPr>
            <w:r>
              <w:rPr>
                <w:color w:val="000000"/>
                <w:sz w:val="24"/>
              </w:rPr>
              <w:t>4</w:t>
            </w:r>
          </w:p>
        </w:tc>
        <w:tc>
          <w:tcPr>
            <w:tcW w:w="1276" w:type="dxa"/>
            <w:vAlign w:val="center"/>
          </w:tcPr>
          <w:p w:rsidR="00413707" w:rsidRDefault="00532CED">
            <w:pPr>
              <w:jc w:val="center"/>
            </w:pPr>
            <w:r>
              <w:rPr>
                <w:color w:val="000000"/>
                <w:sz w:val="24"/>
              </w:rPr>
              <w:t>000858</w:t>
            </w:r>
          </w:p>
        </w:tc>
        <w:tc>
          <w:tcPr>
            <w:tcW w:w="1701" w:type="dxa"/>
            <w:vAlign w:val="center"/>
          </w:tcPr>
          <w:p w:rsidR="00413707" w:rsidRDefault="00532CED">
            <w:pPr>
              <w:jc w:val="center"/>
            </w:pPr>
            <w:r>
              <w:rPr>
                <w:color w:val="000000"/>
                <w:sz w:val="24"/>
              </w:rPr>
              <w:t>五粮液</w:t>
            </w:r>
          </w:p>
        </w:tc>
        <w:tc>
          <w:tcPr>
            <w:tcW w:w="1559" w:type="dxa"/>
            <w:vAlign w:val="center"/>
          </w:tcPr>
          <w:p w:rsidR="00413707" w:rsidRDefault="00532CED">
            <w:pPr>
              <w:jc w:val="right"/>
            </w:pPr>
            <w:r>
              <w:rPr>
                <w:color w:val="000000"/>
                <w:sz w:val="24"/>
              </w:rPr>
              <w:t>193,027</w:t>
            </w:r>
          </w:p>
        </w:tc>
        <w:tc>
          <w:tcPr>
            <w:tcW w:w="1932" w:type="dxa"/>
            <w:vAlign w:val="center"/>
          </w:tcPr>
          <w:p w:rsidR="00413707" w:rsidRDefault="00532CED">
            <w:pPr>
              <w:jc w:val="right"/>
            </w:pPr>
            <w:r>
              <w:rPr>
                <w:color w:val="000000"/>
                <w:sz w:val="24"/>
              </w:rPr>
              <w:t>9,821,213.76</w:t>
            </w:r>
          </w:p>
        </w:tc>
        <w:tc>
          <w:tcPr>
            <w:tcW w:w="1612" w:type="dxa"/>
            <w:vAlign w:val="center"/>
          </w:tcPr>
          <w:p w:rsidR="00413707" w:rsidRDefault="00532CED">
            <w:pPr>
              <w:jc w:val="right"/>
            </w:pPr>
            <w:r>
              <w:rPr>
                <w:color w:val="000000"/>
                <w:sz w:val="24"/>
              </w:rPr>
              <w:t>7.62</w:t>
            </w:r>
          </w:p>
        </w:tc>
      </w:tr>
      <w:tr w:rsidR="00413707">
        <w:trPr>
          <w:jc w:val="center"/>
        </w:trPr>
        <w:tc>
          <w:tcPr>
            <w:tcW w:w="817" w:type="dxa"/>
            <w:vAlign w:val="center"/>
          </w:tcPr>
          <w:p w:rsidR="00413707" w:rsidRDefault="00532CED">
            <w:pPr>
              <w:jc w:val="center"/>
            </w:pPr>
            <w:r>
              <w:rPr>
                <w:color w:val="000000"/>
                <w:sz w:val="24"/>
              </w:rPr>
              <w:t>5</w:t>
            </w:r>
          </w:p>
        </w:tc>
        <w:tc>
          <w:tcPr>
            <w:tcW w:w="1276" w:type="dxa"/>
            <w:vAlign w:val="center"/>
          </w:tcPr>
          <w:p w:rsidR="00413707" w:rsidRDefault="00532CED">
            <w:pPr>
              <w:jc w:val="center"/>
            </w:pPr>
            <w:r>
              <w:rPr>
                <w:color w:val="000000"/>
                <w:sz w:val="24"/>
              </w:rPr>
              <w:t>601155</w:t>
            </w:r>
          </w:p>
        </w:tc>
        <w:tc>
          <w:tcPr>
            <w:tcW w:w="1701" w:type="dxa"/>
            <w:vAlign w:val="center"/>
          </w:tcPr>
          <w:p w:rsidR="00413707" w:rsidRDefault="00532CED">
            <w:pPr>
              <w:jc w:val="center"/>
            </w:pPr>
            <w:r>
              <w:rPr>
                <w:color w:val="000000"/>
                <w:sz w:val="24"/>
              </w:rPr>
              <w:t>新城控股</w:t>
            </w:r>
          </w:p>
        </w:tc>
        <w:tc>
          <w:tcPr>
            <w:tcW w:w="1559" w:type="dxa"/>
            <w:vAlign w:val="center"/>
          </w:tcPr>
          <w:p w:rsidR="00413707" w:rsidRDefault="00532CED">
            <w:pPr>
              <w:jc w:val="right"/>
            </w:pPr>
            <w:r>
              <w:rPr>
                <w:color w:val="000000"/>
                <w:sz w:val="24"/>
              </w:rPr>
              <w:t>332,895</w:t>
            </w:r>
          </w:p>
        </w:tc>
        <w:tc>
          <w:tcPr>
            <w:tcW w:w="1932" w:type="dxa"/>
            <w:vAlign w:val="center"/>
          </w:tcPr>
          <w:p w:rsidR="00413707" w:rsidRDefault="00532CED">
            <w:pPr>
              <w:jc w:val="right"/>
            </w:pPr>
            <w:r>
              <w:rPr>
                <w:color w:val="000000"/>
                <w:sz w:val="24"/>
              </w:rPr>
              <w:t>7,886,282.55</w:t>
            </w:r>
          </w:p>
        </w:tc>
        <w:tc>
          <w:tcPr>
            <w:tcW w:w="1612" w:type="dxa"/>
            <w:vAlign w:val="center"/>
          </w:tcPr>
          <w:p w:rsidR="00413707" w:rsidRDefault="00532CED">
            <w:pPr>
              <w:jc w:val="right"/>
            </w:pPr>
            <w:r>
              <w:rPr>
                <w:color w:val="000000"/>
                <w:sz w:val="24"/>
              </w:rPr>
              <w:t>6.12</w:t>
            </w:r>
          </w:p>
        </w:tc>
      </w:tr>
      <w:tr w:rsidR="00413707">
        <w:trPr>
          <w:jc w:val="center"/>
        </w:trPr>
        <w:tc>
          <w:tcPr>
            <w:tcW w:w="817" w:type="dxa"/>
            <w:vAlign w:val="center"/>
          </w:tcPr>
          <w:p w:rsidR="00413707" w:rsidRDefault="00532CED">
            <w:pPr>
              <w:jc w:val="center"/>
            </w:pPr>
            <w:r>
              <w:rPr>
                <w:color w:val="000000"/>
                <w:sz w:val="24"/>
              </w:rPr>
              <w:t>6</w:t>
            </w:r>
          </w:p>
        </w:tc>
        <w:tc>
          <w:tcPr>
            <w:tcW w:w="1276" w:type="dxa"/>
            <w:vAlign w:val="center"/>
          </w:tcPr>
          <w:p w:rsidR="00413707" w:rsidRDefault="00532CED">
            <w:pPr>
              <w:jc w:val="center"/>
            </w:pPr>
            <w:r>
              <w:rPr>
                <w:color w:val="000000"/>
                <w:sz w:val="24"/>
              </w:rPr>
              <w:t>600048</w:t>
            </w:r>
          </w:p>
        </w:tc>
        <w:tc>
          <w:tcPr>
            <w:tcW w:w="1701" w:type="dxa"/>
            <w:vAlign w:val="center"/>
          </w:tcPr>
          <w:p w:rsidR="00413707" w:rsidRDefault="00532CED">
            <w:pPr>
              <w:jc w:val="center"/>
            </w:pPr>
            <w:r>
              <w:rPr>
                <w:color w:val="000000"/>
                <w:sz w:val="24"/>
              </w:rPr>
              <w:t>保利地产</w:t>
            </w:r>
          </w:p>
        </w:tc>
        <w:tc>
          <w:tcPr>
            <w:tcW w:w="1559" w:type="dxa"/>
            <w:vAlign w:val="center"/>
          </w:tcPr>
          <w:p w:rsidR="00413707" w:rsidRDefault="00532CED">
            <w:pPr>
              <w:jc w:val="right"/>
            </w:pPr>
            <w:r>
              <w:rPr>
                <w:color w:val="000000"/>
                <w:sz w:val="24"/>
              </w:rPr>
              <w:t>654,111</w:t>
            </w:r>
          </w:p>
        </w:tc>
        <w:tc>
          <w:tcPr>
            <w:tcW w:w="1932" w:type="dxa"/>
            <w:vAlign w:val="center"/>
          </w:tcPr>
          <w:p w:rsidR="00413707" w:rsidRDefault="00532CED">
            <w:pPr>
              <w:jc w:val="right"/>
            </w:pPr>
            <w:r>
              <w:rPr>
                <w:color w:val="000000"/>
                <w:sz w:val="24"/>
              </w:rPr>
              <w:t>7,711,968.69</w:t>
            </w:r>
          </w:p>
        </w:tc>
        <w:tc>
          <w:tcPr>
            <w:tcW w:w="1612" w:type="dxa"/>
            <w:vAlign w:val="center"/>
          </w:tcPr>
          <w:p w:rsidR="00413707" w:rsidRDefault="00532CED">
            <w:pPr>
              <w:jc w:val="right"/>
            </w:pPr>
            <w:r>
              <w:rPr>
                <w:color w:val="000000"/>
                <w:sz w:val="24"/>
              </w:rPr>
              <w:t>5.98</w:t>
            </w:r>
          </w:p>
        </w:tc>
      </w:tr>
      <w:tr w:rsidR="00413707">
        <w:trPr>
          <w:jc w:val="center"/>
        </w:trPr>
        <w:tc>
          <w:tcPr>
            <w:tcW w:w="817" w:type="dxa"/>
            <w:vAlign w:val="center"/>
          </w:tcPr>
          <w:p w:rsidR="00413707" w:rsidRDefault="00532CED">
            <w:pPr>
              <w:jc w:val="center"/>
            </w:pPr>
            <w:r>
              <w:rPr>
                <w:color w:val="000000"/>
                <w:sz w:val="24"/>
              </w:rPr>
              <w:t>7</w:t>
            </w:r>
          </w:p>
        </w:tc>
        <w:tc>
          <w:tcPr>
            <w:tcW w:w="1276" w:type="dxa"/>
            <w:vAlign w:val="center"/>
          </w:tcPr>
          <w:p w:rsidR="00413707" w:rsidRDefault="00532CED">
            <w:pPr>
              <w:jc w:val="center"/>
            </w:pPr>
            <w:r>
              <w:rPr>
                <w:color w:val="000000"/>
                <w:sz w:val="24"/>
              </w:rPr>
              <w:t>603808</w:t>
            </w:r>
          </w:p>
        </w:tc>
        <w:tc>
          <w:tcPr>
            <w:tcW w:w="1701" w:type="dxa"/>
            <w:vAlign w:val="center"/>
          </w:tcPr>
          <w:p w:rsidR="00413707" w:rsidRDefault="00532CED">
            <w:pPr>
              <w:jc w:val="center"/>
            </w:pPr>
            <w:proofErr w:type="gramStart"/>
            <w:r>
              <w:rPr>
                <w:color w:val="000000"/>
                <w:sz w:val="24"/>
              </w:rPr>
              <w:t>歌力思</w:t>
            </w:r>
            <w:proofErr w:type="gramEnd"/>
          </w:p>
        </w:tc>
        <w:tc>
          <w:tcPr>
            <w:tcW w:w="1559" w:type="dxa"/>
            <w:vAlign w:val="center"/>
          </w:tcPr>
          <w:p w:rsidR="00413707" w:rsidRDefault="00532CED">
            <w:pPr>
              <w:jc w:val="right"/>
            </w:pPr>
            <w:r>
              <w:rPr>
                <w:color w:val="000000"/>
                <w:sz w:val="24"/>
              </w:rPr>
              <w:t>401,960</w:t>
            </w:r>
          </w:p>
        </w:tc>
        <w:tc>
          <w:tcPr>
            <w:tcW w:w="1932" w:type="dxa"/>
            <w:vAlign w:val="center"/>
          </w:tcPr>
          <w:p w:rsidR="00413707" w:rsidRDefault="00532CED">
            <w:pPr>
              <w:jc w:val="right"/>
            </w:pPr>
            <w:r>
              <w:rPr>
                <w:color w:val="000000"/>
                <w:sz w:val="24"/>
              </w:rPr>
              <w:t>6,527,830.40</w:t>
            </w:r>
          </w:p>
        </w:tc>
        <w:tc>
          <w:tcPr>
            <w:tcW w:w="1612" w:type="dxa"/>
            <w:vAlign w:val="center"/>
          </w:tcPr>
          <w:p w:rsidR="00413707" w:rsidRDefault="00532CED">
            <w:pPr>
              <w:jc w:val="right"/>
            </w:pPr>
            <w:r>
              <w:rPr>
                <w:color w:val="000000"/>
                <w:sz w:val="24"/>
              </w:rPr>
              <w:t>5.06</w:t>
            </w:r>
          </w:p>
        </w:tc>
      </w:tr>
      <w:tr w:rsidR="00413707">
        <w:trPr>
          <w:jc w:val="center"/>
        </w:trPr>
        <w:tc>
          <w:tcPr>
            <w:tcW w:w="817" w:type="dxa"/>
            <w:vAlign w:val="center"/>
          </w:tcPr>
          <w:p w:rsidR="00413707" w:rsidRDefault="00532CED">
            <w:pPr>
              <w:jc w:val="center"/>
            </w:pPr>
            <w:r>
              <w:rPr>
                <w:color w:val="000000"/>
                <w:sz w:val="24"/>
              </w:rPr>
              <w:t>8</w:t>
            </w:r>
          </w:p>
        </w:tc>
        <w:tc>
          <w:tcPr>
            <w:tcW w:w="1276" w:type="dxa"/>
            <w:vAlign w:val="center"/>
          </w:tcPr>
          <w:p w:rsidR="00413707" w:rsidRDefault="00532CED">
            <w:pPr>
              <w:jc w:val="center"/>
            </w:pPr>
            <w:r>
              <w:rPr>
                <w:color w:val="000000"/>
                <w:sz w:val="24"/>
              </w:rPr>
              <w:t>600887</w:t>
            </w:r>
          </w:p>
        </w:tc>
        <w:tc>
          <w:tcPr>
            <w:tcW w:w="1701" w:type="dxa"/>
            <w:vAlign w:val="center"/>
          </w:tcPr>
          <w:p w:rsidR="00413707" w:rsidRDefault="00532CED">
            <w:pPr>
              <w:jc w:val="center"/>
            </w:pPr>
            <w:r>
              <w:rPr>
                <w:color w:val="000000"/>
                <w:sz w:val="24"/>
              </w:rPr>
              <w:t>伊利股份</w:t>
            </w:r>
          </w:p>
        </w:tc>
        <w:tc>
          <w:tcPr>
            <w:tcW w:w="1559" w:type="dxa"/>
            <w:vAlign w:val="center"/>
          </w:tcPr>
          <w:p w:rsidR="00413707" w:rsidRDefault="00532CED">
            <w:pPr>
              <w:jc w:val="right"/>
            </w:pPr>
            <w:r>
              <w:rPr>
                <w:color w:val="000000"/>
                <w:sz w:val="24"/>
              </w:rPr>
              <w:t>285,223</w:t>
            </w:r>
          </w:p>
        </w:tc>
        <w:tc>
          <w:tcPr>
            <w:tcW w:w="1932" w:type="dxa"/>
            <w:vAlign w:val="center"/>
          </w:tcPr>
          <w:p w:rsidR="00413707" w:rsidRDefault="00532CED">
            <w:pPr>
              <w:jc w:val="right"/>
            </w:pPr>
            <w:r>
              <w:rPr>
                <w:color w:val="000000"/>
                <w:sz w:val="24"/>
              </w:rPr>
              <w:t>6,525,902.24</w:t>
            </w:r>
          </w:p>
        </w:tc>
        <w:tc>
          <w:tcPr>
            <w:tcW w:w="1612" w:type="dxa"/>
            <w:vAlign w:val="center"/>
          </w:tcPr>
          <w:p w:rsidR="00413707" w:rsidRDefault="00532CED">
            <w:pPr>
              <w:jc w:val="right"/>
            </w:pPr>
            <w:r>
              <w:rPr>
                <w:color w:val="000000"/>
                <w:sz w:val="24"/>
              </w:rPr>
              <w:t>5.06</w:t>
            </w:r>
          </w:p>
        </w:tc>
      </w:tr>
      <w:tr w:rsidR="00413707">
        <w:trPr>
          <w:jc w:val="center"/>
        </w:trPr>
        <w:tc>
          <w:tcPr>
            <w:tcW w:w="817" w:type="dxa"/>
            <w:vAlign w:val="center"/>
          </w:tcPr>
          <w:p w:rsidR="00413707" w:rsidRDefault="00532CED">
            <w:pPr>
              <w:jc w:val="center"/>
            </w:pPr>
            <w:r>
              <w:rPr>
                <w:color w:val="000000"/>
                <w:sz w:val="24"/>
              </w:rPr>
              <w:t>9</w:t>
            </w:r>
          </w:p>
        </w:tc>
        <w:tc>
          <w:tcPr>
            <w:tcW w:w="1276" w:type="dxa"/>
            <w:vAlign w:val="center"/>
          </w:tcPr>
          <w:p w:rsidR="00413707" w:rsidRDefault="00532CED">
            <w:pPr>
              <w:jc w:val="center"/>
            </w:pPr>
            <w:r>
              <w:rPr>
                <w:color w:val="000000"/>
                <w:sz w:val="24"/>
              </w:rPr>
              <w:t>600276</w:t>
            </w:r>
          </w:p>
        </w:tc>
        <w:tc>
          <w:tcPr>
            <w:tcW w:w="1701" w:type="dxa"/>
            <w:vAlign w:val="center"/>
          </w:tcPr>
          <w:p w:rsidR="00413707" w:rsidRDefault="00532CED">
            <w:pPr>
              <w:jc w:val="center"/>
            </w:pPr>
            <w:r>
              <w:rPr>
                <w:color w:val="000000"/>
                <w:sz w:val="24"/>
              </w:rPr>
              <w:t>恒瑞医药</w:t>
            </w:r>
          </w:p>
        </w:tc>
        <w:tc>
          <w:tcPr>
            <w:tcW w:w="1559" w:type="dxa"/>
            <w:vAlign w:val="center"/>
          </w:tcPr>
          <w:p w:rsidR="00413707" w:rsidRDefault="00532CED">
            <w:pPr>
              <w:jc w:val="right"/>
            </w:pPr>
            <w:r>
              <w:rPr>
                <w:color w:val="000000"/>
                <w:sz w:val="24"/>
              </w:rPr>
              <w:t>121,500</w:t>
            </w:r>
          </w:p>
        </w:tc>
        <w:tc>
          <w:tcPr>
            <w:tcW w:w="1932" w:type="dxa"/>
            <w:vAlign w:val="center"/>
          </w:tcPr>
          <w:p w:rsidR="00413707" w:rsidRDefault="00532CED">
            <w:pPr>
              <w:jc w:val="right"/>
            </w:pPr>
            <w:r>
              <w:rPr>
                <w:color w:val="000000"/>
                <w:sz w:val="24"/>
              </w:rPr>
              <w:t>6,409,125.00</w:t>
            </w:r>
          </w:p>
        </w:tc>
        <w:tc>
          <w:tcPr>
            <w:tcW w:w="1612" w:type="dxa"/>
            <w:vAlign w:val="center"/>
          </w:tcPr>
          <w:p w:rsidR="00413707" w:rsidRDefault="00532CED">
            <w:pPr>
              <w:jc w:val="right"/>
            </w:pPr>
            <w:r>
              <w:rPr>
                <w:color w:val="000000"/>
                <w:sz w:val="24"/>
              </w:rPr>
              <w:t>4.97</w:t>
            </w:r>
          </w:p>
        </w:tc>
      </w:tr>
      <w:tr w:rsidR="00413707">
        <w:trPr>
          <w:jc w:val="center"/>
        </w:trPr>
        <w:tc>
          <w:tcPr>
            <w:tcW w:w="817" w:type="dxa"/>
            <w:vAlign w:val="center"/>
          </w:tcPr>
          <w:p w:rsidR="00413707" w:rsidRDefault="00532CED">
            <w:pPr>
              <w:jc w:val="center"/>
            </w:pPr>
            <w:r>
              <w:rPr>
                <w:color w:val="000000"/>
                <w:sz w:val="24"/>
              </w:rPr>
              <w:t>10</w:t>
            </w:r>
          </w:p>
        </w:tc>
        <w:tc>
          <w:tcPr>
            <w:tcW w:w="1276" w:type="dxa"/>
            <w:vAlign w:val="center"/>
          </w:tcPr>
          <w:p w:rsidR="00413707" w:rsidRDefault="00532CED">
            <w:pPr>
              <w:jc w:val="center"/>
            </w:pPr>
            <w:r>
              <w:rPr>
                <w:color w:val="000000"/>
                <w:sz w:val="24"/>
              </w:rPr>
              <w:t>600559</w:t>
            </w:r>
          </w:p>
        </w:tc>
        <w:tc>
          <w:tcPr>
            <w:tcW w:w="1701" w:type="dxa"/>
            <w:vAlign w:val="center"/>
          </w:tcPr>
          <w:p w:rsidR="00413707" w:rsidRDefault="00532CED">
            <w:pPr>
              <w:jc w:val="center"/>
            </w:pPr>
            <w:r>
              <w:rPr>
                <w:color w:val="000000"/>
                <w:sz w:val="24"/>
              </w:rPr>
              <w:t>老白干酒</w:t>
            </w:r>
          </w:p>
        </w:tc>
        <w:tc>
          <w:tcPr>
            <w:tcW w:w="1559" w:type="dxa"/>
            <w:vAlign w:val="center"/>
          </w:tcPr>
          <w:p w:rsidR="00413707" w:rsidRDefault="00532CED">
            <w:pPr>
              <w:jc w:val="right"/>
            </w:pPr>
            <w:r>
              <w:rPr>
                <w:color w:val="000000"/>
                <w:sz w:val="24"/>
              </w:rPr>
              <w:t>477,719</w:t>
            </w:r>
          </w:p>
        </w:tc>
        <w:tc>
          <w:tcPr>
            <w:tcW w:w="1932" w:type="dxa"/>
            <w:vAlign w:val="center"/>
          </w:tcPr>
          <w:p w:rsidR="00413707" w:rsidRDefault="00532CED">
            <w:pPr>
              <w:jc w:val="right"/>
            </w:pPr>
            <w:r>
              <w:rPr>
                <w:color w:val="000000"/>
                <w:sz w:val="24"/>
              </w:rPr>
              <w:t>5,904,606.84</w:t>
            </w:r>
          </w:p>
        </w:tc>
        <w:tc>
          <w:tcPr>
            <w:tcW w:w="1612" w:type="dxa"/>
            <w:vAlign w:val="center"/>
          </w:tcPr>
          <w:p w:rsidR="00413707" w:rsidRDefault="00532CED">
            <w:pPr>
              <w:jc w:val="right"/>
            </w:pPr>
            <w:r>
              <w:rPr>
                <w:color w:val="000000"/>
                <w:sz w:val="24"/>
              </w:rPr>
              <w:t>4.58</w:t>
            </w:r>
          </w:p>
        </w:tc>
      </w:tr>
      <w:tr w:rsidR="00413707">
        <w:trPr>
          <w:jc w:val="center"/>
        </w:trPr>
        <w:tc>
          <w:tcPr>
            <w:tcW w:w="817" w:type="dxa"/>
            <w:vAlign w:val="center"/>
          </w:tcPr>
          <w:p w:rsidR="00413707" w:rsidRDefault="00532CED">
            <w:pPr>
              <w:jc w:val="center"/>
            </w:pPr>
            <w:r>
              <w:rPr>
                <w:color w:val="000000"/>
                <w:sz w:val="24"/>
              </w:rPr>
              <w:t>11</w:t>
            </w:r>
          </w:p>
        </w:tc>
        <w:tc>
          <w:tcPr>
            <w:tcW w:w="1276" w:type="dxa"/>
            <w:vAlign w:val="center"/>
          </w:tcPr>
          <w:p w:rsidR="00413707" w:rsidRDefault="00532CED">
            <w:pPr>
              <w:jc w:val="center"/>
            </w:pPr>
            <w:r>
              <w:rPr>
                <w:color w:val="000000"/>
                <w:sz w:val="24"/>
              </w:rPr>
              <w:t>000002</w:t>
            </w:r>
          </w:p>
        </w:tc>
        <w:tc>
          <w:tcPr>
            <w:tcW w:w="1701" w:type="dxa"/>
            <w:vAlign w:val="center"/>
          </w:tcPr>
          <w:p w:rsidR="00413707" w:rsidRDefault="00532CED">
            <w:pPr>
              <w:jc w:val="center"/>
            </w:pPr>
            <w:r>
              <w:rPr>
                <w:color w:val="000000"/>
                <w:sz w:val="24"/>
              </w:rPr>
              <w:t>万科</w:t>
            </w:r>
            <w:r>
              <w:rPr>
                <w:color w:val="000000"/>
                <w:sz w:val="24"/>
              </w:rPr>
              <w:t>A</w:t>
            </w:r>
          </w:p>
        </w:tc>
        <w:tc>
          <w:tcPr>
            <w:tcW w:w="1559" w:type="dxa"/>
            <w:vAlign w:val="center"/>
          </w:tcPr>
          <w:p w:rsidR="00413707" w:rsidRDefault="00532CED">
            <w:pPr>
              <w:jc w:val="right"/>
            </w:pPr>
            <w:r>
              <w:rPr>
                <w:color w:val="000000"/>
                <w:sz w:val="24"/>
              </w:rPr>
              <w:t>212,594</w:t>
            </w:r>
          </w:p>
        </w:tc>
        <w:tc>
          <w:tcPr>
            <w:tcW w:w="1932" w:type="dxa"/>
            <w:vAlign w:val="center"/>
          </w:tcPr>
          <w:p w:rsidR="00413707" w:rsidRDefault="00532CED">
            <w:pPr>
              <w:jc w:val="right"/>
            </w:pPr>
            <w:r>
              <w:rPr>
                <w:color w:val="000000"/>
                <w:sz w:val="24"/>
              </w:rPr>
              <w:t>5,063,989.08</w:t>
            </w:r>
          </w:p>
        </w:tc>
        <w:tc>
          <w:tcPr>
            <w:tcW w:w="1612" w:type="dxa"/>
            <w:vAlign w:val="center"/>
          </w:tcPr>
          <w:p w:rsidR="00413707" w:rsidRDefault="00532CED">
            <w:pPr>
              <w:jc w:val="right"/>
            </w:pPr>
            <w:r>
              <w:rPr>
                <w:color w:val="000000"/>
                <w:sz w:val="24"/>
              </w:rPr>
              <w:t>3.93</w:t>
            </w:r>
          </w:p>
        </w:tc>
      </w:tr>
      <w:tr w:rsidR="00413707">
        <w:trPr>
          <w:jc w:val="center"/>
        </w:trPr>
        <w:tc>
          <w:tcPr>
            <w:tcW w:w="817" w:type="dxa"/>
            <w:vAlign w:val="center"/>
          </w:tcPr>
          <w:p w:rsidR="00413707" w:rsidRDefault="00532CED">
            <w:pPr>
              <w:jc w:val="center"/>
            </w:pPr>
            <w:r>
              <w:rPr>
                <w:color w:val="000000"/>
                <w:sz w:val="24"/>
              </w:rPr>
              <w:t>12</w:t>
            </w:r>
          </w:p>
        </w:tc>
        <w:tc>
          <w:tcPr>
            <w:tcW w:w="1276" w:type="dxa"/>
            <w:vAlign w:val="center"/>
          </w:tcPr>
          <w:p w:rsidR="00413707" w:rsidRDefault="00532CED">
            <w:pPr>
              <w:jc w:val="center"/>
            </w:pPr>
            <w:r>
              <w:rPr>
                <w:color w:val="000000"/>
                <w:sz w:val="24"/>
              </w:rPr>
              <w:t>002216</w:t>
            </w:r>
          </w:p>
        </w:tc>
        <w:tc>
          <w:tcPr>
            <w:tcW w:w="1701" w:type="dxa"/>
            <w:vAlign w:val="center"/>
          </w:tcPr>
          <w:p w:rsidR="00413707" w:rsidRDefault="00532CED">
            <w:pPr>
              <w:jc w:val="center"/>
            </w:pPr>
            <w:r>
              <w:rPr>
                <w:color w:val="000000"/>
                <w:sz w:val="24"/>
              </w:rPr>
              <w:t>三全食品</w:t>
            </w:r>
          </w:p>
        </w:tc>
        <w:tc>
          <w:tcPr>
            <w:tcW w:w="1559" w:type="dxa"/>
            <w:vAlign w:val="center"/>
          </w:tcPr>
          <w:p w:rsidR="00413707" w:rsidRDefault="00532CED">
            <w:pPr>
              <w:jc w:val="right"/>
            </w:pPr>
            <w:r>
              <w:rPr>
                <w:color w:val="000000"/>
                <w:sz w:val="24"/>
              </w:rPr>
              <w:t>553,900</w:t>
            </w:r>
          </w:p>
        </w:tc>
        <w:tc>
          <w:tcPr>
            <w:tcW w:w="1932" w:type="dxa"/>
            <w:vAlign w:val="center"/>
          </w:tcPr>
          <w:p w:rsidR="00413707" w:rsidRDefault="00532CED">
            <w:pPr>
              <w:jc w:val="right"/>
            </w:pPr>
            <w:r>
              <w:rPr>
                <w:color w:val="000000"/>
                <w:sz w:val="24"/>
              </w:rPr>
              <w:t>4,032,392.00</w:t>
            </w:r>
          </w:p>
        </w:tc>
        <w:tc>
          <w:tcPr>
            <w:tcW w:w="1612" w:type="dxa"/>
            <w:vAlign w:val="center"/>
          </w:tcPr>
          <w:p w:rsidR="00413707" w:rsidRDefault="00532CED">
            <w:pPr>
              <w:jc w:val="right"/>
            </w:pPr>
            <w:r>
              <w:rPr>
                <w:color w:val="000000"/>
                <w:sz w:val="24"/>
              </w:rPr>
              <w:t>3.13</w:t>
            </w:r>
          </w:p>
        </w:tc>
      </w:tr>
      <w:tr w:rsidR="00413707">
        <w:trPr>
          <w:jc w:val="center"/>
        </w:trPr>
        <w:tc>
          <w:tcPr>
            <w:tcW w:w="817" w:type="dxa"/>
            <w:vAlign w:val="center"/>
          </w:tcPr>
          <w:p w:rsidR="00413707" w:rsidRDefault="00532CED">
            <w:pPr>
              <w:jc w:val="center"/>
            </w:pPr>
            <w:r>
              <w:rPr>
                <w:color w:val="000000"/>
                <w:sz w:val="24"/>
              </w:rPr>
              <w:t>13</w:t>
            </w:r>
          </w:p>
        </w:tc>
        <w:tc>
          <w:tcPr>
            <w:tcW w:w="1276" w:type="dxa"/>
            <w:vAlign w:val="center"/>
          </w:tcPr>
          <w:p w:rsidR="00413707" w:rsidRDefault="00532CED">
            <w:pPr>
              <w:jc w:val="center"/>
            </w:pPr>
            <w:r>
              <w:rPr>
                <w:color w:val="000000"/>
                <w:sz w:val="24"/>
              </w:rPr>
              <w:t>600073</w:t>
            </w:r>
          </w:p>
        </w:tc>
        <w:tc>
          <w:tcPr>
            <w:tcW w:w="1701" w:type="dxa"/>
            <w:vAlign w:val="center"/>
          </w:tcPr>
          <w:p w:rsidR="00413707" w:rsidRDefault="00532CED">
            <w:pPr>
              <w:jc w:val="center"/>
            </w:pPr>
            <w:r>
              <w:rPr>
                <w:color w:val="000000"/>
                <w:sz w:val="24"/>
              </w:rPr>
              <w:t>上海梅林</w:t>
            </w:r>
          </w:p>
        </w:tc>
        <w:tc>
          <w:tcPr>
            <w:tcW w:w="1559" w:type="dxa"/>
            <w:vAlign w:val="center"/>
          </w:tcPr>
          <w:p w:rsidR="00413707" w:rsidRDefault="00532CED">
            <w:pPr>
              <w:jc w:val="right"/>
            </w:pPr>
            <w:r>
              <w:rPr>
                <w:color w:val="000000"/>
                <w:sz w:val="24"/>
              </w:rPr>
              <w:t>267,400</w:t>
            </w:r>
          </w:p>
        </w:tc>
        <w:tc>
          <w:tcPr>
            <w:tcW w:w="1932" w:type="dxa"/>
            <w:vAlign w:val="center"/>
          </w:tcPr>
          <w:p w:rsidR="00413707" w:rsidRDefault="00532CED">
            <w:pPr>
              <w:jc w:val="right"/>
            </w:pPr>
            <w:r>
              <w:rPr>
                <w:color w:val="000000"/>
                <w:sz w:val="24"/>
              </w:rPr>
              <w:t>1,992,130.00</w:t>
            </w:r>
          </w:p>
        </w:tc>
        <w:tc>
          <w:tcPr>
            <w:tcW w:w="1612" w:type="dxa"/>
            <w:vAlign w:val="center"/>
          </w:tcPr>
          <w:p w:rsidR="00413707" w:rsidRDefault="00532CED">
            <w:pPr>
              <w:jc w:val="right"/>
            </w:pPr>
            <w:r>
              <w:rPr>
                <w:color w:val="000000"/>
                <w:sz w:val="24"/>
              </w:rPr>
              <w:t>1.55</w:t>
            </w:r>
          </w:p>
        </w:tc>
      </w:tr>
      <w:tr w:rsidR="00413707">
        <w:trPr>
          <w:jc w:val="center"/>
        </w:trPr>
        <w:tc>
          <w:tcPr>
            <w:tcW w:w="817" w:type="dxa"/>
            <w:vAlign w:val="center"/>
          </w:tcPr>
          <w:p w:rsidR="00413707" w:rsidRDefault="00532CED">
            <w:pPr>
              <w:jc w:val="center"/>
            </w:pPr>
            <w:r>
              <w:rPr>
                <w:color w:val="000000"/>
                <w:sz w:val="24"/>
              </w:rPr>
              <w:t>14</w:t>
            </w:r>
          </w:p>
        </w:tc>
        <w:tc>
          <w:tcPr>
            <w:tcW w:w="1276" w:type="dxa"/>
            <w:vAlign w:val="center"/>
          </w:tcPr>
          <w:p w:rsidR="00413707" w:rsidRDefault="00532CED">
            <w:pPr>
              <w:jc w:val="center"/>
            </w:pPr>
            <w:r>
              <w:rPr>
                <w:color w:val="000000"/>
                <w:sz w:val="24"/>
              </w:rPr>
              <w:t>001979</w:t>
            </w:r>
          </w:p>
        </w:tc>
        <w:tc>
          <w:tcPr>
            <w:tcW w:w="1701" w:type="dxa"/>
            <w:vAlign w:val="center"/>
          </w:tcPr>
          <w:p w:rsidR="00413707" w:rsidRDefault="00532CED">
            <w:pPr>
              <w:jc w:val="center"/>
            </w:pPr>
            <w:r>
              <w:rPr>
                <w:color w:val="000000"/>
                <w:sz w:val="24"/>
              </w:rPr>
              <w:t>招商蛇口</w:t>
            </w:r>
          </w:p>
        </w:tc>
        <w:tc>
          <w:tcPr>
            <w:tcW w:w="1559" w:type="dxa"/>
            <w:vAlign w:val="center"/>
          </w:tcPr>
          <w:p w:rsidR="00413707" w:rsidRDefault="00532CED">
            <w:pPr>
              <w:jc w:val="right"/>
            </w:pPr>
            <w:r>
              <w:rPr>
                <w:color w:val="000000"/>
                <w:sz w:val="24"/>
              </w:rPr>
              <w:t>109,419</w:t>
            </w:r>
          </w:p>
        </w:tc>
        <w:tc>
          <w:tcPr>
            <w:tcW w:w="1932" w:type="dxa"/>
            <w:vAlign w:val="center"/>
          </w:tcPr>
          <w:p w:rsidR="00413707" w:rsidRDefault="00532CED">
            <w:pPr>
              <w:jc w:val="right"/>
            </w:pPr>
            <w:r>
              <w:rPr>
                <w:color w:val="000000"/>
                <w:sz w:val="24"/>
              </w:rPr>
              <w:t>1,898,419.65</w:t>
            </w:r>
          </w:p>
        </w:tc>
        <w:tc>
          <w:tcPr>
            <w:tcW w:w="1612" w:type="dxa"/>
            <w:vAlign w:val="center"/>
          </w:tcPr>
          <w:p w:rsidR="00413707" w:rsidRDefault="00532CED">
            <w:pPr>
              <w:jc w:val="right"/>
            </w:pPr>
            <w:r>
              <w:rPr>
                <w:color w:val="000000"/>
                <w:sz w:val="24"/>
              </w:rPr>
              <w:t>1.47</w:t>
            </w:r>
          </w:p>
        </w:tc>
      </w:tr>
      <w:tr w:rsidR="00413707">
        <w:trPr>
          <w:jc w:val="center"/>
        </w:trPr>
        <w:tc>
          <w:tcPr>
            <w:tcW w:w="817" w:type="dxa"/>
            <w:vAlign w:val="center"/>
          </w:tcPr>
          <w:p w:rsidR="00413707" w:rsidRDefault="00532CED">
            <w:pPr>
              <w:jc w:val="center"/>
            </w:pPr>
            <w:r>
              <w:rPr>
                <w:color w:val="000000"/>
                <w:sz w:val="24"/>
              </w:rPr>
              <w:t>15</w:t>
            </w:r>
          </w:p>
        </w:tc>
        <w:tc>
          <w:tcPr>
            <w:tcW w:w="1276" w:type="dxa"/>
            <w:vAlign w:val="center"/>
          </w:tcPr>
          <w:p w:rsidR="00413707" w:rsidRDefault="00532CED">
            <w:pPr>
              <w:jc w:val="center"/>
            </w:pPr>
            <w:r>
              <w:rPr>
                <w:color w:val="000000"/>
                <w:sz w:val="24"/>
              </w:rPr>
              <w:t>002582</w:t>
            </w:r>
          </w:p>
        </w:tc>
        <w:tc>
          <w:tcPr>
            <w:tcW w:w="1701" w:type="dxa"/>
            <w:vAlign w:val="center"/>
          </w:tcPr>
          <w:p w:rsidR="00413707" w:rsidRDefault="00532CED">
            <w:pPr>
              <w:jc w:val="center"/>
            </w:pPr>
            <w:r>
              <w:rPr>
                <w:color w:val="000000"/>
                <w:sz w:val="24"/>
              </w:rPr>
              <w:t>好想你</w:t>
            </w:r>
          </w:p>
        </w:tc>
        <w:tc>
          <w:tcPr>
            <w:tcW w:w="1559" w:type="dxa"/>
            <w:vAlign w:val="center"/>
          </w:tcPr>
          <w:p w:rsidR="00413707" w:rsidRDefault="00532CED">
            <w:pPr>
              <w:jc w:val="right"/>
            </w:pPr>
            <w:r>
              <w:rPr>
                <w:color w:val="000000"/>
                <w:sz w:val="24"/>
              </w:rPr>
              <w:t>247,400</w:t>
            </w:r>
          </w:p>
        </w:tc>
        <w:tc>
          <w:tcPr>
            <w:tcW w:w="1932" w:type="dxa"/>
            <w:vAlign w:val="center"/>
          </w:tcPr>
          <w:p w:rsidR="00413707" w:rsidRDefault="00532CED">
            <w:pPr>
              <w:jc w:val="right"/>
            </w:pPr>
            <w:r>
              <w:rPr>
                <w:color w:val="000000"/>
                <w:sz w:val="24"/>
              </w:rPr>
              <w:t>1,860,448.00</w:t>
            </w:r>
          </w:p>
        </w:tc>
        <w:tc>
          <w:tcPr>
            <w:tcW w:w="1612" w:type="dxa"/>
            <w:vAlign w:val="center"/>
          </w:tcPr>
          <w:p w:rsidR="00413707" w:rsidRDefault="00532CED">
            <w:pPr>
              <w:jc w:val="right"/>
            </w:pPr>
            <w:r>
              <w:rPr>
                <w:color w:val="000000"/>
                <w:sz w:val="24"/>
              </w:rPr>
              <w:t>1.44</w:t>
            </w:r>
          </w:p>
        </w:tc>
      </w:tr>
      <w:tr w:rsidR="00413707">
        <w:trPr>
          <w:jc w:val="center"/>
        </w:trPr>
        <w:tc>
          <w:tcPr>
            <w:tcW w:w="817" w:type="dxa"/>
            <w:vAlign w:val="center"/>
          </w:tcPr>
          <w:p w:rsidR="00413707" w:rsidRDefault="00532CED">
            <w:pPr>
              <w:jc w:val="center"/>
            </w:pPr>
            <w:r>
              <w:rPr>
                <w:color w:val="000000"/>
                <w:sz w:val="24"/>
              </w:rPr>
              <w:t>16</w:t>
            </w:r>
          </w:p>
        </w:tc>
        <w:tc>
          <w:tcPr>
            <w:tcW w:w="1276" w:type="dxa"/>
            <w:vAlign w:val="center"/>
          </w:tcPr>
          <w:p w:rsidR="00413707" w:rsidRDefault="00532CED">
            <w:pPr>
              <w:jc w:val="center"/>
            </w:pPr>
            <w:r>
              <w:rPr>
                <w:color w:val="000000"/>
                <w:sz w:val="24"/>
              </w:rPr>
              <w:t>603587</w:t>
            </w:r>
          </w:p>
        </w:tc>
        <w:tc>
          <w:tcPr>
            <w:tcW w:w="1701" w:type="dxa"/>
            <w:vAlign w:val="center"/>
          </w:tcPr>
          <w:p w:rsidR="00413707" w:rsidRDefault="00532CED">
            <w:pPr>
              <w:jc w:val="center"/>
            </w:pPr>
            <w:proofErr w:type="gramStart"/>
            <w:r>
              <w:rPr>
                <w:color w:val="000000"/>
                <w:sz w:val="24"/>
              </w:rPr>
              <w:t>地素时尚</w:t>
            </w:r>
            <w:proofErr w:type="gramEnd"/>
          </w:p>
        </w:tc>
        <w:tc>
          <w:tcPr>
            <w:tcW w:w="1559" w:type="dxa"/>
            <w:vAlign w:val="center"/>
          </w:tcPr>
          <w:p w:rsidR="00413707" w:rsidRDefault="00532CED">
            <w:pPr>
              <w:jc w:val="right"/>
            </w:pPr>
            <w:r>
              <w:rPr>
                <w:color w:val="000000"/>
                <w:sz w:val="24"/>
              </w:rPr>
              <w:t>62,700</w:t>
            </w:r>
          </w:p>
        </w:tc>
        <w:tc>
          <w:tcPr>
            <w:tcW w:w="1932" w:type="dxa"/>
            <w:vAlign w:val="center"/>
          </w:tcPr>
          <w:p w:rsidR="00413707" w:rsidRDefault="00532CED">
            <w:pPr>
              <w:jc w:val="right"/>
            </w:pPr>
            <w:r>
              <w:rPr>
                <w:color w:val="000000"/>
                <w:sz w:val="24"/>
              </w:rPr>
              <w:t>1,378,773.00</w:t>
            </w:r>
          </w:p>
        </w:tc>
        <w:tc>
          <w:tcPr>
            <w:tcW w:w="1612" w:type="dxa"/>
            <w:vAlign w:val="center"/>
          </w:tcPr>
          <w:p w:rsidR="00413707" w:rsidRDefault="00532CED">
            <w:pPr>
              <w:jc w:val="right"/>
            </w:pPr>
            <w:r>
              <w:rPr>
                <w:color w:val="000000"/>
                <w:sz w:val="24"/>
              </w:rPr>
              <w:t>1.07</w:t>
            </w:r>
          </w:p>
        </w:tc>
      </w:tr>
      <w:tr w:rsidR="00413707">
        <w:trPr>
          <w:jc w:val="center"/>
        </w:trPr>
        <w:tc>
          <w:tcPr>
            <w:tcW w:w="817" w:type="dxa"/>
            <w:vAlign w:val="center"/>
          </w:tcPr>
          <w:p w:rsidR="00413707" w:rsidRDefault="00532CED">
            <w:pPr>
              <w:jc w:val="center"/>
            </w:pPr>
            <w:r>
              <w:rPr>
                <w:color w:val="000000"/>
                <w:sz w:val="24"/>
              </w:rPr>
              <w:t>17</w:t>
            </w:r>
          </w:p>
        </w:tc>
        <w:tc>
          <w:tcPr>
            <w:tcW w:w="1276" w:type="dxa"/>
            <w:vAlign w:val="center"/>
          </w:tcPr>
          <w:p w:rsidR="00413707" w:rsidRDefault="00532CED">
            <w:pPr>
              <w:jc w:val="center"/>
            </w:pPr>
            <w:r>
              <w:rPr>
                <w:color w:val="000000"/>
                <w:sz w:val="24"/>
              </w:rPr>
              <w:t>600612</w:t>
            </w:r>
          </w:p>
        </w:tc>
        <w:tc>
          <w:tcPr>
            <w:tcW w:w="1701" w:type="dxa"/>
            <w:vAlign w:val="center"/>
          </w:tcPr>
          <w:p w:rsidR="00413707" w:rsidRDefault="00532CED">
            <w:pPr>
              <w:jc w:val="center"/>
            </w:pPr>
            <w:r>
              <w:rPr>
                <w:color w:val="000000"/>
                <w:sz w:val="24"/>
              </w:rPr>
              <w:t>老凤</w:t>
            </w:r>
            <w:proofErr w:type="gramStart"/>
            <w:r>
              <w:rPr>
                <w:color w:val="000000"/>
                <w:sz w:val="24"/>
              </w:rPr>
              <w:t>祥</w:t>
            </w:r>
            <w:proofErr w:type="gramEnd"/>
          </w:p>
        </w:tc>
        <w:tc>
          <w:tcPr>
            <w:tcW w:w="1559" w:type="dxa"/>
            <w:vAlign w:val="center"/>
          </w:tcPr>
          <w:p w:rsidR="00413707" w:rsidRDefault="00532CED">
            <w:pPr>
              <w:jc w:val="right"/>
            </w:pPr>
            <w:r>
              <w:rPr>
                <w:color w:val="000000"/>
                <w:sz w:val="24"/>
              </w:rPr>
              <w:t>30,500</w:t>
            </w:r>
          </w:p>
        </w:tc>
        <w:tc>
          <w:tcPr>
            <w:tcW w:w="1932" w:type="dxa"/>
            <w:vAlign w:val="center"/>
          </w:tcPr>
          <w:p w:rsidR="00413707" w:rsidRDefault="00532CED">
            <w:pPr>
              <w:jc w:val="right"/>
            </w:pPr>
            <w:r>
              <w:rPr>
                <w:color w:val="000000"/>
                <w:sz w:val="24"/>
              </w:rPr>
              <w:t>1,372,500.00</w:t>
            </w:r>
          </w:p>
        </w:tc>
        <w:tc>
          <w:tcPr>
            <w:tcW w:w="1612" w:type="dxa"/>
            <w:vAlign w:val="center"/>
          </w:tcPr>
          <w:p w:rsidR="00413707" w:rsidRDefault="00532CED">
            <w:pPr>
              <w:jc w:val="right"/>
            </w:pPr>
            <w:r>
              <w:rPr>
                <w:color w:val="000000"/>
                <w:sz w:val="24"/>
              </w:rPr>
              <w:t>1.06</w:t>
            </w:r>
          </w:p>
        </w:tc>
      </w:tr>
      <w:tr w:rsidR="00413707">
        <w:trPr>
          <w:jc w:val="center"/>
        </w:trPr>
        <w:tc>
          <w:tcPr>
            <w:tcW w:w="817" w:type="dxa"/>
            <w:vAlign w:val="center"/>
          </w:tcPr>
          <w:p w:rsidR="00413707" w:rsidRDefault="00532CED">
            <w:pPr>
              <w:jc w:val="center"/>
            </w:pPr>
            <w:r>
              <w:rPr>
                <w:color w:val="000000"/>
                <w:sz w:val="24"/>
              </w:rPr>
              <w:t>18</w:t>
            </w:r>
          </w:p>
        </w:tc>
        <w:tc>
          <w:tcPr>
            <w:tcW w:w="1276" w:type="dxa"/>
            <w:vAlign w:val="center"/>
          </w:tcPr>
          <w:p w:rsidR="00413707" w:rsidRDefault="00532CED">
            <w:pPr>
              <w:jc w:val="center"/>
            </w:pPr>
            <w:r>
              <w:rPr>
                <w:color w:val="000000"/>
                <w:sz w:val="24"/>
              </w:rPr>
              <w:t>002206</w:t>
            </w:r>
          </w:p>
        </w:tc>
        <w:tc>
          <w:tcPr>
            <w:tcW w:w="1701" w:type="dxa"/>
            <w:vAlign w:val="center"/>
          </w:tcPr>
          <w:p w:rsidR="00413707" w:rsidRDefault="00532CED">
            <w:pPr>
              <w:jc w:val="center"/>
            </w:pPr>
            <w:r>
              <w:rPr>
                <w:color w:val="000000"/>
                <w:sz w:val="24"/>
              </w:rPr>
              <w:t>海利得</w:t>
            </w:r>
          </w:p>
        </w:tc>
        <w:tc>
          <w:tcPr>
            <w:tcW w:w="1559" w:type="dxa"/>
            <w:vAlign w:val="center"/>
          </w:tcPr>
          <w:p w:rsidR="00413707" w:rsidRDefault="00532CED">
            <w:pPr>
              <w:jc w:val="right"/>
            </w:pPr>
            <w:r>
              <w:rPr>
                <w:color w:val="000000"/>
                <w:sz w:val="24"/>
              </w:rPr>
              <w:t>349,776</w:t>
            </w:r>
          </w:p>
        </w:tc>
        <w:tc>
          <w:tcPr>
            <w:tcW w:w="1932" w:type="dxa"/>
            <w:vAlign w:val="center"/>
          </w:tcPr>
          <w:p w:rsidR="00413707" w:rsidRDefault="00532CED">
            <w:pPr>
              <w:jc w:val="right"/>
            </w:pPr>
            <w:r>
              <w:rPr>
                <w:color w:val="000000"/>
                <w:sz w:val="24"/>
              </w:rPr>
              <w:t>1,332,646.56</w:t>
            </w:r>
          </w:p>
        </w:tc>
        <w:tc>
          <w:tcPr>
            <w:tcW w:w="1612" w:type="dxa"/>
            <w:vAlign w:val="center"/>
          </w:tcPr>
          <w:p w:rsidR="00413707" w:rsidRDefault="00532CED">
            <w:pPr>
              <w:jc w:val="right"/>
            </w:pPr>
            <w:r>
              <w:rPr>
                <w:color w:val="000000"/>
                <w:sz w:val="24"/>
              </w:rPr>
              <w:t>1.03</w:t>
            </w:r>
          </w:p>
        </w:tc>
      </w:tr>
      <w:tr w:rsidR="00413707">
        <w:trPr>
          <w:jc w:val="center"/>
        </w:trPr>
        <w:tc>
          <w:tcPr>
            <w:tcW w:w="817" w:type="dxa"/>
            <w:vAlign w:val="center"/>
          </w:tcPr>
          <w:p w:rsidR="00413707" w:rsidRDefault="00532CED">
            <w:pPr>
              <w:jc w:val="center"/>
            </w:pPr>
            <w:r>
              <w:rPr>
                <w:color w:val="000000"/>
                <w:sz w:val="24"/>
              </w:rPr>
              <w:t>19</w:t>
            </w:r>
          </w:p>
        </w:tc>
        <w:tc>
          <w:tcPr>
            <w:tcW w:w="1276" w:type="dxa"/>
            <w:vAlign w:val="center"/>
          </w:tcPr>
          <w:p w:rsidR="00413707" w:rsidRDefault="00532CED">
            <w:pPr>
              <w:jc w:val="center"/>
            </w:pPr>
            <w:r>
              <w:rPr>
                <w:color w:val="000000"/>
                <w:sz w:val="24"/>
              </w:rPr>
              <w:t>002014</w:t>
            </w:r>
          </w:p>
        </w:tc>
        <w:tc>
          <w:tcPr>
            <w:tcW w:w="1701" w:type="dxa"/>
            <w:vAlign w:val="center"/>
          </w:tcPr>
          <w:p w:rsidR="00413707" w:rsidRDefault="00532CED">
            <w:pPr>
              <w:jc w:val="center"/>
            </w:pPr>
            <w:r>
              <w:rPr>
                <w:color w:val="000000"/>
                <w:sz w:val="24"/>
              </w:rPr>
              <w:t>永新股份</w:t>
            </w:r>
          </w:p>
        </w:tc>
        <w:tc>
          <w:tcPr>
            <w:tcW w:w="1559" w:type="dxa"/>
            <w:vAlign w:val="center"/>
          </w:tcPr>
          <w:p w:rsidR="00413707" w:rsidRDefault="00532CED">
            <w:pPr>
              <w:jc w:val="right"/>
            </w:pPr>
            <w:r>
              <w:rPr>
                <w:color w:val="000000"/>
                <w:sz w:val="24"/>
              </w:rPr>
              <w:t>201,300</w:t>
            </w:r>
          </w:p>
        </w:tc>
        <w:tc>
          <w:tcPr>
            <w:tcW w:w="1932" w:type="dxa"/>
            <w:vAlign w:val="center"/>
          </w:tcPr>
          <w:p w:rsidR="00413707" w:rsidRDefault="00532CED">
            <w:pPr>
              <w:jc w:val="right"/>
            </w:pPr>
            <w:r>
              <w:rPr>
                <w:color w:val="000000"/>
                <w:sz w:val="24"/>
              </w:rPr>
              <w:t>1,320,528.00</w:t>
            </w:r>
          </w:p>
        </w:tc>
        <w:tc>
          <w:tcPr>
            <w:tcW w:w="1612" w:type="dxa"/>
            <w:vAlign w:val="center"/>
          </w:tcPr>
          <w:p w:rsidR="00413707" w:rsidRDefault="00532CED">
            <w:pPr>
              <w:jc w:val="right"/>
            </w:pPr>
            <w:r>
              <w:rPr>
                <w:color w:val="000000"/>
                <w:sz w:val="24"/>
              </w:rPr>
              <w:t>1.02</w:t>
            </w:r>
          </w:p>
        </w:tc>
      </w:tr>
      <w:tr w:rsidR="00413707">
        <w:trPr>
          <w:jc w:val="center"/>
        </w:trPr>
        <w:tc>
          <w:tcPr>
            <w:tcW w:w="817" w:type="dxa"/>
            <w:vAlign w:val="center"/>
          </w:tcPr>
          <w:p w:rsidR="00413707" w:rsidRDefault="00532CED">
            <w:pPr>
              <w:jc w:val="center"/>
            </w:pPr>
            <w:r>
              <w:rPr>
                <w:color w:val="000000"/>
                <w:sz w:val="24"/>
              </w:rPr>
              <w:t>20</w:t>
            </w:r>
          </w:p>
        </w:tc>
        <w:tc>
          <w:tcPr>
            <w:tcW w:w="1276" w:type="dxa"/>
            <w:vAlign w:val="center"/>
          </w:tcPr>
          <w:p w:rsidR="00413707" w:rsidRDefault="00532CED">
            <w:pPr>
              <w:jc w:val="center"/>
            </w:pPr>
            <w:r>
              <w:rPr>
                <w:color w:val="000000"/>
                <w:sz w:val="24"/>
              </w:rPr>
              <w:t>002568</w:t>
            </w:r>
          </w:p>
        </w:tc>
        <w:tc>
          <w:tcPr>
            <w:tcW w:w="1701" w:type="dxa"/>
            <w:vAlign w:val="center"/>
          </w:tcPr>
          <w:p w:rsidR="00413707" w:rsidRDefault="00532CED">
            <w:pPr>
              <w:jc w:val="center"/>
            </w:pPr>
            <w:proofErr w:type="gramStart"/>
            <w:r>
              <w:rPr>
                <w:color w:val="000000"/>
                <w:sz w:val="24"/>
              </w:rPr>
              <w:t>百润股份</w:t>
            </w:r>
            <w:proofErr w:type="gramEnd"/>
          </w:p>
        </w:tc>
        <w:tc>
          <w:tcPr>
            <w:tcW w:w="1559" w:type="dxa"/>
            <w:vAlign w:val="center"/>
          </w:tcPr>
          <w:p w:rsidR="00413707" w:rsidRDefault="00532CED">
            <w:pPr>
              <w:jc w:val="right"/>
            </w:pPr>
            <w:r>
              <w:rPr>
                <w:color w:val="000000"/>
                <w:sz w:val="24"/>
              </w:rPr>
              <w:t>143,300</w:t>
            </w:r>
          </w:p>
        </w:tc>
        <w:tc>
          <w:tcPr>
            <w:tcW w:w="1932" w:type="dxa"/>
            <w:vAlign w:val="center"/>
          </w:tcPr>
          <w:p w:rsidR="00413707" w:rsidRDefault="00532CED">
            <w:pPr>
              <w:jc w:val="right"/>
            </w:pPr>
            <w:r>
              <w:rPr>
                <w:color w:val="000000"/>
                <w:sz w:val="24"/>
              </w:rPr>
              <w:t>1,309,762.00</w:t>
            </w:r>
          </w:p>
        </w:tc>
        <w:tc>
          <w:tcPr>
            <w:tcW w:w="1612" w:type="dxa"/>
            <w:vAlign w:val="center"/>
          </w:tcPr>
          <w:p w:rsidR="00413707" w:rsidRDefault="00532CED">
            <w:pPr>
              <w:jc w:val="right"/>
            </w:pPr>
            <w:r>
              <w:rPr>
                <w:color w:val="000000"/>
                <w:sz w:val="24"/>
              </w:rPr>
              <w:t>1.02</w:t>
            </w:r>
          </w:p>
        </w:tc>
      </w:tr>
      <w:tr w:rsidR="00413707">
        <w:trPr>
          <w:jc w:val="center"/>
        </w:trPr>
        <w:tc>
          <w:tcPr>
            <w:tcW w:w="817" w:type="dxa"/>
            <w:vAlign w:val="center"/>
          </w:tcPr>
          <w:p w:rsidR="00413707" w:rsidRDefault="00532CED">
            <w:pPr>
              <w:jc w:val="center"/>
            </w:pPr>
            <w:r>
              <w:rPr>
                <w:color w:val="000000"/>
                <w:sz w:val="24"/>
              </w:rPr>
              <w:t>21</w:t>
            </w:r>
          </w:p>
        </w:tc>
        <w:tc>
          <w:tcPr>
            <w:tcW w:w="1276" w:type="dxa"/>
            <w:vAlign w:val="center"/>
          </w:tcPr>
          <w:p w:rsidR="00413707" w:rsidRDefault="00532CED">
            <w:pPr>
              <w:jc w:val="center"/>
            </w:pPr>
            <w:r>
              <w:rPr>
                <w:color w:val="000000"/>
                <w:sz w:val="24"/>
              </w:rPr>
              <w:t>603355</w:t>
            </w:r>
          </w:p>
        </w:tc>
        <w:tc>
          <w:tcPr>
            <w:tcW w:w="1701" w:type="dxa"/>
            <w:vAlign w:val="center"/>
          </w:tcPr>
          <w:p w:rsidR="00413707" w:rsidRDefault="00532CED">
            <w:pPr>
              <w:jc w:val="center"/>
            </w:pPr>
            <w:r>
              <w:rPr>
                <w:color w:val="000000"/>
                <w:sz w:val="24"/>
              </w:rPr>
              <w:t>莱克电气</w:t>
            </w:r>
          </w:p>
        </w:tc>
        <w:tc>
          <w:tcPr>
            <w:tcW w:w="1559" w:type="dxa"/>
            <w:vAlign w:val="center"/>
          </w:tcPr>
          <w:p w:rsidR="00413707" w:rsidRDefault="00532CED">
            <w:pPr>
              <w:jc w:val="right"/>
            </w:pPr>
            <w:r>
              <w:rPr>
                <w:color w:val="000000"/>
                <w:sz w:val="24"/>
              </w:rPr>
              <w:t>60,899</w:t>
            </w:r>
          </w:p>
        </w:tc>
        <w:tc>
          <w:tcPr>
            <w:tcW w:w="1932" w:type="dxa"/>
            <w:vAlign w:val="center"/>
          </w:tcPr>
          <w:p w:rsidR="00413707" w:rsidRDefault="00532CED">
            <w:pPr>
              <w:jc w:val="right"/>
            </w:pPr>
            <w:r>
              <w:rPr>
                <w:color w:val="000000"/>
                <w:sz w:val="24"/>
              </w:rPr>
              <w:t>1,309,328.50</w:t>
            </w:r>
          </w:p>
        </w:tc>
        <w:tc>
          <w:tcPr>
            <w:tcW w:w="1612" w:type="dxa"/>
            <w:vAlign w:val="center"/>
          </w:tcPr>
          <w:p w:rsidR="00413707" w:rsidRDefault="00532CED">
            <w:pPr>
              <w:jc w:val="right"/>
            </w:pPr>
            <w:r>
              <w:rPr>
                <w:color w:val="000000"/>
                <w:sz w:val="24"/>
              </w:rPr>
              <w:t>1.02</w:t>
            </w:r>
          </w:p>
        </w:tc>
      </w:tr>
      <w:tr w:rsidR="00413707">
        <w:trPr>
          <w:jc w:val="center"/>
        </w:trPr>
        <w:tc>
          <w:tcPr>
            <w:tcW w:w="817" w:type="dxa"/>
            <w:vAlign w:val="center"/>
          </w:tcPr>
          <w:p w:rsidR="00413707" w:rsidRDefault="00532CED">
            <w:pPr>
              <w:jc w:val="center"/>
            </w:pPr>
            <w:r>
              <w:rPr>
                <w:color w:val="000000"/>
                <w:sz w:val="24"/>
              </w:rPr>
              <w:t>22</w:t>
            </w:r>
          </w:p>
        </w:tc>
        <w:tc>
          <w:tcPr>
            <w:tcW w:w="1276" w:type="dxa"/>
            <w:vAlign w:val="center"/>
          </w:tcPr>
          <w:p w:rsidR="00413707" w:rsidRDefault="00532CED">
            <w:pPr>
              <w:jc w:val="center"/>
            </w:pPr>
            <w:r>
              <w:rPr>
                <w:color w:val="000000"/>
                <w:sz w:val="24"/>
              </w:rPr>
              <w:t>002701</w:t>
            </w:r>
          </w:p>
        </w:tc>
        <w:tc>
          <w:tcPr>
            <w:tcW w:w="1701" w:type="dxa"/>
            <w:vAlign w:val="center"/>
          </w:tcPr>
          <w:p w:rsidR="00413707" w:rsidRDefault="00532CED">
            <w:pPr>
              <w:jc w:val="center"/>
            </w:pPr>
            <w:r>
              <w:rPr>
                <w:color w:val="000000"/>
                <w:sz w:val="24"/>
              </w:rPr>
              <w:t>奥瑞金</w:t>
            </w:r>
          </w:p>
        </w:tc>
        <w:tc>
          <w:tcPr>
            <w:tcW w:w="1559" w:type="dxa"/>
            <w:vAlign w:val="center"/>
          </w:tcPr>
          <w:p w:rsidR="00413707" w:rsidRDefault="00532CED">
            <w:pPr>
              <w:jc w:val="right"/>
            </w:pPr>
            <w:r>
              <w:rPr>
                <w:color w:val="000000"/>
                <w:sz w:val="24"/>
              </w:rPr>
              <w:t>258,000</w:t>
            </w:r>
          </w:p>
        </w:tc>
        <w:tc>
          <w:tcPr>
            <w:tcW w:w="1932" w:type="dxa"/>
            <w:vAlign w:val="center"/>
          </w:tcPr>
          <w:p w:rsidR="00413707" w:rsidRDefault="00532CED">
            <w:pPr>
              <w:jc w:val="right"/>
            </w:pPr>
            <w:r>
              <w:rPr>
                <w:color w:val="000000"/>
                <w:sz w:val="24"/>
              </w:rPr>
              <w:t>1,305,480.00</w:t>
            </w:r>
          </w:p>
        </w:tc>
        <w:tc>
          <w:tcPr>
            <w:tcW w:w="1612" w:type="dxa"/>
            <w:vAlign w:val="center"/>
          </w:tcPr>
          <w:p w:rsidR="00413707" w:rsidRDefault="00532CED">
            <w:pPr>
              <w:jc w:val="right"/>
            </w:pPr>
            <w:r>
              <w:rPr>
                <w:color w:val="000000"/>
                <w:sz w:val="24"/>
              </w:rPr>
              <w:t>1.01</w:t>
            </w:r>
          </w:p>
        </w:tc>
      </w:tr>
      <w:tr w:rsidR="00413707">
        <w:trPr>
          <w:jc w:val="center"/>
        </w:trPr>
        <w:tc>
          <w:tcPr>
            <w:tcW w:w="817" w:type="dxa"/>
            <w:vAlign w:val="center"/>
          </w:tcPr>
          <w:p w:rsidR="00413707" w:rsidRDefault="00532CED">
            <w:pPr>
              <w:jc w:val="center"/>
            </w:pPr>
            <w:r>
              <w:rPr>
                <w:color w:val="000000"/>
                <w:sz w:val="24"/>
              </w:rPr>
              <w:t>23</w:t>
            </w:r>
          </w:p>
        </w:tc>
        <w:tc>
          <w:tcPr>
            <w:tcW w:w="1276" w:type="dxa"/>
            <w:vAlign w:val="center"/>
          </w:tcPr>
          <w:p w:rsidR="00413707" w:rsidRDefault="00532CED">
            <w:pPr>
              <w:jc w:val="center"/>
            </w:pPr>
            <w:r>
              <w:rPr>
                <w:color w:val="000000"/>
                <w:sz w:val="24"/>
              </w:rPr>
              <w:t>000895</w:t>
            </w:r>
          </w:p>
        </w:tc>
        <w:tc>
          <w:tcPr>
            <w:tcW w:w="1701" w:type="dxa"/>
            <w:vAlign w:val="center"/>
          </w:tcPr>
          <w:p w:rsidR="00413707" w:rsidRDefault="00532CED">
            <w:pPr>
              <w:jc w:val="center"/>
            </w:pPr>
            <w:r>
              <w:rPr>
                <w:color w:val="000000"/>
                <w:sz w:val="24"/>
              </w:rPr>
              <w:t>双汇发展</w:t>
            </w:r>
          </w:p>
        </w:tc>
        <w:tc>
          <w:tcPr>
            <w:tcW w:w="1559" w:type="dxa"/>
            <w:vAlign w:val="center"/>
          </w:tcPr>
          <w:p w:rsidR="00413707" w:rsidRDefault="00532CED">
            <w:pPr>
              <w:jc w:val="right"/>
            </w:pPr>
            <w:r>
              <w:rPr>
                <w:color w:val="000000"/>
                <w:sz w:val="24"/>
              </w:rPr>
              <w:t>55,200</w:t>
            </w:r>
          </w:p>
        </w:tc>
        <w:tc>
          <w:tcPr>
            <w:tcW w:w="1932" w:type="dxa"/>
            <w:vAlign w:val="center"/>
          </w:tcPr>
          <w:p w:rsidR="00413707" w:rsidRDefault="00532CED">
            <w:pPr>
              <w:jc w:val="right"/>
            </w:pPr>
            <w:r>
              <w:rPr>
                <w:color w:val="000000"/>
                <w:sz w:val="24"/>
              </w:rPr>
              <w:t>1,302,168.00</w:t>
            </w:r>
          </w:p>
        </w:tc>
        <w:tc>
          <w:tcPr>
            <w:tcW w:w="1612" w:type="dxa"/>
            <w:vAlign w:val="center"/>
          </w:tcPr>
          <w:p w:rsidR="00413707" w:rsidRDefault="00532CED">
            <w:pPr>
              <w:jc w:val="right"/>
            </w:pPr>
            <w:r>
              <w:rPr>
                <w:color w:val="000000"/>
                <w:sz w:val="24"/>
              </w:rPr>
              <w:t>1.01</w:t>
            </w:r>
          </w:p>
        </w:tc>
      </w:tr>
      <w:tr w:rsidR="00413707">
        <w:trPr>
          <w:jc w:val="center"/>
        </w:trPr>
        <w:tc>
          <w:tcPr>
            <w:tcW w:w="817" w:type="dxa"/>
            <w:vAlign w:val="center"/>
          </w:tcPr>
          <w:p w:rsidR="00413707" w:rsidRDefault="00532CED">
            <w:pPr>
              <w:jc w:val="center"/>
            </w:pPr>
            <w:r>
              <w:rPr>
                <w:color w:val="000000"/>
                <w:sz w:val="24"/>
              </w:rPr>
              <w:t>24</w:t>
            </w:r>
          </w:p>
        </w:tc>
        <w:tc>
          <w:tcPr>
            <w:tcW w:w="1276" w:type="dxa"/>
            <w:vAlign w:val="center"/>
          </w:tcPr>
          <w:p w:rsidR="00413707" w:rsidRDefault="00532CED">
            <w:pPr>
              <w:jc w:val="center"/>
            </w:pPr>
            <w:r>
              <w:rPr>
                <w:color w:val="000000"/>
                <w:sz w:val="24"/>
              </w:rPr>
              <w:t>603877</w:t>
            </w:r>
          </w:p>
        </w:tc>
        <w:tc>
          <w:tcPr>
            <w:tcW w:w="1701" w:type="dxa"/>
            <w:vAlign w:val="center"/>
          </w:tcPr>
          <w:p w:rsidR="00413707" w:rsidRDefault="00532CED">
            <w:pPr>
              <w:jc w:val="center"/>
            </w:pPr>
            <w:r>
              <w:rPr>
                <w:color w:val="000000"/>
                <w:sz w:val="24"/>
              </w:rPr>
              <w:t>太平鸟</w:t>
            </w:r>
          </w:p>
        </w:tc>
        <w:tc>
          <w:tcPr>
            <w:tcW w:w="1559" w:type="dxa"/>
            <w:vAlign w:val="center"/>
          </w:tcPr>
          <w:p w:rsidR="00413707" w:rsidRDefault="00532CED">
            <w:pPr>
              <w:jc w:val="right"/>
            </w:pPr>
            <w:r>
              <w:rPr>
                <w:color w:val="000000"/>
                <w:sz w:val="24"/>
              </w:rPr>
              <w:t>68,700</w:t>
            </w:r>
          </w:p>
        </w:tc>
        <w:tc>
          <w:tcPr>
            <w:tcW w:w="1932" w:type="dxa"/>
            <w:vAlign w:val="center"/>
          </w:tcPr>
          <w:p w:rsidR="00413707" w:rsidRDefault="00532CED">
            <w:pPr>
              <w:jc w:val="right"/>
            </w:pPr>
            <w:r>
              <w:rPr>
                <w:color w:val="000000"/>
                <w:sz w:val="24"/>
              </w:rPr>
              <w:t>1,290,873.00</w:t>
            </w:r>
          </w:p>
        </w:tc>
        <w:tc>
          <w:tcPr>
            <w:tcW w:w="1612" w:type="dxa"/>
            <w:vAlign w:val="center"/>
          </w:tcPr>
          <w:p w:rsidR="00413707" w:rsidRDefault="00532CED">
            <w:pPr>
              <w:jc w:val="right"/>
            </w:pPr>
            <w:r>
              <w:rPr>
                <w:color w:val="000000"/>
                <w:sz w:val="24"/>
              </w:rPr>
              <w:t>1.00</w:t>
            </w:r>
          </w:p>
        </w:tc>
      </w:tr>
      <w:tr w:rsidR="00413707">
        <w:trPr>
          <w:jc w:val="center"/>
        </w:trPr>
        <w:tc>
          <w:tcPr>
            <w:tcW w:w="817" w:type="dxa"/>
            <w:vAlign w:val="center"/>
          </w:tcPr>
          <w:p w:rsidR="00413707" w:rsidRDefault="00532CED">
            <w:pPr>
              <w:jc w:val="center"/>
            </w:pPr>
            <w:r>
              <w:rPr>
                <w:color w:val="000000"/>
                <w:sz w:val="24"/>
              </w:rPr>
              <w:t>25</w:t>
            </w:r>
          </w:p>
        </w:tc>
        <w:tc>
          <w:tcPr>
            <w:tcW w:w="1276" w:type="dxa"/>
            <w:vAlign w:val="center"/>
          </w:tcPr>
          <w:p w:rsidR="00413707" w:rsidRDefault="00532CED">
            <w:pPr>
              <w:jc w:val="center"/>
            </w:pPr>
            <w:r>
              <w:rPr>
                <w:color w:val="000000"/>
                <w:sz w:val="24"/>
              </w:rPr>
              <w:t>002615</w:t>
            </w:r>
          </w:p>
        </w:tc>
        <w:tc>
          <w:tcPr>
            <w:tcW w:w="1701" w:type="dxa"/>
            <w:vAlign w:val="center"/>
          </w:tcPr>
          <w:p w:rsidR="00413707" w:rsidRDefault="00532CED">
            <w:pPr>
              <w:jc w:val="center"/>
            </w:pPr>
            <w:r>
              <w:rPr>
                <w:color w:val="000000"/>
                <w:sz w:val="24"/>
              </w:rPr>
              <w:t>哈尔斯</w:t>
            </w:r>
          </w:p>
        </w:tc>
        <w:tc>
          <w:tcPr>
            <w:tcW w:w="1559" w:type="dxa"/>
            <w:vAlign w:val="center"/>
          </w:tcPr>
          <w:p w:rsidR="00413707" w:rsidRDefault="00532CED">
            <w:pPr>
              <w:jc w:val="right"/>
            </w:pPr>
            <w:r>
              <w:rPr>
                <w:color w:val="000000"/>
                <w:sz w:val="24"/>
              </w:rPr>
              <w:t>266,687</w:t>
            </w:r>
          </w:p>
        </w:tc>
        <w:tc>
          <w:tcPr>
            <w:tcW w:w="1932" w:type="dxa"/>
            <w:vAlign w:val="center"/>
          </w:tcPr>
          <w:p w:rsidR="00413707" w:rsidRDefault="00532CED">
            <w:pPr>
              <w:jc w:val="right"/>
            </w:pPr>
            <w:r>
              <w:rPr>
                <w:color w:val="000000"/>
                <w:sz w:val="24"/>
              </w:rPr>
              <w:t>1,288,098.21</w:t>
            </w:r>
          </w:p>
        </w:tc>
        <w:tc>
          <w:tcPr>
            <w:tcW w:w="1612" w:type="dxa"/>
            <w:vAlign w:val="center"/>
          </w:tcPr>
          <w:p w:rsidR="00413707" w:rsidRDefault="00532CED">
            <w:pPr>
              <w:jc w:val="right"/>
            </w:pPr>
            <w:r>
              <w:rPr>
                <w:color w:val="000000"/>
                <w:sz w:val="24"/>
              </w:rPr>
              <w:t>1.00</w:t>
            </w:r>
          </w:p>
        </w:tc>
      </w:tr>
      <w:tr w:rsidR="00413707">
        <w:trPr>
          <w:jc w:val="center"/>
        </w:trPr>
        <w:tc>
          <w:tcPr>
            <w:tcW w:w="817" w:type="dxa"/>
            <w:vAlign w:val="center"/>
          </w:tcPr>
          <w:p w:rsidR="00413707" w:rsidRDefault="00532CED">
            <w:pPr>
              <w:jc w:val="center"/>
            </w:pPr>
            <w:r>
              <w:rPr>
                <w:color w:val="000000"/>
                <w:sz w:val="24"/>
              </w:rPr>
              <w:t>26</w:t>
            </w:r>
          </w:p>
        </w:tc>
        <w:tc>
          <w:tcPr>
            <w:tcW w:w="1276" w:type="dxa"/>
            <w:vAlign w:val="center"/>
          </w:tcPr>
          <w:p w:rsidR="00413707" w:rsidRDefault="00532CED">
            <w:pPr>
              <w:jc w:val="center"/>
            </w:pPr>
            <w:r>
              <w:rPr>
                <w:color w:val="000000"/>
                <w:sz w:val="24"/>
              </w:rPr>
              <w:t>601566</w:t>
            </w:r>
          </w:p>
        </w:tc>
        <w:tc>
          <w:tcPr>
            <w:tcW w:w="1701" w:type="dxa"/>
            <w:vAlign w:val="center"/>
          </w:tcPr>
          <w:p w:rsidR="00413707" w:rsidRDefault="00532CED">
            <w:pPr>
              <w:jc w:val="center"/>
            </w:pPr>
            <w:proofErr w:type="gramStart"/>
            <w:r>
              <w:rPr>
                <w:color w:val="000000"/>
                <w:sz w:val="24"/>
              </w:rPr>
              <w:t>九牧王</w:t>
            </w:r>
            <w:proofErr w:type="gramEnd"/>
          </w:p>
        </w:tc>
        <w:tc>
          <w:tcPr>
            <w:tcW w:w="1559" w:type="dxa"/>
            <w:vAlign w:val="center"/>
          </w:tcPr>
          <w:p w:rsidR="00413707" w:rsidRDefault="00532CED">
            <w:pPr>
              <w:jc w:val="right"/>
            </w:pPr>
            <w:r>
              <w:rPr>
                <w:color w:val="000000"/>
                <w:sz w:val="24"/>
              </w:rPr>
              <w:t>96,000</w:t>
            </w:r>
          </w:p>
        </w:tc>
        <w:tc>
          <w:tcPr>
            <w:tcW w:w="1932" w:type="dxa"/>
            <w:vAlign w:val="center"/>
          </w:tcPr>
          <w:p w:rsidR="00413707" w:rsidRDefault="00532CED">
            <w:pPr>
              <w:jc w:val="right"/>
            </w:pPr>
            <w:r>
              <w:rPr>
                <w:color w:val="000000"/>
                <w:sz w:val="24"/>
              </w:rPr>
              <w:t>1,272,000.00</w:t>
            </w:r>
          </w:p>
        </w:tc>
        <w:tc>
          <w:tcPr>
            <w:tcW w:w="1612" w:type="dxa"/>
            <w:vAlign w:val="center"/>
          </w:tcPr>
          <w:p w:rsidR="00413707" w:rsidRDefault="00532CED">
            <w:pPr>
              <w:jc w:val="right"/>
            </w:pPr>
            <w:r>
              <w:rPr>
                <w:color w:val="000000"/>
                <w:sz w:val="24"/>
              </w:rPr>
              <w:t>0.99</w:t>
            </w:r>
          </w:p>
        </w:tc>
      </w:tr>
      <w:tr w:rsidR="00413707">
        <w:trPr>
          <w:jc w:val="center"/>
        </w:trPr>
        <w:tc>
          <w:tcPr>
            <w:tcW w:w="817" w:type="dxa"/>
            <w:vAlign w:val="center"/>
          </w:tcPr>
          <w:p w:rsidR="00413707" w:rsidRDefault="00532CED">
            <w:pPr>
              <w:jc w:val="center"/>
            </w:pPr>
            <w:r>
              <w:rPr>
                <w:color w:val="000000"/>
                <w:sz w:val="24"/>
              </w:rPr>
              <w:t>27</w:t>
            </w:r>
          </w:p>
        </w:tc>
        <w:tc>
          <w:tcPr>
            <w:tcW w:w="1276" w:type="dxa"/>
            <w:vAlign w:val="center"/>
          </w:tcPr>
          <w:p w:rsidR="00413707" w:rsidRDefault="00532CED">
            <w:pPr>
              <w:jc w:val="center"/>
            </w:pPr>
            <w:r>
              <w:rPr>
                <w:color w:val="000000"/>
                <w:sz w:val="24"/>
              </w:rPr>
              <w:t>601009</w:t>
            </w:r>
          </w:p>
        </w:tc>
        <w:tc>
          <w:tcPr>
            <w:tcW w:w="1701" w:type="dxa"/>
            <w:vAlign w:val="center"/>
          </w:tcPr>
          <w:p w:rsidR="00413707" w:rsidRDefault="00532CED">
            <w:pPr>
              <w:jc w:val="center"/>
            </w:pPr>
            <w:r>
              <w:rPr>
                <w:color w:val="000000"/>
                <w:sz w:val="24"/>
              </w:rPr>
              <w:t>南京银行</w:t>
            </w:r>
          </w:p>
        </w:tc>
        <w:tc>
          <w:tcPr>
            <w:tcW w:w="1559" w:type="dxa"/>
            <w:vAlign w:val="center"/>
          </w:tcPr>
          <w:p w:rsidR="00413707" w:rsidRDefault="00532CED">
            <w:pPr>
              <w:jc w:val="right"/>
            </w:pPr>
            <w:r>
              <w:rPr>
                <w:color w:val="000000"/>
                <w:sz w:val="24"/>
              </w:rPr>
              <w:t>196,900</w:t>
            </w:r>
          </w:p>
        </w:tc>
        <w:tc>
          <w:tcPr>
            <w:tcW w:w="1932" w:type="dxa"/>
            <w:vAlign w:val="center"/>
          </w:tcPr>
          <w:p w:rsidR="00413707" w:rsidRDefault="00532CED">
            <w:pPr>
              <w:jc w:val="right"/>
            </w:pPr>
            <w:r>
              <w:rPr>
                <w:color w:val="000000"/>
                <w:sz w:val="24"/>
              </w:rPr>
              <w:t>1,271,974.00</w:t>
            </w:r>
          </w:p>
        </w:tc>
        <w:tc>
          <w:tcPr>
            <w:tcW w:w="1612" w:type="dxa"/>
            <w:vAlign w:val="center"/>
          </w:tcPr>
          <w:p w:rsidR="00413707" w:rsidRDefault="00532CED">
            <w:pPr>
              <w:jc w:val="right"/>
            </w:pPr>
            <w:r>
              <w:rPr>
                <w:color w:val="000000"/>
                <w:sz w:val="24"/>
              </w:rPr>
              <w:t>0.99</w:t>
            </w:r>
          </w:p>
        </w:tc>
      </w:tr>
      <w:tr w:rsidR="00413707">
        <w:trPr>
          <w:jc w:val="center"/>
        </w:trPr>
        <w:tc>
          <w:tcPr>
            <w:tcW w:w="817" w:type="dxa"/>
            <w:vAlign w:val="center"/>
          </w:tcPr>
          <w:p w:rsidR="00413707" w:rsidRDefault="00532CED">
            <w:pPr>
              <w:jc w:val="center"/>
            </w:pPr>
            <w:r>
              <w:rPr>
                <w:color w:val="000000"/>
                <w:sz w:val="24"/>
              </w:rPr>
              <w:t>28</w:t>
            </w:r>
          </w:p>
        </w:tc>
        <w:tc>
          <w:tcPr>
            <w:tcW w:w="1276" w:type="dxa"/>
            <w:vAlign w:val="center"/>
          </w:tcPr>
          <w:p w:rsidR="00413707" w:rsidRDefault="00532CED">
            <w:pPr>
              <w:jc w:val="center"/>
            </w:pPr>
            <w:r>
              <w:rPr>
                <w:color w:val="000000"/>
                <w:sz w:val="24"/>
              </w:rPr>
              <w:t>600068</w:t>
            </w:r>
          </w:p>
        </w:tc>
        <w:tc>
          <w:tcPr>
            <w:tcW w:w="1701" w:type="dxa"/>
            <w:vAlign w:val="center"/>
          </w:tcPr>
          <w:p w:rsidR="00413707" w:rsidRDefault="00532CED">
            <w:pPr>
              <w:jc w:val="center"/>
            </w:pPr>
            <w:r>
              <w:rPr>
                <w:color w:val="000000"/>
                <w:sz w:val="24"/>
              </w:rPr>
              <w:t>葛洲坝</w:t>
            </w:r>
          </w:p>
        </w:tc>
        <w:tc>
          <w:tcPr>
            <w:tcW w:w="1559" w:type="dxa"/>
            <w:vAlign w:val="center"/>
          </w:tcPr>
          <w:p w:rsidR="00413707" w:rsidRDefault="00532CED">
            <w:pPr>
              <w:jc w:val="right"/>
            </w:pPr>
            <w:r>
              <w:rPr>
                <w:color w:val="000000"/>
                <w:sz w:val="24"/>
              </w:rPr>
              <w:t>198,500</w:t>
            </w:r>
          </w:p>
        </w:tc>
        <w:tc>
          <w:tcPr>
            <w:tcW w:w="1932" w:type="dxa"/>
            <w:vAlign w:val="center"/>
          </w:tcPr>
          <w:p w:rsidR="00413707" w:rsidRDefault="00532CED">
            <w:pPr>
              <w:jc w:val="right"/>
            </w:pPr>
            <w:r>
              <w:rPr>
                <w:color w:val="000000"/>
                <w:sz w:val="24"/>
              </w:rPr>
              <w:t>1,254,520.00</w:t>
            </w:r>
          </w:p>
        </w:tc>
        <w:tc>
          <w:tcPr>
            <w:tcW w:w="1612" w:type="dxa"/>
            <w:vAlign w:val="center"/>
          </w:tcPr>
          <w:p w:rsidR="00413707" w:rsidRDefault="00532CED">
            <w:pPr>
              <w:jc w:val="right"/>
            </w:pPr>
            <w:r>
              <w:rPr>
                <w:color w:val="000000"/>
                <w:sz w:val="24"/>
              </w:rPr>
              <w:t>0.97</w:t>
            </w:r>
          </w:p>
        </w:tc>
      </w:tr>
      <w:tr w:rsidR="00413707">
        <w:trPr>
          <w:jc w:val="center"/>
        </w:trPr>
        <w:tc>
          <w:tcPr>
            <w:tcW w:w="817" w:type="dxa"/>
            <w:vAlign w:val="center"/>
          </w:tcPr>
          <w:p w:rsidR="00413707" w:rsidRDefault="00532CED">
            <w:pPr>
              <w:jc w:val="center"/>
            </w:pPr>
            <w:r>
              <w:rPr>
                <w:color w:val="000000"/>
                <w:sz w:val="24"/>
              </w:rPr>
              <w:t>29</w:t>
            </w:r>
          </w:p>
        </w:tc>
        <w:tc>
          <w:tcPr>
            <w:tcW w:w="1276" w:type="dxa"/>
            <w:vAlign w:val="center"/>
          </w:tcPr>
          <w:p w:rsidR="00413707" w:rsidRDefault="00532CED">
            <w:pPr>
              <w:jc w:val="center"/>
            </w:pPr>
            <w:r>
              <w:rPr>
                <w:color w:val="000000"/>
                <w:sz w:val="24"/>
              </w:rPr>
              <w:t>000888</w:t>
            </w:r>
          </w:p>
        </w:tc>
        <w:tc>
          <w:tcPr>
            <w:tcW w:w="1701" w:type="dxa"/>
            <w:vAlign w:val="center"/>
          </w:tcPr>
          <w:p w:rsidR="00413707" w:rsidRDefault="00532CED">
            <w:pPr>
              <w:jc w:val="center"/>
            </w:pPr>
            <w:r>
              <w:rPr>
                <w:color w:val="000000"/>
                <w:sz w:val="24"/>
              </w:rPr>
              <w:t>峨眉山</w:t>
            </w:r>
            <w:r>
              <w:rPr>
                <w:color w:val="000000"/>
                <w:sz w:val="24"/>
              </w:rPr>
              <w:t>A</w:t>
            </w:r>
          </w:p>
        </w:tc>
        <w:tc>
          <w:tcPr>
            <w:tcW w:w="1559" w:type="dxa"/>
            <w:vAlign w:val="center"/>
          </w:tcPr>
          <w:p w:rsidR="00413707" w:rsidRDefault="00532CED">
            <w:pPr>
              <w:jc w:val="right"/>
            </w:pPr>
            <w:r>
              <w:rPr>
                <w:color w:val="000000"/>
                <w:sz w:val="24"/>
              </w:rPr>
              <w:t>88,888</w:t>
            </w:r>
          </w:p>
        </w:tc>
        <w:tc>
          <w:tcPr>
            <w:tcW w:w="1932" w:type="dxa"/>
            <w:vAlign w:val="center"/>
          </w:tcPr>
          <w:p w:rsidR="00413707" w:rsidRDefault="00532CED">
            <w:pPr>
              <w:jc w:val="right"/>
            </w:pPr>
            <w:r>
              <w:rPr>
                <w:color w:val="000000"/>
                <w:sz w:val="24"/>
              </w:rPr>
              <w:t>503,106.08</w:t>
            </w:r>
          </w:p>
        </w:tc>
        <w:tc>
          <w:tcPr>
            <w:tcW w:w="1612" w:type="dxa"/>
            <w:vAlign w:val="center"/>
          </w:tcPr>
          <w:p w:rsidR="00413707" w:rsidRDefault="00532CED">
            <w:pPr>
              <w:jc w:val="right"/>
            </w:pPr>
            <w:r>
              <w:rPr>
                <w:color w:val="000000"/>
                <w:sz w:val="24"/>
              </w:rPr>
              <w:t>0.39</w:t>
            </w:r>
          </w:p>
        </w:tc>
      </w:tr>
      <w:tr w:rsidR="00413707">
        <w:trPr>
          <w:jc w:val="center"/>
        </w:trPr>
        <w:tc>
          <w:tcPr>
            <w:tcW w:w="817" w:type="dxa"/>
            <w:vAlign w:val="center"/>
          </w:tcPr>
          <w:p w:rsidR="00413707" w:rsidRDefault="00532CED">
            <w:pPr>
              <w:jc w:val="center"/>
            </w:pPr>
            <w:r>
              <w:rPr>
                <w:color w:val="000000"/>
                <w:sz w:val="24"/>
              </w:rPr>
              <w:t>30</w:t>
            </w:r>
          </w:p>
        </w:tc>
        <w:tc>
          <w:tcPr>
            <w:tcW w:w="1276" w:type="dxa"/>
            <w:vAlign w:val="center"/>
          </w:tcPr>
          <w:p w:rsidR="00413707" w:rsidRDefault="00532CED">
            <w:pPr>
              <w:jc w:val="center"/>
            </w:pPr>
            <w:r>
              <w:rPr>
                <w:color w:val="000000"/>
                <w:sz w:val="24"/>
              </w:rPr>
              <w:t>002027</w:t>
            </w:r>
          </w:p>
        </w:tc>
        <w:tc>
          <w:tcPr>
            <w:tcW w:w="1701" w:type="dxa"/>
            <w:vAlign w:val="center"/>
          </w:tcPr>
          <w:p w:rsidR="00413707" w:rsidRDefault="00532CED">
            <w:pPr>
              <w:jc w:val="center"/>
            </w:pPr>
            <w:r>
              <w:rPr>
                <w:color w:val="000000"/>
                <w:sz w:val="24"/>
              </w:rPr>
              <w:t>分众传媒</w:t>
            </w:r>
          </w:p>
        </w:tc>
        <w:tc>
          <w:tcPr>
            <w:tcW w:w="1559" w:type="dxa"/>
            <w:vAlign w:val="center"/>
          </w:tcPr>
          <w:p w:rsidR="00413707" w:rsidRDefault="00532CED">
            <w:pPr>
              <w:jc w:val="right"/>
            </w:pPr>
            <w:r>
              <w:rPr>
                <w:color w:val="000000"/>
                <w:sz w:val="24"/>
              </w:rPr>
              <w:t>20,408</w:t>
            </w:r>
          </w:p>
        </w:tc>
        <w:tc>
          <w:tcPr>
            <w:tcW w:w="1932" w:type="dxa"/>
            <w:vAlign w:val="center"/>
          </w:tcPr>
          <w:p w:rsidR="00413707" w:rsidRDefault="00532CED">
            <w:pPr>
              <w:jc w:val="right"/>
            </w:pPr>
            <w:r>
              <w:rPr>
                <w:color w:val="000000"/>
                <w:sz w:val="24"/>
              </w:rPr>
              <w:t>106,937.92</w:t>
            </w:r>
          </w:p>
        </w:tc>
        <w:tc>
          <w:tcPr>
            <w:tcW w:w="1612" w:type="dxa"/>
            <w:vAlign w:val="center"/>
          </w:tcPr>
          <w:p w:rsidR="00413707" w:rsidRDefault="00532CED">
            <w:pPr>
              <w:jc w:val="right"/>
            </w:pPr>
            <w:r>
              <w:rPr>
                <w:color w:val="000000"/>
                <w:sz w:val="24"/>
              </w:rPr>
              <w:t>0.08</w:t>
            </w:r>
          </w:p>
        </w:tc>
      </w:tr>
      <w:tr w:rsidR="00413707">
        <w:trPr>
          <w:jc w:val="center"/>
        </w:trPr>
        <w:tc>
          <w:tcPr>
            <w:tcW w:w="817" w:type="dxa"/>
            <w:vAlign w:val="center"/>
          </w:tcPr>
          <w:p w:rsidR="00413707" w:rsidRDefault="00532CED">
            <w:pPr>
              <w:jc w:val="center"/>
            </w:pPr>
            <w:r>
              <w:rPr>
                <w:color w:val="000000"/>
                <w:sz w:val="24"/>
              </w:rPr>
              <w:t>31</w:t>
            </w:r>
          </w:p>
        </w:tc>
        <w:tc>
          <w:tcPr>
            <w:tcW w:w="1276" w:type="dxa"/>
            <w:vAlign w:val="center"/>
          </w:tcPr>
          <w:p w:rsidR="00413707" w:rsidRDefault="00532CED">
            <w:pPr>
              <w:jc w:val="center"/>
            </w:pPr>
            <w:r>
              <w:rPr>
                <w:color w:val="000000"/>
                <w:sz w:val="24"/>
              </w:rPr>
              <w:t>603185</w:t>
            </w:r>
          </w:p>
        </w:tc>
        <w:tc>
          <w:tcPr>
            <w:tcW w:w="1701" w:type="dxa"/>
            <w:vAlign w:val="center"/>
          </w:tcPr>
          <w:p w:rsidR="00413707" w:rsidRDefault="00532CED">
            <w:pPr>
              <w:jc w:val="center"/>
            </w:pPr>
            <w:r>
              <w:rPr>
                <w:color w:val="000000"/>
                <w:sz w:val="24"/>
              </w:rPr>
              <w:t>上机数控</w:t>
            </w:r>
          </w:p>
        </w:tc>
        <w:tc>
          <w:tcPr>
            <w:tcW w:w="1559" w:type="dxa"/>
            <w:vAlign w:val="center"/>
          </w:tcPr>
          <w:p w:rsidR="00413707" w:rsidRDefault="00532CED">
            <w:pPr>
              <w:jc w:val="right"/>
            </w:pPr>
            <w:r>
              <w:rPr>
                <w:color w:val="000000"/>
                <w:sz w:val="24"/>
              </w:rPr>
              <w:t>1,177</w:t>
            </w:r>
          </w:p>
        </w:tc>
        <w:tc>
          <w:tcPr>
            <w:tcW w:w="1932" w:type="dxa"/>
            <w:vAlign w:val="center"/>
          </w:tcPr>
          <w:p w:rsidR="00413707" w:rsidRDefault="00532CED">
            <w:pPr>
              <w:jc w:val="right"/>
            </w:pPr>
            <w:r>
              <w:rPr>
                <w:color w:val="000000"/>
                <w:sz w:val="24"/>
              </w:rPr>
              <w:t>57,790.70</w:t>
            </w:r>
          </w:p>
        </w:tc>
        <w:tc>
          <w:tcPr>
            <w:tcW w:w="1612" w:type="dxa"/>
            <w:vAlign w:val="center"/>
          </w:tcPr>
          <w:p w:rsidR="00413707" w:rsidRDefault="00532CED">
            <w:pPr>
              <w:jc w:val="right"/>
            </w:pPr>
            <w:r>
              <w:rPr>
                <w:color w:val="000000"/>
                <w:sz w:val="24"/>
              </w:rPr>
              <w:t>0.04</w:t>
            </w:r>
          </w:p>
        </w:tc>
      </w:tr>
      <w:tr w:rsidR="00413707">
        <w:trPr>
          <w:jc w:val="center"/>
        </w:trPr>
        <w:tc>
          <w:tcPr>
            <w:tcW w:w="817" w:type="dxa"/>
            <w:vAlign w:val="center"/>
          </w:tcPr>
          <w:p w:rsidR="00413707" w:rsidRDefault="00532CED">
            <w:pPr>
              <w:jc w:val="center"/>
            </w:pPr>
            <w:r>
              <w:rPr>
                <w:color w:val="000000"/>
                <w:sz w:val="24"/>
              </w:rPr>
              <w:t>32</w:t>
            </w:r>
          </w:p>
        </w:tc>
        <w:tc>
          <w:tcPr>
            <w:tcW w:w="1276" w:type="dxa"/>
            <w:vAlign w:val="center"/>
          </w:tcPr>
          <w:p w:rsidR="00413707" w:rsidRDefault="00532CED">
            <w:pPr>
              <w:jc w:val="center"/>
            </w:pPr>
            <w:r>
              <w:rPr>
                <w:color w:val="000000"/>
                <w:sz w:val="24"/>
              </w:rPr>
              <w:t>601860</w:t>
            </w:r>
          </w:p>
        </w:tc>
        <w:tc>
          <w:tcPr>
            <w:tcW w:w="1701" w:type="dxa"/>
            <w:vAlign w:val="center"/>
          </w:tcPr>
          <w:p w:rsidR="00413707" w:rsidRDefault="00532CED">
            <w:pPr>
              <w:jc w:val="center"/>
            </w:pPr>
            <w:r>
              <w:rPr>
                <w:color w:val="000000"/>
                <w:sz w:val="24"/>
              </w:rPr>
              <w:t>紫金银行</w:t>
            </w:r>
          </w:p>
        </w:tc>
        <w:tc>
          <w:tcPr>
            <w:tcW w:w="1559" w:type="dxa"/>
            <w:vAlign w:val="center"/>
          </w:tcPr>
          <w:p w:rsidR="00413707" w:rsidRDefault="00532CED">
            <w:pPr>
              <w:jc w:val="right"/>
            </w:pPr>
            <w:r>
              <w:rPr>
                <w:color w:val="000000"/>
                <w:sz w:val="24"/>
              </w:rPr>
              <w:t>15,970</w:t>
            </w:r>
          </w:p>
        </w:tc>
        <w:tc>
          <w:tcPr>
            <w:tcW w:w="1932" w:type="dxa"/>
            <w:vAlign w:val="center"/>
          </w:tcPr>
          <w:p w:rsidR="00413707" w:rsidRDefault="00532CED">
            <w:pPr>
              <w:jc w:val="right"/>
            </w:pPr>
            <w:r>
              <w:rPr>
                <w:color w:val="000000"/>
                <w:sz w:val="24"/>
              </w:rPr>
              <w:t>50,145.80</w:t>
            </w:r>
          </w:p>
        </w:tc>
        <w:tc>
          <w:tcPr>
            <w:tcW w:w="1612" w:type="dxa"/>
            <w:vAlign w:val="center"/>
          </w:tcPr>
          <w:p w:rsidR="00413707" w:rsidRDefault="00532CED">
            <w:pPr>
              <w:jc w:val="right"/>
            </w:pPr>
            <w:r>
              <w:rPr>
                <w:color w:val="000000"/>
                <w:sz w:val="24"/>
              </w:rPr>
              <w:t>0.04</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61324882"/>
      <w:bookmarkStart w:id="242" w:name="_Toc4167220"/>
      <w:r w:rsidRPr="00AD0E47">
        <w:rPr>
          <w:rFonts w:ascii="Times New Roman" w:hAnsi="Times New Roman"/>
          <w:kern w:val="0"/>
          <w:szCs w:val="24"/>
        </w:rPr>
        <w:lastRenderedPageBreak/>
        <w:t>8.4</w:t>
      </w:r>
      <w:bookmarkStart w:id="243" w:name="_Toc234814103"/>
      <w:r w:rsidRPr="00AD0E47">
        <w:rPr>
          <w:rFonts w:ascii="Times New Roman" w:hAnsi="Times New Roman" w:hint="eastAsia"/>
          <w:kern w:val="0"/>
          <w:szCs w:val="24"/>
        </w:rPr>
        <w:t>报告期内股票投资组合的重大变动</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4167221"/>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413707">
        <w:tc>
          <w:tcPr>
            <w:tcW w:w="870" w:type="dxa"/>
            <w:vAlign w:val="center"/>
          </w:tcPr>
          <w:p w:rsidR="00413707" w:rsidRDefault="00532CED">
            <w:pPr>
              <w:jc w:val="center"/>
            </w:pPr>
            <w:r>
              <w:rPr>
                <w:color w:val="000000"/>
                <w:sz w:val="24"/>
              </w:rPr>
              <w:t>1</w:t>
            </w:r>
          </w:p>
        </w:tc>
        <w:tc>
          <w:tcPr>
            <w:tcW w:w="1650" w:type="dxa"/>
            <w:vAlign w:val="center"/>
          </w:tcPr>
          <w:p w:rsidR="00413707" w:rsidRDefault="00532CED">
            <w:pPr>
              <w:jc w:val="center"/>
            </w:pPr>
            <w:r>
              <w:rPr>
                <w:color w:val="000000"/>
                <w:sz w:val="24"/>
              </w:rPr>
              <w:t>603808</w:t>
            </w:r>
          </w:p>
        </w:tc>
        <w:tc>
          <w:tcPr>
            <w:tcW w:w="1980" w:type="dxa"/>
            <w:vAlign w:val="center"/>
          </w:tcPr>
          <w:p w:rsidR="00413707" w:rsidRDefault="00532CED">
            <w:pPr>
              <w:jc w:val="center"/>
            </w:pPr>
            <w:proofErr w:type="gramStart"/>
            <w:r>
              <w:rPr>
                <w:color w:val="000000"/>
                <w:sz w:val="24"/>
              </w:rPr>
              <w:t>歌力思</w:t>
            </w:r>
            <w:proofErr w:type="gramEnd"/>
          </w:p>
        </w:tc>
        <w:tc>
          <w:tcPr>
            <w:tcW w:w="2880" w:type="dxa"/>
            <w:vAlign w:val="center"/>
          </w:tcPr>
          <w:p w:rsidR="00413707" w:rsidRDefault="00532CED">
            <w:pPr>
              <w:jc w:val="right"/>
            </w:pPr>
            <w:r>
              <w:rPr>
                <w:color w:val="000000"/>
                <w:sz w:val="24"/>
              </w:rPr>
              <w:t>21,514,171.55</w:t>
            </w:r>
          </w:p>
        </w:tc>
        <w:tc>
          <w:tcPr>
            <w:tcW w:w="1620" w:type="dxa"/>
            <w:vAlign w:val="center"/>
          </w:tcPr>
          <w:p w:rsidR="00413707" w:rsidRDefault="00532CED">
            <w:pPr>
              <w:jc w:val="right"/>
            </w:pPr>
            <w:r>
              <w:rPr>
                <w:color w:val="000000"/>
                <w:sz w:val="24"/>
              </w:rPr>
              <w:t>6.49</w:t>
            </w:r>
          </w:p>
        </w:tc>
      </w:tr>
      <w:tr w:rsidR="00413707">
        <w:tc>
          <w:tcPr>
            <w:tcW w:w="870" w:type="dxa"/>
            <w:vAlign w:val="center"/>
          </w:tcPr>
          <w:p w:rsidR="00413707" w:rsidRDefault="00532CED">
            <w:pPr>
              <w:jc w:val="center"/>
            </w:pPr>
            <w:r>
              <w:rPr>
                <w:color w:val="000000"/>
                <w:sz w:val="24"/>
              </w:rPr>
              <w:t>2</w:t>
            </w:r>
          </w:p>
        </w:tc>
        <w:tc>
          <w:tcPr>
            <w:tcW w:w="1650" w:type="dxa"/>
            <w:vAlign w:val="center"/>
          </w:tcPr>
          <w:p w:rsidR="00413707" w:rsidRDefault="00532CED">
            <w:pPr>
              <w:jc w:val="center"/>
            </w:pPr>
            <w:r>
              <w:rPr>
                <w:color w:val="000000"/>
                <w:sz w:val="24"/>
              </w:rPr>
              <w:t>002304</w:t>
            </w:r>
          </w:p>
        </w:tc>
        <w:tc>
          <w:tcPr>
            <w:tcW w:w="1980" w:type="dxa"/>
            <w:vAlign w:val="center"/>
          </w:tcPr>
          <w:p w:rsidR="00413707" w:rsidRDefault="00532CED">
            <w:pPr>
              <w:jc w:val="center"/>
            </w:pPr>
            <w:r>
              <w:rPr>
                <w:color w:val="000000"/>
                <w:sz w:val="24"/>
              </w:rPr>
              <w:t>洋河股份</w:t>
            </w:r>
          </w:p>
        </w:tc>
        <w:tc>
          <w:tcPr>
            <w:tcW w:w="2880" w:type="dxa"/>
            <w:vAlign w:val="center"/>
          </w:tcPr>
          <w:p w:rsidR="00413707" w:rsidRDefault="00532CED">
            <w:pPr>
              <w:jc w:val="right"/>
            </w:pPr>
            <w:r>
              <w:rPr>
                <w:color w:val="000000"/>
                <w:sz w:val="24"/>
              </w:rPr>
              <w:t>18,357,075.35</w:t>
            </w:r>
          </w:p>
        </w:tc>
        <w:tc>
          <w:tcPr>
            <w:tcW w:w="1620" w:type="dxa"/>
            <w:vAlign w:val="center"/>
          </w:tcPr>
          <w:p w:rsidR="00413707" w:rsidRDefault="00532CED">
            <w:pPr>
              <w:jc w:val="right"/>
            </w:pPr>
            <w:r>
              <w:rPr>
                <w:color w:val="000000"/>
                <w:sz w:val="24"/>
              </w:rPr>
              <w:t>5.54</w:t>
            </w:r>
          </w:p>
        </w:tc>
      </w:tr>
      <w:tr w:rsidR="00413707">
        <w:tc>
          <w:tcPr>
            <w:tcW w:w="870" w:type="dxa"/>
            <w:vAlign w:val="center"/>
          </w:tcPr>
          <w:p w:rsidR="00413707" w:rsidRDefault="00532CED">
            <w:pPr>
              <w:jc w:val="center"/>
            </w:pPr>
            <w:r>
              <w:rPr>
                <w:color w:val="000000"/>
                <w:sz w:val="24"/>
              </w:rPr>
              <w:t>3</w:t>
            </w:r>
          </w:p>
        </w:tc>
        <w:tc>
          <w:tcPr>
            <w:tcW w:w="1650" w:type="dxa"/>
            <w:vAlign w:val="center"/>
          </w:tcPr>
          <w:p w:rsidR="00413707" w:rsidRDefault="00532CED">
            <w:pPr>
              <w:jc w:val="center"/>
            </w:pPr>
            <w:r>
              <w:rPr>
                <w:color w:val="000000"/>
                <w:sz w:val="24"/>
              </w:rPr>
              <w:t>300146</w:t>
            </w:r>
          </w:p>
        </w:tc>
        <w:tc>
          <w:tcPr>
            <w:tcW w:w="1980" w:type="dxa"/>
            <w:vAlign w:val="center"/>
          </w:tcPr>
          <w:p w:rsidR="00413707" w:rsidRDefault="00532CED">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413707" w:rsidRDefault="00532CED">
            <w:pPr>
              <w:jc w:val="right"/>
            </w:pPr>
            <w:r>
              <w:rPr>
                <w:color w:val="000000"/>
                <w:sz w:val="24"/>
              </w:rPr>
              <w:t>17,196,351.32</w:t>
            </w:r>
          </w:p>
        </w:tc>
        <w:tc>
          <w:tcPr>
            <w:tcW w:w="1620" w:type="dxa"/>
            <w:vAlign w:val="center"/>
          </w:tcPr>
          <w:p w:rsidR="00413707" w:rsidRDefault="00532CED">
            <w:pPr>
              <w:jc w:val="right"/>
            </w:pPr>
            <w:r>
              <w:rPr>
                <w:color w:val="000000"/>
                <w:sz w:val="24"/>
              </w:rPr>
              <w:t>5.19</w:t>
            </w:r>
          </w:p>
        </w:tc>
      </w:tr>
      <w:tr w:rsidR="00413707">
        <w:tc>
          <w:tcPr>
            <w:tcW w:w="870" w:type="dxa"/>
            <w:vAlign w:val="center"/>
          </w:tcPr>
          <w:p w:rsidR="00413707" w:rsidRDefault="00532CED">
            <w:pPr>
              <w:jc w:val="center"/>
            </w:pPr>
            <w:r>
              <w:rPr>
                <w:color w:val="000000"/>
                <w:sz w:val="24"/>
              </w:rPr>
              <w:t>4</w:t>
            </w:r>
          </w:p>
        </w:tc>
        <w:tc>
          <w:tcPr>
            <w:tcW w:w="1650" w:type="dxa"/>
            <w:vAlign w:val="center"/>
          </w:tcPr>
          <w:p w:rsidR="00413707" w:rsidRDefault="00532CED">
            <w:pPr>
              <w:jc w:val="center"/>
            </w:pPr>
            <w:r>
              <w:rPr>
                <w:color w:val="000000"/>
                <w:sz w:val="24"/>
              </w:rPr>
              <w:t>600887</w:t>
            </w:r>
          </w:p>
        </w:tc>
        <w:tc>
          <w:tcPr>
            <w:tcW w:w="1980" w:type="dxa"/>
            <w:vAlign w:val="center"/>
          </w:tcPr>
          <w:p w:rsidR="00413707" w:rsidRDefault="00532CED">
            <w:pPr>
              <w:jc w:val="center"/>
            </w:pPr>
            <w:r>
              <w:rPr>
                <w:color w:val="000000"/>
                <w:sz w:val="24"/>
              </w:rPr>
              <w:t>伊利股份</w:t>
            </w:r>
          </w:p>
        </w:tc>
        <w:tc>
          <w:tcPr>
            <w:tcW w:w="2880" w:type="dxa"/>
            <w:vAlign w:val="center"/>
          </w:tcPr>
          <w:p w:rsidR="00413707" w:rsidRDefault="00532CED">
            <w:pPr>
              <w:jc w:val="right"/>
            </w:pPr>
            <w:r>
              <w:rPr>
                <w:color w:val="000000"/>
                <w:sz w:val="24"/>
              </w:rPr>
              <w:t>17,094,393.00</w:t>
            </w:r>
          </w:p>
        </w:tc>
        <w:tc>
          <w:tcPr>
            <w:tcW w:w="1620" w:type="dxa"/>
            <w:vAlign w:val="center"/>
          </w:tcPr>
          <w:p w:rsidR="00413707" w:rsidRDefault="00532CED">
            <w:pPr>
              <w:jc w:val="right"/>
            </w:pPr>
            <w:r>
              <w:rPr>
                <w:color w:val="000000"/>
                <w:sz w:val="24"/>
              </w:rPr>
              <w:t>5.16</w:t>
            </w:r>
          </w:p>
        </w:tc>
      </w:tr>
      <w:tr w:rsidR="00413707">
        <w:tc>
          <w:tcPr>
            <w:tcW w:w="870" w:type="dxa"/>
            <w:vAlign w:val="center"/>
          </w:tcPr>
          <w:p w:rsidR="00413707" w:rsidRDefault="00532CED">
            <w:pPr>
              <w:jc w:val="center"/>
            </w:pPr>
            <w:r>
              <w:rPr>
                <w:color w:val="000000"/>
                <w:sz w:val="24"/>
              </w:rPr>
              <w:t>5</w:t>
            </w:r>
          </w:p>
        </w:tc>
        <w:tc>
          <w:tcPr>
            <w:tcW w:w="1650" w:type="dxa"/>
            <w:vAlign w:val="center"/>
          </w:tcPr>
          <w:p w:rsidR="00413707" w:rsidRDefault="00532CED">
            <w:pPr>
              <w:jc w:val="center"/>
            </w:pPr>
            <w:r>
              <w:rPr>
                <w:color w:val="000000"/>
                <w:sz w:val="24"/>
              </w:rPr>
              <w:t>000651</w:t>
            </w:r>
          </w:p>
        </w:tc>
        <w:tc>
          <w:tcPr>
            <w:tcW w:w="1980" w:type="dxa"/>
            <w:vAlign w:val="center"/>
          </w:tcPr>
          <w:p w:rsidR="00413707" w:rsidRDefault="00532CED">
            <w:pPr>
              <w:jc w:val="center"/>
            </w:pPr>
            <w:r>
              <w:rPr>
                <w:color w:val="000000"/>
                <w:sz w:val="24"/>
              </w:rPr>
              <w:t>格力电器</w:t>
            </w:r>
          </w:p>
        </w:tc>
        <w:tc>
          <w:tcPr>
            <w:tcW w:w="2880" w:type="dxa"/>
            <w:vAlign w:val="center"/>
          </w:tcPr>
          <w:p w:rsidR="00413707" w:rsidRDefault="00532CED">
            <w:pPr>
              <w:jc w:val="right"/>
            </w:pPr>
            <w:r>
              <w:rPr>
                <w:color w:val="000000"/>
                <w:sz w:val="24"/>
              </w:rPr>
              <w:t>16,105,988.28</w:t>
            </w:r>
          </w:p>
        </w:tc>
        <w:tc>
          <w:tcPr>
            <w:tcW w:w="1620" w:type="dxa"/>
            <w:vAlign w:val="center"/>
          </w:tcPr>
          <w:p w:rsidR="00413707" w:rsidRDefault="00532CED">
            <w:pPr>
              <w:jc w:val="right"/>
            </w:pPr>
            <w:r>
              <w:rPr>
                <w:color w:val="000000"/>
                <w:sz w:val="24"/>
              </w:rPr>
              <w:t>4.86</w:t>
            </w:r>
          </w:p>
        </w:tc>
      </w:tr>
      <w:tr w:rsidR="00413707">
        <w:tc>
          <w:tcPr>
            <w:tcW w:w="870" w:type="dxa"/>
            <w:vAlign w:val="center"/>
          </w:tcPr>
          <w:p w:rsidR="00413707" w:rsidRDefault="00532CED">
            <w:pPr>
              <w:jc w:val="center"/>
            </w:pPr>
            <w:r>
              <w:rPr>
                <w:color w:val="000000"/>
                <w:sz w:val="24"/>
              </w:rPr>
              <w:t>6</w:t>
            </w:r>
          </w:p>
        </w:tc>
        <w:tc>
          <w:tcPr>
            <w:tcW w:w="1650" w:type="dxa"/>
            <w:vAlign w:val="center"/>
          </w:tcPr>
          <w:p w:rsidR="00413707" w:rsidRDefault="00532CED">
            <w:pPr>
              <w:jc w:val="center"/>
            </w:pPr>
            <w:r>
              <w:rPr>
                <w:color w:val="000000"/>
                <w:sz w:val="24"/>
              </w:rPr>
              <w:t>600048</w:t>
            </w:r>
          </w:p>
        </w:tc>
        <w:tc>
          <w:tcPr>
            <w:tcW w:w="1980" w:type="dxa"/>
            <w:vAlign w:val="center"/>
          </w:tcPr>
          <w:p w:rsidR="00413707" w:rsidRDefault="00532CED">
            <w:pPr>
              <w:jc w:val="center"/>
            </w:pPr>
            <w:r>
              <w:rPr>
                <w:color w:val="000000"/>
                <w:sz w:val="24"/>
              </w:rPr>
              <w:t>保利地产</w:t>
            </w:r>
          </w:p>
        </w:tc>
        <w:tc>
          <w:tcPr>
            <w:tcW w:w="2880" w:type="dxa"/>
            <w:vAlign w:val="center"/>
          </w:tcPr>
          <w:p w:rsidR="00413707" w:rsidRDefault="00532CED">
            <w:pPr>
              <w:jc w:val="right"/>
            </w:pPr>
            <w:r>
              <w:rPr>
                <w:color w:val="000000"/>
                <w:sz w:val="24"/>
              </w:rPr>
              <w:t>15,840,611.00</w:t>
            </w:r>
          </w:p>
        </w:tc>
        <w:tc>
          <w:tcPr>
            <w:tcW w:w="1620" w:type="dxa"/>
            <w:vAlign w:val="center"/>
          </w:tcPr>
          <w:p w:rsidR="00413707" w:rsidRDefault="00532CED">
            <w:pPr>
              <w:jc w:val="right"/>
            </w:pPr>
            <w:r>
              <w:rPr>
                <w:color w:val="000000"/>
                <w:sz w:val="24"/>
              </w:rPr>
              <w:t>4.78</w:t>
            </w:r>
          </w:p>
        </w:tc>
      </w:tr>
      <w:tr w:rsidR="00413707">
        <w:tc>
          <w:tcPr>
            <w:tcW w:w="870" w:type="dxa"/>
            <w:vAlign w:val="center"/>
          </w:tcPr>
          <w:p w:rsidR="00413707" w:rsidRDefault="00532CED">
            <w:pPr>
              <w:jc w:val="center"/>
            </w:pPr>
            <w:r>
              <w:rPr>
                <w:color w:val="000000"/>
                <w:sz w:val="24"/>
              </w:rPr>
              <w:t>7</w:t>
            </w:r>
          </w:p>
        </w:tc>
        <w:tc>
          <w:tcPr>
            <w:tcW w:w="1650" w:type="dxa"/>
            <w:vAlign w:val="center"/>
          </w:tcPr>
          <w:p w:rsidR="00413707" w:rsidRDefault="00532CED">
            <w:pPr>
              <w:jc w:val="center"/>
            </w:pPr>
            <w:r>
              <w:rPr>
                <w:color w:val="000000"/>
                <w:sz w:val="24"/>
              </w:rPr>
              <w:t>000002</w:t>
            </w:r>
          </w:p>
        </w:tc>
        <w:tc>
          <w:tcPr>
            <w:tcW w:w="1980" w:type="dxa"/>
            <w:vAlign w:val="center"/>
          </w:tcPr>
          <w:p w:rsidR="00413707" w:rsidRDefault="00532CED">
            <w:pPr>
              <w:jc w:val="center"/>
            </w:pPr>
            <w:r>
              <w:rPr>
                <w:color w:val="000000"/>
                <w:sz w:val="24"/>
              </w:rPr>
              <w:t>万科</w:t>
            </w:r>
            <w:r>
              <w:rPr>
                <w:color w:val="000000"/>
                <w:sz w:val="24"/>
              </w:rPr>
              <w:t>A</w:t>
            </w:r>
          </w:p>
        </w:tc>
        <w:tc>
          <w:tcPr>
            <w:tcW w:w="2880" w:type="dxa"/>
            <w:vAlign w:val="center"/>
          </w:tcPr>
          <w:p w:rsidR="00413707" w:rsidRDefault="00532CED">
            <w:pPr>
              <w:jc w:val="right"/>
            </w:pPr>
            <w:r>
              <w:rPr>
                <w:color w:val="000000"/>
                <w:sz w:val="24"/>
              </w:rPr>
              <w:t>14,581,451.99</w:t>
            </w:r>
          </w:p>
        </w:tc>
        <w:tc>
          <w:tcPr>
            <w:tcW w:w="1620" w:type="dxa"/>
            <w:vAlign w:val="center"/>
          </w:tcPr>
          <w:p w:rsidR="00413707" w:rsidRDefault="00532CED">
            <w:pPr>
              <w:jc w:val="right"/>
            </w:pPr>
            <w:r>
              <w:rPr>
                <w:color w:val="000000"/>
                <w:sz w:val="24"/>
              </w:rPr>
              <w:t>4.40</w:t>
            </w:r>
          </w:p>
        </w:tc>
      </w:tr>
      <w:tr w:rsidR="00413707">
        <w:tc>
          <w:tcPr>
            <w:tcW w:w="870" w:type="dxa"/>
            <w:vAlign w:val="center"/>
          </w:tcPr>
          <w:p w:rsidR="00413707" w:rsidRDefault="00532CED">
            <w:pPr>
              <w:jc w:val="center"/>
            </w:pPr>
            <w:r>
              <w:rPr>
                <w:color w:val="000000"/>
                <w:sz w:val="24"/>
              </w:rPr>
              <w:t>8</w:t>
            </w:r>
          </w:p>
        </w:tc>
        <w:tc>
          <w:tcPr>
            <w:tcW w:w="1650" w:type="dxa"/>
            <w:vAlign w:val="center"/>
          </w:tcPr>
          <w:p w:rsidR="00413707" w:rsidRDefault="00532CED">
            <w:pPr>
              <w:jc w:val="center"/>
            </w:pPr>
            <w:r>
              <w:rPr>
                <w:color w:val="000000"/>
                <w:sz w:val="24"/>
              </w:rPr>
              <w:t>601155</w:t>
            </w:r>
          </w:p>
        </w:tc>
        <w:tc>
          <w:tcPr>
            <w:tcW w:w="1980" w:type="dxa"/>
            <w:vAlign w:val="center"/>
          </w:tcPr>
          <w:p w:rsidR="00413707" w:rsidRDefault="00532CED">
            <w:pPr>
              <w:jc w:val="center"/>
            </w:pPr>
            <w:r>
              <w:rPr>
                <w:color w:val="000000"/>
                <w:sz w:val="24"/>
              </w:rPr>
              <w:t>新城控股</w:t>
            </w:r>
          </w:p>
        </w:tc>
        <w:tc>
          <w:tcPr>
            <w:tcW w:w="2880" w:type="dxa"/>
            <w:vAlign w:val="center"/>
          </w:tcPr>
          <w:p w:rsidR="00413707" w:rsidRDefault="00532CED">
            <w:pPr>
              <w:jc w:val="right"/>
            </w:pPr>
            <w:r>
              <w:rPr>
                <w:color w:val="000000"/>
                <w:sz w:val="24"/>
              </w:rPr>
              <w:t>14,531,288.55</w:t>
            </w:r>
          </w:p>
        </w:tc>
        <w:tc>
          <w:tcPr>
            <w:tcW w:w="1620" w:type="dxa"/>
            <w:vAlign w:val="center"/>
          </w:tcPr>
          <w:p w:rsidR="00413707" w:rsidRDefault="00532CED">
            <w:pPr>
              <w:jc w:val="right"/>
            </w:pPr>
            <w:r>
              <w:rPr>
                <w:color w:val="000000"/>
                <w:sz w:val="24"/>
              </w:rPr>
              <w:t>4.38</w:t>
            </w:r>
          </w:p>
        </w:tc>
      </w:tr>
      <w:tr w:rsidR="00413707">
        <w:tc>
          <w:tcPr>
            <w:tcW w:w="870" w:type="dxa"/>
            <w:vAlign w:val="center"/>
          </w:tcPr>
          <w:p w:rsidR="00413707" w:rsidRDefault="00532CED">
            <w:pPr>
              <w:jc w:val="center"/>
            </w:pPr>
            <w:r>
              <w:rPr>
                <w:color w:val="000000"/>
                <w:sz w:val="24"/>
              </w:rPr>
              <w:t>9</w:t>
            </w:r>
          </w:p>
        </w:tc>
        <w:tc>
          <w:tcPr>
            <w:tcW w:w="1650" w:type="dxa"/>
            <w:vAlign w:val="center"/>
          </w:tcPr>
          <w:p w:rsidR="00413707" w:rsidRDefault="00532CED">
            <w:pPr>
              <w:jc w:val="center"/>
            </w:pPr>
            <w:r>
              <w:rPr>
                <w:color w:val="000000"/>
                <w:sz w:val="24"/>
              </w:rPr>
              <w:t>000858</w:t>
            </w:r>
          </w:p>
        </w:tc>
        <w:tc>
          <w:tcPr>
            <w:tcW w:w="1980" w:type="dxa"/>
            <w:vAlign w:val="center"/>
          </w:tcPr>
          <w:p w:rsidR="00413707" w:rsidRDefault="00532CED">
            <w:pPr>
              <w:jc w:val="center"/>
            </w:pPr>
            <w:r>
              <w:rPr>
                <w:color w:val="000000"/>
                <w:sz w:val="24"/>
              </w:rPr>
              <w:t>五粮液</w:t>
            </w:r>
          </w:p>
        </w:tc>
        <w:tc>
          <w:tcPr>
            <w:tcW w:w="2880" w:type="dxa"/>
            <w:vAlign w:val="center"/>
          </w:tcPr>
          <w:p w:rsidR="00413707" w:rsidRDefault="00532CED">
            <w:pPr>
              <w:jc w:val="right"/>
            </w:pPr>
            <w:r>
              <w:rPr>
                <w:color w:val="000000"/>
                <w:sz w:val="24"/>
              </w:rPr>
              <w:t>14,481,700.00</w:t>
            </w:r>
          </w:p>
        </w:tc>
        <w:tc>
          <w:tcPr>
            <w:tcW w:w="1620" w:type="dxa"/>
            <w:vAlign w:val="center"/>
          </w:tcPr>
          <w:p w:rsidR="00413707" w:rsidRDefault="00532CED">
            <w:pPr>
              <w:jc w:val="right"/>
            </w:pPr>
            <w:r>
              <w:rPr>
                <w:color w:val="000000"/>
                <w:sz w:val="24"/>
              </w:rPr>
              <w:t>4.37</w:t>
            </w:r>
          </w:p>
        </w:tc>
      </w:tr>
      <w:tr w:rsidR="00413707">
        <w:tc>
          <w:tcPr>
            <w:tcW w:w="870" w:type="dxa"/>
            <w:vAlign w:val="center"/>
          </w:tcPr>
          <w:p w:rsidR="00413707" w:rsidRDefault="00532CED">
            <w:pPr>
              <w:jc w:val="center"/>
            </w:pPr>
            <w:r>
              <w:rPr>
                <w:color w:val="000000"/>
                <w:sz w:val="24"/>
              </w:rPr>
              <w:t>10</w:t>
            </w:r>
          </w:p>
        </w:tc>
        <w:tc>
          <w:tcPr>
            <w:tcW w:w="1650" w:type="dxa"/>
            <w:vAlign w:val="center"/>
          </w:tcPr>
          <w:p w:rsidR="00413707" w:rsidRDefault="00532CED">
            <w:pPr>
              <w:jc w:val="center"/>
            </w:pPr>
            <w:r>
              <w:rPr>
                <w:color w:val="000000"/>
                <w:sz w:val="24"/>
              </w:rPr>
              <w:t>000568</w:t>
            </w:r>
          </w:p>
        </w:tc>
        <w:tc>
          <w:tcPr>
            <w:tcW w:w="1980" w:type="dxa"/>
            <w:vAlign w:val="center"/>
          </w:tcPr>
          <w:p w:rsidR="00413707" w:rsidRDefault="00532CED">
            <w:pPr>
              <w:jc w:val="center"/>
            </w:pPr>
            <w:r>
              <w:rPr>
                <w:color w:val="000000"/>
                <w:sz w:val="24"/>
              </w:rPr>
              <w:t>泸州老窖</w:t>
            </w:r>
          </w:p>
        </w:tc>
        <w:tc>
          <w:tcPr>
            <w:tcW w:w="2880" w:type="dxa"/>
            <w:vAlign w:val="center"/>
          </w:tcPr>
          <w:p w:rsidR="00413707" w:rsidRDefault="00532CED">
            <w:pPr>
              <w:jc w:val="right"/>
            </w:pPr>
            <w:r>
              <w:rPr>
                <w:color w:val="000000"/>
                <w:sz w:val="24"/>
              </w:rPr>
              <w:t>12,158,252.40</w:t>
            </w:r>
          </w:p>
        </w:tc>
        <w:tc>
          <w:tcPr>
            <w:tcW w:w="1620" w:type="dxa"/>
            <w:vAlign w:val="center"/>
          </w:tcPr>
          <w:p w:rsidR="00413707" w:rsidRDefault="00532CED">
            <w:pPr>
              <w:jc w:val="right"/>
            </w:pPr>
            <w:r>
              <w:rPr>
                <w:color w:val="000000"/>
                <w:sz w:val="24"/>
              </w:rPr>
              <w:t>3.67</w:t>
            </w:r>
          </w:p>
        </w:tc>
      </w:tr>
      <w:tr w:rsidR="00413707">
        <w:tc>
          <w:tcPr>
            <w:tcW w:w="870" w:type="dxa"/>
            <w:vAlign w:val="center"/>
          </w:tcPr>
          <w:p w:rsidR="00413707" w:rsidRDefault="00532CED">
            <w:pPr>
              <w:jc w:val="center"/>
            </w:pPr>
            <w:r>
              <w:rPr>
                <w:color w:val="000000"/>
                <w:sz w:val="24"/>
              </w:rPr>
              <w:t>11</w:t>
            </w:r>
          </w:p>
        </w:tc>
        <w:tc>
          <w:tcPr>
            <w:tcW w:w="1650" w:type="dxa"/>
            <w:vAlign w:val="center"/>
          </w:tcPr>
          <w:p w:rsidR="00413707" w:rsidRDefault="00532CED">
            <w:pPr>
              <w:jc w:val="center"/>
            </w:pPr>
            <w:r>
              <w:rPr>
                <w:color w:val="000000"/>
                <w:sz w:val="24"/>
              </w:rPr>
              <w:t>600028</w:t>
            </w:r>
          </w:p>
        </w:tc>
        <w:tc>
          <w:tcPr>
            <w:tcW w:w="1980" w:type="dxa"/>
            <w:vAlign w:val="center"/>
          </w:tcPr>
          <w:p w:rsidR="00413707" w:rsidRDefault="00532CED">
            <w:pPr>
              <w:jc w:val="center"/>
            </w:pPr>
            <w:r>
              <w:rPr>
                <w:color w:val="000000"/>
                <w:sz w:val="24"/>
              </w:rPr>
              <w:t>中国石化</w:t>
            </w:r>
          </w:p>
        </w:tc>
        <w:tc>
          <w:tcPr>
            <w:tcW w:w="2880" w:type="dxa"/>
            <w:vAlign w:val="center"/>
          </w:tcPr>
          <w:p w:rsidR="00413707" w:rsidRDefault="00532CED">
            <w:pPr>
              <w:jc w:val="right"/>
            </w:pPr>
            <w:r>
              <w:rPr>
                <w:color w:val="000000"/>
                <w:sz w:val="24"/>
              </w:rPr>
              <w:t>11,724,165.00</w:t>
            </w:r>
          </w:p>
        </w:tc>
        <w:tc>
          <w:tcPr>
            <w:tcW w:w="1620" w:type="dxa"/>
            <w:vAlign w:val="center"/>
          </w:tcPr>
          <w:p w:rsidR="00413707" w:rsidRDefault="00532CED">
            <w:pPr>
              <w:jc w:val="right"/>
            </w:pPr>
            <w:r>
              <w:rPr>
                <w:color w:val="000000"/>
                <w:sz w:val="24"/>
              </w:rPr>
              <w:t>3.54</w:t>
            </w:r>
          </w:p>
        </w:tc>
      </w:tr>
      <w:tr w:rsidR="00413707">
        <w:tc>
          <w:tcPr>
            <w:tcW w:w="870" w:type="dxa"/>
            <w:vAlign w:val="center"/>
          </w:tcPr>
          <w:p w:rsidR="00413707" w:rsidRDefault="00532CED">
            <w:pPr>
              <w:jc w:val="center"/>
            </w:pPr>
            <w:r>
              <w:rPr>
                <w:color w:val="000000"/>
                <w:sz w:val="24"/>
              </w:rPr>
              <w:t>12</w:t>
            </w:r>
          </w:p>
        </w:tc>
        <w:tc>
          <w:tcPr>
            <w:tcW w:w="1650" w:type="dxa"/>
            <w:vAlign w:val="center"/>
          </w:tcPr>
          <w:p w:rsidR="00413707" w:rsidRDefault="00532CED">
            <w:pPr>
              <w:jc w:val="center"/>
            </w:pPr>
            <w:r>
              <w:rPr>
                <w:color w:val="000000"/>
                <w:sz w:val="24"/>
              </w:rPr>
              <w:t>000596</w:t>
            </w:r>
          </w:p>
        </w:tc>
        <w:tc>
          <w:tcPr>
            <w:tcW w:w="1980" w:type="dxa"/>
            <w:vAlign w:val="center"/>
          </w:tcPr>
          <w:p w:rsidR="00413707" w:rsidRDefault="00532CED">
            <w:pPr>
              <w:jc w:val="center"/>
            </w:pPr>
            <w:r>
              <w:rPr>
                <w:color w:val="000000"/>
                <w:sz w:val="24"/>
              </w:rPr>
              <w:t>古井贡酒</w:t>
            </w:r>
          </w:p>
        </w:tc>
        <w:tc>
          <w:tcPr>
            <w:tcW w:w="2880" w:type="dxa"/>
            <w:vAlign w:val="center"/>
          </w:tcPr>
          <w:p w:rsidR="00413707" w:rsidRDefault="00532CED">
            <w:pPr>
              <w:jc w:val="right"/>
            </w:pPr>
            <w:r>
              <w:rPr>
                <w:color w:val="000000"/>
                <w:sz w:val="24"/>
              </w:rPr>
              <w:t>9,777,557.76</w:t>
            </w:r>
          </w:p>
        </w:tc>
        <w:tc>
          <w:tcPr>
            <w:tcW w:w="1620" w:type="dxa"/>
            <w:vAlign w:val="center"/>
          </w:tcPr>
          <w:p w:rsidR="00413707" w:rsidRDefault="00532CED">
            <w:pPr>
              <w:jc w:val="right"/>
            </w:pPr>
            <w:r>
              <w:rPr>
                <w:color w:val="000000"/>
                <w:sz w:val="24"/>
              </w:rPr>
              <w:t>2.95</w:t>
            </w:r>
          </w:p>
        </w:tc>
      </w:tr>
      <w:tr w:rsidR="00413707">
        <w:tc>
          <w:tcPr>
            <w:tcW w:w="870" w:type="dxa"/>
            <w:vAlign w:val="center"/>
          </w:tcPr>
          <w:p w:rsidR="00413707" w:rsidRDefault="00532CED">
            <w:pPr>
              <w:jc w:val="center"/>
            </w:pPr>
            <w:r>
              <w:rPr>
                <w:color w:val="000000"/>
                <w:sz w:val="24"/>
              </w:rPr>
              <w:t>13</w:t>
            </w:r>
          </w:p>
        </w:tc>
        <w:tc>
          <w:tcPr>
            <w:tcW w:w="1650" w:type="dxa"/>
            <w:vAlign w:val="center"/>
          </w:tcPr>
          <w:p w:rsidR="00413707" w:rsidRDefault="00532CED">
            <w:pPr>
              <w:jc w:val="center"/>
            </w:pPr>
            <w:r>
              <w:rPr>
                <w:color w:val="000000"/>
                <w:sz w:val="24"/>
              </w:rPr>
              <w:t>600690</w:t>
            </w:r>
          </w:p>
        </w:tc>
        <w:tc>
          <w:tcPr>
            <w:tcW w:w="1980" w:type="dxa"/>
            <w:vAlign w:val="center"/>
          </w:tcPr>
          <w:p w:rsidR="00413707" w:rsidRDefault="00532CED">
            <w:pPr>
              <w:jc w:val="center"/>
            </w:pPr>
            <w:r>
              <w:rPr>
                <w:color w:val="000000"/>
                <w:sz w:val="24"/>
              </w:rPr>
              <w:t>青岛海尔</w:t>
            </w:r>
          </w:p>
        </w:tc>
        <w:tc>
          <w:tcPr>
            <w:tcW w:w="2880" w:type="dxa"/>
            <w:vAlign w:val="center"/>
          </w:tcPr>
          <w:p w:rsidR="00413707" w:rsidRDefault="00532CED">
            <w:pPr>
              <w:jc w:val="right"/>
            </w:pPr>
            <w:r>
              <w:rPr>
                <w:color w:val="000000"/>
                <w:sz w:val="24"/>
              </w:rPr>
              <w:t>9,299,861.00</w:t>
            </w:r>
          </w:p>
        </w:tc>
        <w:tc>
          <w:tcPr>
            <w:tcW w:w="1620" w:type="dxa"/>
            <w:vAlign w:val="center"/>
          </w:tcPr>
          <w:p w:rsidR="00413707" w:rsidRDefault="00532CED">
            <w:pPr>
              <w:jc w:val="right"/>
            </w:pPr>
            <w:r>
              <w:rPr>
                <w:color w:val="000000"/>
                <w:sz w:val="24"/>
              </w:rPr>
              <w:t>2.81</w:t>
            </w:r>
          </w:p>
        </w:tc>
      </w:tr>
      <w:tr w:rsidR="00413707">
        <w:tc>
          <w:tcPr>
            <w:tcW w:w="870" w:type="dxa"/>
            <w:vAlign w:val="center"/>
          </w:tcPr>
          <w:p w:rsidR="00413707" w:rsidRDefault="00532CED">
            <w:pPr>
              <w:jc w:val="center"/>
            </w:pPr>
            <w:r>
              <w:rPr>
                <w:color w:val="000000"/>
                <w:sz w:val="24"/>
              </w:rPr>
              <w:t>14</w:t>
            </w:r>
          </w:p>
        </w:tc>
        <w:tc>
          <w:tcPr>
            <w:tcW w:w="1650" w:type="dxa"/>
            <w:vAlign w:val="center"/>
          </w:tcPr>
          <w:p w:rsidR="00413707" w:rsidRDefault="00532CED">
            <w:pPr>
              <w:jc w:val="center"/>
            </w:pPr>
            <w:r>
              <w:rPr>
                <w:color w:val="000000"/>
                <w:sz w:val="24"/>
              </w:rPr>
              <w:t>002537</w:t>
            </w:r>
          </w:p>
        </w:tc>
        <w:tc>
          <w:tcPr>
            <w:tcW w:w="1980" w:type="dxa"/>
            <w:vAlign w:val="center"/>
          </w:tcPr>
          <w:p w:rsidR="00413707" w:rsidRDefault="00532CED">
            <w:pPr>
              <w:jc w:val="center"/>
            </w:pPr>
            <w:proofErr w:type="gramStart"/>
            <w:r>
              <w:rPr>
                <w:color w:val="000000"/>
                <w:sz w:val="24"/>
              </w:rPr>
              <w:t>海联金汇</w:t>
            </w:r>
            <w:proofErr w:type="gramEnd"/>
          </w:p>
        </w:tc>
        <w:tc>
          <w:tcPr>
            <w:tcW w:w="2880" w:type="dxa"/>
            <w:vAlign w:val="center"/>
          </w:tcPr>
          <w:p w:rsidR="00413707" w:rsidRDefault="00532CED">
            <w:pPr>
              <w:jc w:val="right"/>
            </w:pPr>
            <w:r>
              <w:rPr>
                <w:color w:val="000000"/>
                <w:sz w:val="24"/>
              </w:rPr>
              <w:t>7,245,846.79</w:t>
            </w:r>
          </w:p>
        </w:tc>
        <w:tc>
          <w:tcPr>
            <w:tcW w:w="1620" w:type="dxa"/>
            <w:vAlign w:val="center"/>
          </w:tcPr>
          <w:p w:rsidR="00413707" w:rsidRDefault="00532CED">
            <w:pPr>
              <w:jc w:val="right"/>
            </w:pPr>
            <w:r>
              <w:rPr>
                <w:color w:val="000000"/>
                <w:sz w:val="24"/>
              </w:rPr>
              <w:t>2.19</w:t>
            </w:r>
          </w:p>
        </w:tc>
      </w:tr>
      <w:tr w:rsidR="00413707">
        <w:tc>
          <w:tcPr>
            <w:tcW w:w="870" w:type="dxa"/>
            <w:vAlign w:val="center"/>
          </w:tcPr>
          <w:p w:rsidR="00413707" w:rsidRDefault="00532CED">
            <w:pPr>
              <w:jc w:val="center"/>
            </w:pPr>
            <w:r>
              <w:rPr>
                <w:color w:val="000000"/>
                <w:sz w:val="24"/>
              </w:rPr>
              <w:t>15</w:t>
            </w:r>
          </w:p>
        </w:tc>
        <w:tc>
          <w:tcPr>
            <w:tcW w:w="1650" w:type="dxa"/>
            <w:vAlign w:val="center"/>
          </w:tcPr>
          <w:p w:rsidR="00413707" w:rsidRDefault="00532CED">
            <w:pPr>
              <w:jc w:val="center"/>
            </w:pPr>
            <w:r>
              <w:rPr>
                <w:color w:val="000000"/>
                <w:sz w:val="24"/>
              </w:rPr>
              <w:t>600276</w:t>
            </w:r>
          </w:p>
        </w:tc>
        <w:tc>
          <w:tcPr>
            <w:tcW w:w="1980" w:type="dxa"/>
            <w:vAlign w:val="center"/>
          </w:tcPr>
          <w:p w:rsidR="00413707" w:rsidRDefault="00532CED">
            <w:pPr>
              <w:jc w:val="center"/>
            </w:pPr>
            <w:r>
              <w:rPr>
                <w:color w:val="000000"/>
                <w:sz w:val="24"/>
              </w:rPr>
              <w:t>恒瑞医药</w:t>
            </w:r>
          </w:p>
        </w:tc>
        <w:tc>
          <w:tcPr>
            <w:tcW w:w="2880" w:type="dxa"/>
            <w:vAlign w:val="center"/>
          </w:tcPr>
          <w:p w:rsidR="00413707" w:rsidRDefault="00532CED">
            <w:pPr>
              <w:jc w:val="right"/>
            </w:pPr>
            <w:r>
              <w:rPr>
                <w:color w:val="000000"/>
                <w:sz w:val="24"/>
              </w:rPr>
              <w:t>7,162,507.70</w:t>
            </w:r>
          </w:p>
        </w:tc>
        <w:tc>
          <w:tcPr>
            <w:tcW w:w="1620" w:type="dxa"/>
            <w:vAlign w:val="center"/>
          </w:tcPr>
          <w:p w:rsidR="00413707" w:rsidRDefault="00532CED">
            <w:pPr>
              <w:jc w:val="right"/>
            </w:pPr>
            <w:r>
              <w:rPr>
                <w:color w:val="000000"/>
                <w:sz w:val="24"/>
              </w:rPr>
              <w:t>2.16</w:t>
            </w:r>
          </w:p>
        </w:tc>
      </w:tr>
      <w:tr w:rsidR="00413707">
        <w:tc>
          <w:tcPr>
            <w:tcW w:w="870" w:type="dxa"/>
            <w:vAlign w:val="center"/>
          </w:tcPr>
          <w:p w:rsidR="00413707" w:rsidRDefault="00532CED">
            <w:pPr>
              <w:jc w:val="center"/>
            </w:pPr>
            <w:r>
              <w:rPr>
                <w:color w:val="000000"/>
                <w:sz w:val="24"/>
              </w:rPr>
              <w:t>16</w:t>
            </w:r>
          </w:p>
        </w:tc>
        <w:tc>
          <w:tcPr>
            <w:tcW w:w="1650" w:type="dxa"/>
            <w:vAlign w:val="center"/>
          </w:tcPr>
          <w:p w:rsidR="00413707" w:rsidRDefault="00532CED">
            <w:pPr>
              <w:jc w:val="center"/>
            </w:pPr>
            <w:r>
              <w:rPr>
                <w:color w:val="000000"/>
                <w:sz w:val="24"/>
              </w:rPr>
              <w:t>002094</w:t>
            </w:r>
          </w:p>
        </w:tc>
        <w:tc>
          <w:tcPr>
            <w:tcW w:w="1980" w:type="dxa"/>
            <w:vAlign w:val="center"/>
          </w:tcPr>
          <w:p w:rsidR="00413707" w:rsidRDefault="00532CED">
            <w:pPr>
              <w:jc w:val="center"/>
            </w:pPr>
            <w:r>
              <w:rPr>
                <w:color w:val="000000"/>
                <w:sz w:val="24"/>
              </w:rPr>
              <w:t>青岛金王</w:t>
            </w:r>
          </w:p>
        </w:tc>
        <w:tc>
          <w:tcPr>
            <w:tcW w:w="2880" w:type="dxa"/>
            <w:vAlign w:val="center"/>
          </w:tcPr>
          <w:p w:rsidR="00413707" w:rsidRDefault="00532CED">
            <w:pPr>
              <w:jc w:val="right"/>
            </w:pPr>
            <w:r>
              <w:rPr>
                <w:color w:val="000000"/>
                <w:sz w:val="24"/>
              </w:rPr>
              <w:t>6,248,899.00</w:t>
            </w:r>
          </w:p>
        </w:tc>
        <w:tc>
          <w:tcPr>
            <w:tcW w:w="1620" w:type="dxa"/>
            <w:vAlign w:val="center"/>
          </w:tcPr>
          <w:p w:rsidR="00413707" w:rsidRDefault="00532CED">
            <w:pPr>
              <w:jc w:val="right"/>
            </w:pPr>
            <w:r>
              <w:rPr>
                <w:color w:val="000000"/>
                <w:sz w:val="24"/>
              </w:rPr>
              <w:t>1.89</w:t>
            </w:r>
          </w:p>
        </w:tc>
      </w:tr>
      <w:tr w:rsidR="00413707">
        <w:tc>
          <w:tcPr>
            <w:tcW w:w="870" w:type="dxa"/>
            <w:vAlign w:val="center"/>
          </w:tcPr>
          <w:p w:rsidR="00413707" w:rsidRDefault="00532CED">
            <w:pPr>
              <w:jc w:val="center"/>
            </w:pPr>
            <w:r>
              <w:rPr>
                <w:color w:val="000000"/>
                <w:sz w:val="24"/>
              </w:rPr>
              <w:t>17</w:t>
            </w:r>
          </w:p>
        </w:tc>
        <w:tc>
          <w:tcPr>
            <w:tcW w:w="1650" w:type="dxa"/>
            <w:vAlign w:val="center"/>
          </w:tcPr>
          <w:p w:rsidR="00413707" w:rsidRDefault="00532CED">
            <w:pPr>
              <w:jc w:val="center"/>
            </w:pPr>
            <w:r>
              <w:rPr>
                <w:color w:val="000000"/>
                <w:sz w:val="24"/>
              </w:rPr>
              <w:t>600519</w:t>
            </w:r>
          </w:p>
        </w:tc>
        <w:tc>
          <w:tcPr>
            <w:tcW w:w="1980" w:type="dxa"/>
            <w:vAlign w:val="center"/>
          </w:tcPr>
          <w:p w:rsidR="00413707" w:rsidRDefault="00532CED">
            <w:pPr>
              <w:jc w:val="center"/>
            </w:pPr>
            <w:r>
              <w:rPr>
                <w:color w:val="000000"/>
                <w:sz w:val="24"/>
              </w:rPr>
              <w:t>贵州茅台</w:t>
            </w:r>
          </w:p>
        </w:tc>
        <w:tc>
          <w:tcPr>
            <w:tcW w:w="2880" w:type="dxa"/>
            <w:vAlign w:val="center"/>
          </w:tcPr>
          <w:p w:rsidR="00413707" w:rsidRDefault="00532CED">
            <w:pPr>
              <w:jc w:val="right"/>
            </w:pPr>
            <w:r>
              <w:rPr>
                <w:color w:val="000000"/>
                <w:sz w:val="24"/>
              </w:rPr>
              <w:t>5,797,018.00</w:t>
            </w:r>
          </w:p>
        </w:tc>
        <w:tc>
          <w:tcPr>
            <w:tcW w:w="1620" w:type="dxa"/>
            <w:vAlign w:val="center"/>
          </w:tcPr>
          <w:p w:rsidR="00413707" w:rsidRDefault="00532CED">
            <w:pPr>
              <w:jc w:val="right"/>
            </w:pPr>
            <w:r>
              <w:rPr>
                <w:color w:val="000000"/>
                <w:sz w:val="24"/>
              </w:rPr>
              <w:t>1.75</w:t>
            </w:r>
          </w:p>
        </w:tc>
      </w:tr>
      <w:tr w:rsidR="00413707">
        <w:tc>
          <w:tcPr>
            <w:tcW w:w="870" w:type="dxa"/>
            <w:vAlign w:val="center"/>
          </w:tcPr>
          <w:p w:rsidR="00413707" w:rsidRDefault="00532CED">
            <w:pPr>
              <w:jc w:val="center"/>
            </w:pPr>
            <w:r>
              <w:rPr>
                <w:color w:val="000000"/>
                <w:sz w:val="24"/>
              </w:rPr>
              <w:t>18</w:t>
            </w:r>
          </w:p>
        </w:tc>
        <w:tc>
          <w:tcPr>
            <w:tcW w:w="1650" w:type="dxa"/>
            <w:vAlign w:val="center"/>
          </w:tcPr>
          <w:p w:rsidR="00413707" w:rsidRDefault="00532CED">
            <w:pPr>
              <w:jc w:val="center"/>
            </w:pPr>
            <w:r>
              <w:rPr>
                <w:color w:val="000000"/>
                <w:sz w:val="24"/>
              </w:rPr>
              <w:t>600030</w:t>
            </w:r>
          </w:p>
        </w:tc>
        <w:tc>
          <w:tcPr>
            <w:tcW w:w="1980" w:type="dxa"/>
            <w:vAlign w:val="center"/>
          </w:tcPr>
          <w:p w:rsidR="00413707" w:rsidRDefault="00532CED">
            <w:pPr>
              <w:jc w:val="center"/>
            </w:pPr>
            <w:r>
              <w:rPr>
                <w:color w:val="000000"/>
                <w:sz w:val="24"/>
              </w:rPr>
              <w:t>中信证券</w:t>
            </w:r>
          </w:p>
        </w:tc>
        <w:tc>
          <w:tcPr>
            <w:tcW w:w="2880" w:type="dxa"/>
            <w:vAlign w:val="center"/>
          </w:tcPr>
          <w:p w:rsidR="00413707" w:rsidRDefault="00532CED">
            <w:pPr>
              <w:jc w:val="right"/>
            </w:pPr>
            <w:r>
              <w:rPr>
                <w:color w:val="000000"/>
                <w:sz w:val="24"/>
              </w:rPr>
              <w:t>5,623,947.00</w:t>
            </w:r>
          </w:p>
        </w:tc>
        <w:tc>
          <w:tcPr>
            <w:tcW w:w="1620" w:type="dxa"/>
            <w:vAlign w:val="center"/>
          </w:tcPr>
          <w:p w:rsidR="00413707" w:rsidRDefault="00532CED">
            <w:pPr>
              <w:jc w:val="right"/>
            </w:pPr>
            <w:r>
              <w:rPr>
                <w:color w:val="000000"/>
                <w:sz w:val="24"/>
              </w:rPr>
              <w:t>1.70</w:t>
            </w:r>
          </w:p>
        </w:tc>
      </w:tr>
      <w:tr w:rsidR="00413707">
        <w:tc>
          <w:tcPr>
            <w:tcW w:w="870" w:type="dxa"/>
            <w:vAlign w:val="center"/>
          </w:tcPr>
          <w:p w:rsidR="00413707" w:rsidRDefault="00532CED">
            <w:pPr>
              <w:jc w:val="center"/>
            </w:pPr>
            <w:r>
              <w:rPr>
                <w:color w:val="000000"/>
                <w:sz w:val="24"/>
              </w:rPr>
              <w:t>19</w:t>
            </w:r>
          </w:p>
        </w:tc>
        <w:tc>
          <w:tcPr>
            <w:tcW w:w="1650" w:type="dxa"/>
            <w:vAlign w:val="center"/>
          </w:tcPr>
          <w:p w:rsidR="00413707" w:rsidRDefault="00532CED">
            <w:pPr>
              <w:jc w:val="center"/>
            </w:pPr>
            <w:r>
              <w:rPr>
                <w:color w:val="000000"/>
                <w:sz w:val="24"/>
              </w:rPr>
              <w:t>002027</w:t>
            </w:r>
          </w:p>
        </w:tc>
        <w:tc>
          <w:tcPr>
            <w:tcW w:w="1980" w:type="dxa"/>
            <w:vAlign w:val="center"/>
          </w:tcPr>
          <w:p w:rsidR="00413707" w:rsidRDefault="00532CED">
            <w:pPr>
              <w:jc w:val="center"/>
            </w:pPr>
            <w:r>
              <w:rPr>
                <w:color w:val="000000"/>
                <w:sz w:val="24"/>
              </w:rPr>
              <w:t>分众传媒</w:t>
            </w:r>
          </w:p>
        </w:tc>
        <w:tc>
          <w:tcPr>
            <w:tcW w:w="2880" w:type="dxa"/>
            <w:vAlign w:val="center"/>
          </w:tcPr>
          <w:p w:rsidR="00413707" w:rsidRDefault="00532CED">
            <w:pPr>
              <w:jc w:val="right"/>
            </w:pPr>
            <w:r>
              <w:rPr>
                <w:color w:val="000000"/>
                <w:sz w:val="24"/>
              </w:rPr>
              <w:t>5,592,442.00</w:t>
            </w:r>
          </w:p>
        </w:tc>
        <w:tc>
          <w:tcPr>
            <w:tcW w:w="1620" w:type="dxa"/>
            <w:vAlign w:val="center"/>
          </w:tcPr>
          <w:p w:rsidR="00413707" w:rsidRDefault="00532CED">
            <w:pPr>
              <w:jc w:val="right"/>
            </w:pPr>
            <w:r>
              <w:rPr>
                <w:color w:val="000000"/>
                <w:sz w:val="24"/>
              </w:rPr>
              <w:t>1.69</w:t>
            </w:r>
          </w:p>
        </w:tc>
      </w:tr>
      <w:tr w:rsidR="00413707">
        <w:tc>
          <w:tcPr>
            <w:tcW w:w="870" w:type="dxa"/>
            <w:vAlign w:val="center"/>
          </w:tcPr>
          <w:p w:rsidR="00413707" w:rsidRDefault="00532CED">
            <w:pPr>
              <w:jc w:val="center"/>
            </w:pPr>
            <w:r>
              <w:rPr>
                <w:color w:val="000000"/>
                <w:sz w:val="24"/>
              </w:rPr>
              <w:t>20</w:t>
            </w:r>
          </w:p>
        </w:tc>
        <w:tc>
          <w:tcPr>
            <w:tcW w:w="1650" w:type="dxa"/>
            <w:vAlign w:val="center"/>
          </w:tcPr>
          <w:p w:rsidR="00413707" w:rsidRDefault="00532CED">
            <w:pPr>
              <w:jc w:val="center"/>
            </w:pPr>
            <w:r>
              <w:rPr>
                <w:color w:val="000000"/>
                <w:sz w:val="24"/>
              </w:rPr>
              <w:t>002024</w:t>
            </w:r>
          </w:p>
        </w:tc>
        <w:tc>
          <w:tcPr>
            <w:tcW w:w="1980" w:type="dxa"/>
            <w:vAlign w:val="center"/>
          </w:tcPr>
          <w:p w:rsidR="00413707" w:rsidRDefault="00532CED">
            <w:pPr>
              <w:jc w:val="center"/>
            </w:pPr>
            <w:r>
              <w:rPr>
                <w:color w:val="000000"/>
                <w:sz w:val="24"/>
              </w:rPr>
              <w:t>苏宁易购</w:t>
            </w:r>
          </w:p>
        </w:tc>
        <w:tc>
          <w:tcPr>
            <w:tcW w:w="2880" w:type="dxa"/>
            <w:vAlign w:val="center"/>
          </w:tcPr>
          <w:p w:rsidR="00413707" w:rsidRDefault="00532CED">
            <w:pPr>
              <w:jc w:val="right"/>
            </w:pPr>
            <w:r>
              <w:rPr>
                <w:color w:val="000000"/>
                <w:sz w:val="24"/>
              </w:rPr>
              <w:t>4,984,648.50</w:t>
            </w:r>
          </w:p>
        </w:tc>
        <w:tc>
          <w:tcPr>
            <w:tcW w:w="1620" w:type="dxa"/>
            <w:vAlign w:val="center"/>
          </w:tcPr>
          <w:p w:rsidR="00413707" w:rsidRDefault="00532CED">
            <w:pPr>
              <w:jc w:val="right"/>
            </w:pPr>
            <w:r>
              <w:rPr>
                <w:color w:val="000000"/>
                <w:sz w:val="24"/>
              </w:rPr>
              <w:t>1.50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67222"/>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413707">
        <w:tc>
          <w:tcPr>
            <w:tcW w:w="870" w:type="dxa"/>
            <w:vAlign w:val="center"/>
          </w:tcPr>
          <w:p w:rsidR="00413707" w:rsidRDefault="00532CED">
            <w:pPr>
              <w:jc w:val="center"/>
            </w:pPr>
            <w:r>
              <w:rPr>
                <w:color w:val="000000"/>
                <w:sz w:val="24"/>
              </w:rPr>
              <w:t>1</w:t>
            </w:r>
          </w:p>
        </w:tc>
        <w:tc>
          <w:tcPr>
            <w:tcW w:w="1650" w:type="dxa"/>
            <w:vAlign w:val="center"/>
          </w:tcPr>
          <w:p w:rsidR="00413707" w:rsidRDefault="00532CED">
            <w:pPr>
              <w:jc w:val="center"/>
            </w:pPr>
            <w:r>
              <w:rPr>
                <w:color w:val="000000"/>
                <w:sz w:val="24"/>
              </w:rPr>
              <w:t>600887</w:t>
            </w:r>
          </w:p>
        </w:tc>
        <w:tc>
          <w:tcPr>
            <w:tcW w:w="1980" w:type="dxa"/>
            <w:vAlign w:val="center"/>
          </w:tcPr>
          <w:p w:rsidR="00413707" w:rsidRDefault="00532CED">
            <w:pPr>
              <w:jc w:val="center"/>
            </w:pPr>
            <w:r>
              <w:rPr>
                <w:color w:val="000000"/>
                <w:sz w:val="24"/>
              </w:rPr>
              <w:t>伊利股份</w:t>
            </w:r>
          </w:p>
        </w:tc>
        <w:tc>
          <w:tcPr>
            <w:tcW w:w="2880" w:type="dxa"/>
            <w:vAlign w:val="center"/>
          </w:tcPr>
          <w:p w:rsidR="00413707" w:rsidRDefault="00532CED">
            <w:pPr>
              <w:jc w:val="right"/>
            </w:pPr>
            <w:r>
              <w:rPr>
                <w:color w:val="000000"/>
                <w:sz w:val="24"/>
              </w:rPr>
              <w:t>34,147,635.21</w:t>
            </w:r>
          </w:p>
        </w:tc>
        <w:tc>
          <w:tcPr>
            <w:tcW w:w="1620" w:type="dxa"/>
            <w:vAlign w:val="center"/>
          </w:tcPr>
          <w:p w:rsidR="00413707" w:rsidRDefault="00532CED">
            <w:pPr>
              <w:jc w:val="right"/>
            </w:pPr>
            <w:r>
              <w:rPr>
                <w:color w:val="000000"/>
                <w:sz w:val="24"/>
              </w:rPr>
              <w:t>10.30</w:t>
            </w:r>
          </w:p>
        </w:tc>
      </w:tr>
      <w:tr w:rsidR="00413707">
        <w:tc>
          <w:tcPr>
            <w:tcW w:w="870" w:type="dxa"/>
            <w:vAlign w:val="center"/>
          </w:tcPr>
          <w:p w:rsidR="00413707" w:rsidRDefault="00532CED">
            <w:pPr>
              <w:jc w:val="center"/>
            </w:pPr>
            <w:r>
              <w:rPr>
                <w:color w:val="000000"/>
                <w:sz w:val="24"/>
              </w:rPr>
              <w:t>2</w:t>
            </w:r>
          </w:p>
        </w:tc>
        <w:tc>
          <w:tcPr>
            <w:tcW w:w="1650" w:type="dxa"/>
            <w:vAlign w:val="center"/>
          </w:tcPr>
          <w:p w:rsidR="00413707" w:rsidRDefault="00532CED">
            <w:pPr>
              <w:jc w:val="center"/>
            </w:pPr>
            <w:r>
              <w:rPr>
                <w:color w:val="000000"/>
                <w:sz w:val="24"/>
              </w:rPr>
              <w:t>002304</w:t>
            </w:r>
          </w:p>
        </w:tc>
        <w:tc>
          <w:tcPr>
            <w:tcW w:w="1980" w:type="dxa"/>
            <w:vAlign w:val="center"/>
          </w:tcPr>
          <w:p w:rsidR="00413707" w:rsidRDefault="00532CED">
            <w:pPr>
              <w:jc w:val="center"/>
            </w:pPr>
            <w:r>
              <w:rPr>
                <w:color w:val="000000"/>
                <w:sz w:val="24"/>
              </w:rPr>
              <w:t>洋河股份</w:t>
            </w:r>
          </w:p>
        </w:tc>
        <w:tc>
          <w:tcPr>
            <w:tcW w:w="2880" w:type="dxa"/>
            <w:vAlign w:val="center"/>
          </w:tcPr>
          <w:p w:rsidR="00413707" w:rsidRDefault="00532CED">
            <w:pPr>
              <w:jc w:val="right"/>
            </w:pPr>
            <w:r>
              <w:rPr>
                <w:color w:val="000000"/>
                <w:sz w:val="24"/>
              </w:rPr>
              <w:t>33,469,884.46</w:t>
            </w:r>
          </w:p>
        </w:tc>
        <w:tc>
          <w:tcPr>
            <w:tcW w:w="1620" w:type="dxa"/>
            <w:vAlign w:val="center"/>
          </w:tcPr>
          <w:p w:rsidR="00413707" w:rsidRDefault="00532CED">
            <w:pPr>
              <w:jc w:val="right"/>
            </w:pPr>
            <w:r>
              <w:rPr>
                <w:color w:val="000000"/>
                <w:sz w:val="24"/>
              </w:rPr>
              <w:t>10.10</w:t>
            </w:r>
          </w:p>
        </w:tc>
      </w:tr>
      <w:tr w:rsidR="00413707">
        <w:tc>
          <w:tcPr>
            <w:tcW w:w="870" w:type="dxa"/>
            <w:vAlign w:val="center"/>
          </w:tcPr>
          <w:p w:rsidR="00413707" w:rsidRDefault="00532CED">
            <w:pPr>
              <w:jc w:val="center"/>
            </w:pPr>
            <w:r>
              <w:rPr>
                <w:color w:val="000000"/>
                <w:sz w:val="24"/>
              </w:rPr>
              <w:t>3</w:t>
            </w:r>
          </w:p>
        </w:tc>
        <w:tc>
          <w:tcPr>
            <w:tcW w:w="1650" w:type="dxa"/>
            <w:vAlign w:val="center"/>
          </w:tcPr>
          <w:p w:rsidR="00413707" w:rsidRDefault="00532CED">
            <w:pPr>
              <w:jc w:val="center"/>
            </w:pPr>
            <w:r>
              <w:rPr>
                <w:color w:val="000000"/>
                <w:sz w:val="24"/>
              </w:rPr>
              <w:t>002027</w:t>
            </w:r>
          </w:p>
        </w:tc>
        <w:tc>
          <w:tcPr>
            <w:tcW w:w="1980" w:type="dxa"/>
            <w:vAlign w:val="center"/>
          </w:tcPr>
          <w:p w:rsidR="00413707" w:rsidRDefault="00532CED">
            <w:pPr>
              <w:jc w:val="center"/>
            </w:pPr>
            <w:r>
              <w:rPr>
                <w:color w:val="000000"/>
                <w:sz w:val="24"/>
              </w:rPr>
              <w:t>分众传媒</w:t>
            </w:r>
          </w:p>
        </w:tc>
        <w:tc>
          <w:tcPr>
            <w:tcW w:w="2880" w:type="dxa"/>
            <w:vAlign w:val="center"/>
          </w:tcPr>
          <w:p w:rsidR="00413707" w:rsidRDefault="00532CED">
            <w:pPr>
              <w:jc w:val="right"/>
            </w:pPr>
            <w:r>
              <w:rPr>
                <w:color w:val="000000"/>
                <w:sz w:val="24"/>
              </w:rPr>
              <w:t>27,191,985.74</w:t>
            </w:r>
          </w:p>
        </w:tc>
        <w:tc>
          <w:tcPr>
            <w:tcW w:w="1620" w:type="dxa"/>
            <w:vAlign w:val="center"/>
          </w:tcPr>
          <w:p w:rsidR="00413707" w:rsidRDefault="00532CED">
            <w:pPr>
              <w:jc w:val="right"/>
            </w:pPr>
            <w:r>
              <w:rPr>
                <w:color w:val="000000"/>
                <w:sz w:val="24"/>
              </w:rPr>
              <w:t>8.20</w:t>
            </w:r>
          </w:p>
        </w:tc>
      </w:tr>
      <w:tr w:rsidR="00413707">
        <w:tc>
          <w:tcPr>
            <w:tcW w:w="870" w:type="dxa"/>
            <w:vAlign w:val="center"/>
          </w:tcPr>
          <w:p w:rsidR="00413707" w:rsidRDefault="00532CED">
            <w:pPr>
              <w:jc w:val="center"/>
            </w:pPr>
            <w:r>
              <w:rPr>
                <w:color w:val="000000"/>
                <w:sz w:val="24"/>
              </w:rPr>
              <w:t>4</w:t>
            </w:r>
          </w:p>
        </w:tc>
        <w:tc>
          <w:tcPr>
            <w:tcW w:w="1650" w:type="dxa"/>
            <w:vAlign w:val="center"/>
          </w:tcPr>
          <w:p w:rsidR="00413707" w:rsidRDefault="00532CED">
            <w:pPr>
              <w:jc w:val="center"/>
            </w:pPr>
            <w:r>
              <w:rPr>
                <w:color w:val="000000"/>
                <w:sz w:val="24"/>
              </w:rPr>
              <w:t>000858</w:t>
            </w:r>
          </w:p>
        </w:tc>
        <w:tc>
          <w:tcPr>
            <w:tcW w:w="1980" w:type="dxa"/>
            <w:vAlign w:val="center"/>
          </w:tcPr>
          <w:p w:rsidR="00413707" w:rsidRDefault="00532CED">
            <w:pPr>
              <w:jc w:val="center"/>
            </w:pPr>
            <w:r>
              <w:rPr>
                <w:color w:val="000000"/>
                <w:sz w:val="24"/>
              </w:rPr>
              <w:t>五粮液</w:t>
            </w:r>
          </w:p>
        </w:tc>
        <w:tc>
          <w:tcPr>
            <w:tcW w:w="2880" w:type="dxa"/>
            <w:vAlign w:val="center"/>
          </w:tcPr>
          <w:p w:rsidR="00413707" w:rsidRDefault="00532CED">
            <w:pPr>
              <w:jc w:val="right"/>
            </w:pPr>
            <w:r>
              <w:rPr>
                <w:color w:val="000000"/>
                <w:sz w:val="24"/>
              </w:rPr>
              <w:t>25,635,798.75</w:t>
            </w:r>
          </w:p>
        </w:tc>
        <w:tc>
          <w:tcPr>
            <w:tcW w:w="1620" w:type="dxa"/>
            <w:vAlign w:val="center"/>
          </w:tcPr>
          <w:p w:rsidR="00413707" w:rsidRDefault="00532CED">
            <w:pPr>
              <w:jc w:val="right"/>
            </w:pPr>
            <w:r>
              <w:rPr>
                <w:color w:val="000000"/>
                <w:sz w:val="24"/>
              </w:rPr>
              <w:t>7.73</w:t>
            </w:r>
          </w:p>
        </w:tc>
      </w:tr>
      <w:tr w:rsidR="00413707">
        <w:tc>
          <w:tcPr>
            <w:tcW w:w="870" w:type="dxa"/>
            <w:vAlign w:val="center"/>
          </w:tcPr>
          <w:p w:rsidR="00413707" w:rsidRDefault="00532CED">
            <w:pPr>
              <w:jc w:val="center"/>
            </w:pPr>
            <w:r>
              <w:rPr>
                <w:color w:val="000000"/>
                <w:sz w:val="24"/>
              </w:rPr>
              <w:t>5</w:t>
            </w:r>
          </w:p>
        </w:tc>
        <w:tc>
          <w:tcPr>
            <w:tcW w:w="1650" w:type="dxa"/>
            <w:vAlign w:val="center"/>
          </w:tcPr>
          <w:p w:rsidR="00413707" w:rsidRDefault="00532CED">
            <w:pPr>
              <w:jc w:val="center"/>
            </w:pPr>
            <w:r>
              <w:rPr>
                <w:color w:val="000000"/>
                <w:sz w:val="24"/>
              </w:rPr>
              <w:t>603877</w:t>
            </w:r>
          </w:p>
        </w:tc>
        <w:tc>
          <w:tcPr>
            <w:tcW w:w="1980" w:type="dxa"/>
            <w:vAlign w:val="center"/>
          </w:tcPr>
          <w:p w:rsidR="00413707" w:rsidRDefault="00532CED">
            <w:pPr>
              <w:jc w:val="center"/>
            </w:pPr>
            <w:r>
              <w:rPr>
                <w:color w:val="000000"/>
                <w:sz w:val="24"/>
              </w:rPr>
              <w:t>太平鸟</w:t>
            </w:r>
          </w:p>
        </w:tc>
        <w:tc>
          <w:tcPr>
            <w:tcW w:w="2880" w:type="dxa"/>
            <w:vAlign w:val="center"/>
          </w:tcPr>
          <w:p w:rsidR="00413707" w:rsidRDefault="00532CED">
            <w:pPr>
              <w:jc w:val="right"/>
            </w:pPr>
            <w:r>
              <w:rPr>
                <w:color w:val="000000"/>
                <w:sz w:val="24"/>
              </w:rPr>
              <w:t>22,423,697.17</w:t>
            </w:r>
          </w:p>
        </w:tc>
        <w:tc>
          <w:tcPr>
            <w:tcW w:w="1620" w:type="dxa"/>
            <w:vAlign w:val="center"/>
          </w:tcPr>
          <w:p w:rsidR="00413707" w:rsidRDefault="00532CED">
            <w:pPr>
              <w:jc w:val="right"/>
            </w:pPr>
            <w:r>
              <w:rPr>
                <w:color w:val="000000"/>
                <w:sz w:val="24"/>
              </w:rPr>
              <w:t>6.76</w:t>
            </w:r>
          </w:p>
        </w:tc>
      </w:tr>
      <w:tr w:rsidR="00413707">
        <w:tc>
          <w:tcPr>
            <w:tcW w:w="870" w:type="dxa"/>
            <w:vAlign w:val="center"/>
          </w:tcPr>
          <w:p w:rsidR="00413707" w:rsidRDefault="00532CED">
            <w:pPr>
              <w:jc w:val="center"/>
            </w:pPr>
            <w:r>
              <w:rPr>
                <w:color w:val="000000"/>
                <w:sz w:val="24"/>
              </w:rPr>
              <w:t>6</w:t>
            </w:r>
          </w:p>
        </w:tc>
        <w:tc>
          <w:tcPr>
            <w:tcW w:w="1650" w:type="dxa"/>
            <w:vAlign w:val="center"/>
          </w:tcPr>
          <w:p w:rsidR="00413707" w:rsidRDefault="00532CED">
            <w:pPr>
              <w:jc w:val="center"/>
            </w:pPr>
            <w:r>
              <w:rPr>
                <w:color w:val="000000"/>
                <w:sz w:val="24"/>
              </w:rPr>
              <w:t>600519</w:t>
            </w:r>
          </w:p>
        </w:tc>
        <w:tc>
          <w:tcPr>
            <w:tcW w:w="1980" w:type="dxa"/>
            <w:vAlign w:val="center"/>
          </w:tcPr>
          <w:p w:rsidR="00413707" w:rsidRDefault="00532CED">
            <w:pPr>
              <w:jc w:val="center"/>
            </w:pPr>
            <w:r>
              <w:rPr>
                <w:color w:val="000000"/>
                <w:sz w:val="24"/>
              </w:rPr>
              <w:t>贵州茅台</w:t>
            </w:r>
          </w:p>
        </w:tc>
        <w:tc>
          <w:tcPr>
            <w:tcW w:w="2880" w:type="dxa"/>
            <w:vAlign w:val="center"/>
          </w:tcPr>
          <w:p w:rsidR="00413707" w:rsidRDefault="00532CED">
            <w:pPr>
              <w:jc w:val="right"/>
            </w:pPr>
            <w:r>
              <w:rPr>
                <w:color w:val="000000"/>
                <w:sz w:val="24"/>
              </w:rPr>
              <w:t>21,791,291.85</w:t>
            </w:r>
          </w:p>
        </w:tc>
        <w:tc>
          <w:tcPr>
            <w:tcW w:w="1620" w:type="dxa"/>
            <w:vAlign w:val="center"/>
          </w:tcPr>
          <w:p w:rsidR="00413707" w:rsidRDefault="00532CED">
            <w:pPr>
              <w:jc w:val="right"/>
            </w:pPr>
            <w:r>
              <w:rPr>
                <w:color w:val="000000"/>
                <w:sz w:val="24"/>
              </w:rPr>
              <w:t>6.57</w:t>
            </w:r>
          </w:p>
        </w:tc>
      </w:tr>
      <w:tr w:rsidR="00413707">
        <w:tc>
          <w:tcPr>
            <w:tcW w:w="870" w:type="dxa"/>
            <w:vAlign w:val="center"/>
          </w:tcPr>
          <w:p w:rsidR="00413707" w:rsidRDefault="00532CED">
            <w:pPr>
              <w:jc w:val="center"/>
            </w:pPr>
            <w:r>
              <w:rPr>
                <w:color w:val="000000"/>
                <w:sz w:val="24"/>
              </w:rPr>
              <w:lastRenderedPageBreak/>
              <w:t>7</w:t>
            </w:r>
          </w:p>
        </w:tc>
        <w:tc>
          <w:tcPr>
            <w:tcW w:w="1650" w:type="dxa"/>
            <w:vAlign w:val="center"/>
          </w:tcPr>
          <w:p w:rsidR="00413707" w:rsidRDefault="00532CED">
            <w:pPr>
              <w:jc w:val="center"/>
            </w:pPr>
            <w:r>
              <w:rPr>
                <w:color w:val="000000"/>
                <w:sz w:val="24"/>
              </w:rPr>
              <w:t>601398</w:t>
            </w:r>
          </w:p>
        </w:tc>
        <w:tc>
          <w:tcPr>
            <w:tcW w:w="1980" w:type="dxa"/>
            <w:vAlign w:val="center"/>
          </w:tcPr>
          <w:p w:rsidR="00413707" w:rsidRDefault="00532CED">
            <w:pPr>
              <w:jc w:val="center"/>
            </w:pPr>
            <w:r>
              <w:rPr>
                <w:color w:val="000000"/>
                <w:sz w:val="24"/>
              </w:rPr>
              <w:t>工商银行</w:t>
            </w:r>
          </w:p>
        </w:tc>
        <w:tc>
          <w:tcPr>
            <w:tcW w:w="2880" w:type="dxa"/>
            <w:vAlign w:val="center"/>
          </w:tcPr>
          <w:p w:rsidR="00413707" w:rsidRDefault="00532CED">
            <w:pPr>
              <w:jc w:val="right"/>
            </w:pPr>
            <w:r>
              <w:rPr>
                <w:color w:val="000000"/>
                <w:sz w:val="24"/>
              </w:rPr>
              <w:t>21,385,135.60</w:t>
            </w:r>
          </w:p>
        </w:tc>
        <w:tc>
          <w:tcPr>
            <w:tcW w:w="1620" w:type="dxa"/>
            <w:vAlign w:val="center"/>
          </w:tcPr>
          <w:p w:rsidR="00413707" w:rsidRDefault="00532CED">
            <w:pPr>
              <w:jc w:val="right"/>
            </w:pPr>
            <w:r>
              <w:rPr>
                <w:color w:val="000000"/>
                <w:sz w:val="24"/>
              </w:rPr>
              <w:t>6.45</w:t>
            </w:r>
          </w:p>
        </w:tc>
      </w:tr>
      <w:tr w:rsidR="00413707">
        <w:tc>
          <w:tcPr>
            <w:tcW w:w="870" w:type="dxa"/>
            <w:vAlign w:val="center"/>
          </w:tcPr>
          <w:p w:rsidR="00413707" w:rsidRDefault="00532CED">
            <w:pPr>
              <w:jc w:val="center"/>
            </w:pPr>
            <w:r>
              <w:rPr>
                <w:color w:val="000000"/>
                <w:sz w:val="24"/>
              </w:rPr>
              <w:t>8</w:t>
            </w:r>
          </w:p>
        </w:tc>
        <w:tc>
          <w:tcPr>
            <w:tcW w:w="1650" w:type="dxa"/>
            <w:vAlign w:val="center"/>
          </w:tcPr>
          <w:p w:rsidR="00413707" w:rsidRDefault="00532CED">
            <w:pPr>
              <w:jc w:val="center"/>
            </w:pPr>
            <w:r>
              <w:rPr>
                <w:color w:val="000000"/>
                <w:sz w:val="24"/>
              </w:rPr>
              <w:t>600036</w:t>
            </w:r>
          </w:p>
        </w:tc>
        <w:tc>
          <w:tcPr>
            <w:tcW w:w="1980" w:type="dxa"/>
            <w:vAlign w:val="center"/>
          </w:tcPr>
          <w:p w:rsidR="00413707" w:rsidRDefault="00532CED">
            <w:pPr>
              <w:jc w:val="center"/>
            </w:pPr>
            <w:r>
              <w:rPr>
                <w:color w:val="000000"/>
                <w:sz w:val="24"/>
              </w:rPr>
              <w:t>招商银行</w:t>
            </w:r>
          </w:p>
        </w:tc>
        <w:tc>
          <w:tcPr>
            <w:tcW w:w="2880" w:type="dxa"/>
            <w:vAlign w:val="center"/>
          </w:tcPr>
          <w:p w:rsidR="00413707" w:rsidRDefault="00532CED">
            <w:pPr>
              <w:jc w:val="right"/>
            </w:pPr>
            <w:r>
              <w:rPr>
                <w:color w:val="000000"/>
                <w:sz w:val="24"/>
              </w:rPr>
              <w:t>21,101,526.07</w:t>
            </w:r>
          </w:p>
        </w:tc>
        <w:tc>
          <w:tcPr>
            <w:tcW w:w="1620" w:type="dxa"/>
            <w:vAlign w:val="center"/>
          </w:tcPr>
          <w:p w:rsidR="00413707" w:rsidRDefault="00532CED">
            <w:pPr>
              <w:jc w:val="right"/>
            </w:pPr>
            <w:r>
              <w:rPr>
                <w:color w:val="000000"/>
                <w:sz w:val="24"/>
              </w:rPr>
              <w:t>6.37</w:t>
            </w:r>
          </w:p>
        </w:tc>
      </w:tr>
      <w:tr w:rsidR="00413707">
        <w:tc>
          <w:tcPr>
            <w:tcW w:w="870" w:type="dxa"/>
            <w:vAlign w:val="center"/>
          </w:tcPr>
          <w:p w:rsidR="00413707" w:rsidRDefault="00532CED">
            <w:pPr>
              <w:jc w:val="center"/>
            </w:pPr>
            <w:r>
              <w:rPr>
                <w:color w:val="000000"/>
                <w:sz w:val="24"/>
              </w:rPr>
              <w:t>9</w:t>
            </w:r>
          </w:p>
        </w:tc>
        <w:tc>
          <w:tcPr>
            <w:tcW w:w="1650" w:type="dxa"/>
            <w:vAlign w:val="center"/>
          </w:tcPr>
          <w:p w:rsidR="00413707" w:rsidRDefault="00532CED">
            <w:pPr>
              <w:jc w:val="center"/>
            </w:pPr>
            <w:r>
              <w:rPr>
                <w:color w:val="000000"/>
                <w:sz w:val="24"/>
              </w:rPr>
              <w:t>000895</w:t>
            </w:r>
          </w:p>
        </w:tc>
        <w:tc>
          <w:tcPr>
            <w:tcW w:w="1980" w:type="dxa"/>
            <w:vAlign w:val="center"/>
          </w:tcPr>
          <w:p w:rsidR="00413707" w:rsidRDefault="00532CED">
            <w:pPr>
              <w:jc w:val="center"/>
            </w:pPr>
            <w:r>
              <w:rPr>
                <w:color w:val="000000"/>
                <w:sz w:val="24"/>
              </w:rPr>
              <w:t>双汇发展</w:t>
            </w:r>
          </w:p>
        </w:tc>
        <w:tc>
          <w:tcPr>
            <w:tcW w:w="2880" w:type="dxa"/>
            <w:vAlign w:val="center"/>
          </w:tcPr>
          <w:p w:rsidR="00413707" w:rsidRDefault="00532CED">
            <w:pPr>
              <w:jc w:val="right"/>
            </w:pPr>
            <w:r>
              <w:rPr>
                <w:color w:val="000000"/>
                <w:sz w:val="24"/>
              </w:rPr>
              <w:t>17,923,001.44</w:t>
            </w:r>
          </w:p>
        </w:tc>
        <w:tc>
          <w:tcPr>
            <w:tcW w:w="1620" w:type="dxa"/>
            <w:vAlign w:val="center"/>
          </w:tcPr>
          <w:p w:rsidR="00413707" w:rsidRDefault="00532CED">
            <w:pPr>
              <w:jc w:val="right"/>
            </w:pPr>
            <w:r>
              <w:rPr>
                <w:color w:val="000000"/>
                <w:sz w:val="24"/>
              </w:rPr>
              <w:t>5.41</w:t>
            </w:r>
          </w:p>
        </w:tc>
      </w:tr>
      <w:tr w:rsidR="00413707">
        <w:tc>
          <w:tcPr>
            <w:tcW w:w="870" w:type="dxa"/>
            <w:vAlign w:val="center"/>
          </w:tcPr>
          <w:p w:rsidR="00413707" w:rsidRDefault="00532CED">
            <w:pPr>
              <w:jc w:val="center"/>
            </w:pPr>
            <w:r>
              <w:rPr>
                <w:color w:val="000000"/>
                <w:sz w:val="24"/>
              </w:rPr>
              <w:t>10</w:t>
            </w:r>
          </w:p>
        </w:tc>
        <w:tc>
          <w:tcPr>
            <w:tcW w:w="1650" w:type="dxa"/>
            <w:vAlign w:val="center"/>
          </w:tcPr>
          <w:p w:rsidR="00413707" w:rsidRDefault="00532CED">
            <w:pPr>
              <w:jc w:val="center"/>
            </w:pPr>
            <w:r>
              <w:rPr>
                <w:color w:val="000000"/>
                <w:sz w:val="24"/>
              </w:rPr>
              <w:t>600559</w:t>
            </w:r>
          </w:p>
        </w:tc>
        <w:tc>
          <w:tcPr>
            <w:tcW w:w="1980" w:type="dxa"/>
            <w:vAlign w:val="center"/>
          </w:tcPr>
          <w:p w:rsidR="00413707" w:rsidRDefault="00532CED">
            <w:pPr>
              <w:jc w:val="center"/>
            </w:pPr>
            <w:r>
              <w:rPr>
                <w:color w:val="000000"/>
                <w:sz w:val="24"/>
              </w:rPr>
              <w:t>老白干酒</w:t>
            </w:r>
          </w:p>
        </w:tc>
        <w:tc>
          <w:tcPr>
            <w:tcW w:w="2880" w:type="dxa"/>
            <w:vAlign w:val="center"/>
          </w:tcPr>
          <w:p w:rsidR="00413707" w:rsidRDefault="00532CED">
            <w:pPr>
              <w:jc w:val="right"/>
            </w:pPr>
            <w:r>
              <w:rPr>
                <w:color w:val="000000"/>
                <w:sz w:val="24"/>
              </w:rPr>
              <w:t>15,192,084.51</w:t>
            </w:r>
          </w:p>
        </w:tc>
        <w:tc>
          <w:tcPr>
            <w:tcW w:w="1620" w:type="dxa"/>
            <w:vAlign w:val="center"/>
          </w:tcPr>
          <w:p w:rsidR="00413707" w:rsidRDefault="00532CED">
            <w:pPr>
              <w:jc w:val="right"/>
            </w:pPr>
            <w:r>
              <w:rPr>
                <w:color w:val="000000"/>
                <w:sz w:val="24"/>
              </w:rPr>
              <w:t>4.58</w:t>
            </w:r>
          </w:p>
        </w:tc>
      </w:tr>
      <w:tr w:rsidR="00413707">
        <w:tc>
          <w:tcPr>
            <w:tcW w:w="870" w:type="dxa"/>
            <w:vAlign w:val="center"/>
          </w:tcPr>
          <w:p w:rsidR="00413707" w:rsidRDefault="00532CED">
            <w:pPr>
              <w:jc w:val="center"/>
            </w:pPr>
            <w:r>
              <w:rPr>
                <w:color w:val="000000"/>
                <w:sz w:val="24"/>
              </w:rPr>
              <w:t>11</w:t>
            </w:r>
          </w:p>
        </w:tc>
        <w:tc>
          <w:tcPr>
            <w:tcW w:w="1650" w:type="dxa"/>
            <w:vAlign w:val="center"/>
          </w:tcPr>
          <w:p w:rsidR="00413707" w:rsidRDefault="00532CED">
            <w:pPr>
              <w:jc w:val="center"/>
            </w:pPr>
            <w:r>
              <w:rPr>
                <w:color w:val="000000"/>
                <w:sz w:val="24"/>
              </w:rPr>
              <w:t>000651</w:t>
            </w:r>
          </w:p>
        </w:tc>
        <w:tc>
          <w:tcPr>
            <w:tcW w:w="1980" w:type="dxa"/>
            <w:vAlign w:val="center"/>
          </w:tcPr>
          <w:p w:rsidR="00413707" w:rsidRDefault="00532CED">
            <w:pPr>
              <w:jc w:val="center"/>
            </w:pPr>
            <w:r>
              <w:rPr>
                <w:color w:val="000000"/>
                <w:sz w:val="24"/>
              </w:rPr>
              <w:t>格力电器</w:t>
            </w:r>
          </w:p>
        </w:tc>
        <w:tc>
          <w:tcPr>
            <w:tcW w:w="2880" w:type="dxa"/>
            <w:vAlign w:val="center"/>
          </w:tcPr>
          <w:p w:rsidR="00413707" w:rsidRDefault="00532CED">
            <w:pPr>
              <w:jc w:val="right"/>
            </w:pPr>
            <w:r>
              <w:rPr>
                <w:color w:val="000000"/>
                <w:sz w:val="24"/>
              </w:rPr>
              <w:t>14,035,181.92</w:t>
            </w:r>
          </w:p>
        </w:tc>
        <w:tc>
          <w:tcPr>
            <w:tcW w:w="1620" w:type="dxa"/>
            <w:vAlign w:val="center"/>
          </w:tcPr>
          <w:p w:rsidR="00413707" w:rsidRDefault="00532CED">
            <w:pPr>
              <w:jc w:val="right"/>
            </w:pPr>
            <w:r>
              <w:rPr>
                <w:color w:val="000000"/>
                <w:sz w:val="24"/>
              </w:rPr>
              <w:t>4.23</w:t>
            </w:r>
          </w:p>
        </w:tc>
      </w:tr>
      <w:tr w:rsidR="00413707">
        <w:tc>
          <w:tcPr>
            <w:tcW w:w="870" w:type="dxa"/>
            <w:vAlign w:val="center"/>
          </w:tcPr>
          <w:p w:rsidR="00413707" w:rsidRDefault="00532CED">
            <w:pPr>
              <w:jc w:val="center"/>
            </w:pPr>
            <w:r>
              <w:rPr>
                <w:color w:val="000000"/>
                <w:sz w:val="24"/>
              </w:rPr>
              <w:t>12</w:t>
            </w:r>
          </w:p>
        </w:tc>
        <w:tc>
          <w:tcPr>
            <w:tcW w:w="1650" w:type="dxa"/>
            <w:vAlign w:val="center"/>
          </w:tcPr>
          <w:p w:rsidR="00413707" w:rsidRDefault="00532CED">
            <w:pPr>
              <w:jc w:val="center"/>
            </w:pPr>
            <w:r>
              <w:rPr>
                <w:color w:val="000000"/>
                <w:sz w:val="24"/>
              </w:rPr>
              <w:t>601288</w:t>
            </w:r>
          </w:p>
        </w:tc>
        <w:tc>
          <w:tcPr>
            <w:tcW w:w="1980" w:type="dxa"/>
            <w:vAlign w:val="center"/>
          </w:tcPr>
          <w:p w:rsidR="00413707" w:rsidRDefault="00532CED">
            <w:pPr>
              <w:jc w:val="center"/>
            </w:pPr>
            <w:r>
              <w:rPr>
                <w:color w:val="000000"/>
                <w:sz w:val="24"/>
              </w:rPr>
              <w:t>农业银行</w:t>
            </w:r>
          </w:p>
        </w:tc>
        <w:tc>
          <w:tcPr>
            <w:tcW w:w="2880" w:type="dxa"/>
            <w:vAlign w:val="center"/>
          </w:tcPr>
          <w:p w:rsidR="00413707" w:rsidRDefault="00532CED">
            <w:pPr>
              <w:jc w:val="right"/>
            </w:pPr>
            <w:r>
              <w:rPr>
                <w:color w:val="000000"/>
                <w:sz w:val="24"/>
              </w:rPr>
              <w:t>13,629,404.52</w:t>
            </w:r>
          </w:p>
        </w:tc>
        <w:tc>
          <w:tcPr>
            <w:tcW w:w="1620" w:type="dxa"/>
            <w:vAlign w:val="center"/>
          </w:tcPr>
          <w:p w:rsidR="00413707" w:rsidRDefault="00532CED">
            <w:pPr>
              <w:jc w:val="right"/>
            </w:pPr>
            <w:r>
              <w:rPr>
                <w:color w:val="000000"/>
                <w:sz w:val="24"/>
              </w:rPr>
              <w:t>4.11</w:t>
            </w:r>
          </w:p>
        </w:tc>
      </w:tr>
      <w:tr w:rsidR="00413707">
        <w:tc>
          <w:tcPr>
            <w:tcW w:w="870" w:type="dxa"/>
            <w:vAlign w:val="center"/>
          </w:tcPr>
          <w:p w:rsidR="00413707" w:rsidRDefault="00532CED">
            <w:pPr>
              <w:jc w:val="center"/>
            </w:pPr>
            <w:r>
              <w:rPr>
                <w:color w:val="000000"/>
                <w:sz w:val="24"/>
              </w:rPr>
              <w:t>13</w:t>
            </w:r>
          </w:p>
        </w:tc>
        <w:tc>
          <w:tcPr>
            <w:tcW w:w="1650" w:type="dxa"/>
            <w:vAlign w:val="center"/>
          </w:tcPr>
          <w:p w:rsidR="00413707" w:rsidRDefault="00532CED">
            <w:pPr>
              <w:jc w:val="center"/>
            </w:pPr>
            <w:r>
              <w:rPr>
                <w:color w:val="000000"/>
                <w:sz w:val="24"/>
              </w:rPr>
              <w:t>600028</w:t>
            </w:r>
          </w:p>
        </w:tc>
        <w:tc>
          <w:tcPr>
            <w:tcW w:w="1980" w:type="dxa"/>
            <w:vAlign w:val="center"/>
          </w:tcPr>
          <w:p w:rsidR="00413707" w:rsidRDefault="00532CED">
            <w:pPr>
              <w:jc w:val="center"/>
            </w:pPr>
            <w:r>
              <w:rPr>
                <w:color w:val="000000"/>
                <w:sz w:val="24"/>
              </w:rPr>
              <w:t>中国石化</w:t>
            </w:r>
          </w:p>
        </w:tc>
        <w:tc>
          <w:tcPr>
            <w:tcW w:w="2880" w:type="dxa"/>
            <w:vAlign w:val="center"/>
          </w:tcPr>
          <w:p w:rsidR="00413707" w:rsidRDefault="00532CED">
            <w:pPr>
              <w:jc w:val="right"/>
            </w:pPr>
            <w:r>
              <w:rPr>
                <w:color w:val="000000"/>
                <w:sz w:val="24"/>
              </w:rPr>
              <w:t>10,785,789.00</w:t>
            </w:r>
          </w:p>
        </w:tc>
        <w:tc>
          <w:tcPr>
            <w:tcW w:w="1620" w:type="dxa"/>
            <w:vAlign w:val="center"/>
          </w:tcPr>
          <w:p w:rsidR="00413707" w:rsidRDefault="00532CED">
            <w:pPr>
              <w:jc w:val="right"/>
            </w:pPr>
            <w:r>
              <w:rPr>
                <w:color w:val="000000"/>
                <w:sz w:val="24"/>
              </w:rPr>
              <w:t>3.25</w:t>
            </w:r>
          </w:p>
        </w:tc>
      </w:tr>
      <w:tr w:rsidR="00413707">
        <w:tc>
          <w:tcPr>
            <w:tcW w:w="870" w:type="dxa"/>
            <w:vAlign w:val="center"/>
          </w:tcPr>
          <w:p w:rsidR="00413707" w:rsidRDefault="00532CED">
            <w:pPr>
              <w:jc w:val="center"/>
            </w:pPr>
            <w:r>
              <w:rPr>
                <w:color w:val="000000"/>
                <w:sz w:val="24"/>
              </w:rPr>
              <w:t>14</w:t>
            </w:r>
          </w:p>
        </w:tc>
        <w:tc>
          <w:tcPr>
            <w:tcW w:w="1650" w:type="dxa"/>
            <w:vAlign w:val="center"/>
          </w:tcPr>
          <w:p w:rsidR="00413707" w:rsidRDefault="00532CED">
            <w:pPr>
              <w:jc w:val="center"/>
            </w:pPr>
            <w:r>
              <w:rPr>
                <w:color w:val="000000"/>
                <w:sz w:val="24"/>
              </w:rPr>
              <w:t>603808</w:t>
            </w:r>
          </w:p>
        </w:tc>
        <w:tc>
          <w:tcPr>
            <w:tcW w:w="1980" w:type="dxa"/>
            <w:vAlign w:val="center"/>
          </w:tcPr>
          <w:p w:rsidR="00413707" w:rsidRDefault="00532CED">
            <w:pPr>
              <w:jc w:val="center"/>
            </w:pPr>
            <w:proofErr w:type="gramStart"/>
            <w:r>
              <w:rPr>
                <w:color w:val="000000"/>
                <w:sz w:val="24"/>
              </w:rPr>
              <w:t>歌力思</w:t>
            </w:r>
            <w:proofErr w:type="gramEnd"/>
          </w:p>
        </w:tc>
        <w:tc>
          <w:tcPr>
            <w:tcW w:w="2880" w:type="dxa"/>
            <w:vAlign w:val="center"/>
          </w:tcPr>
          <w:p w:rsidR="00413707" w:rsidRDefault="00532CED">
            <w:pPr>
              <w:jc w:val="right"/>
            </w:pPr>
            <w:r>
              <w:rPr>
                <w:color w:val="000000"/>
                <w:sz w:val="24"/>
              </w:rPr>
              <w:t>10,419,668.93</w:t>
            </w:r>
          </w:p>
        </w:tc>
        <w:tc>
          <w:tcPr>
            <w:tcW w:w="1620" w:type="dxa"/>
            <w:vAlign w:val="center"/>
          </w:tcPr>
          <w:p w:rsidR="00413707" w:rsidRDefault="00532CED">
            <w:pPr>
              <w:jc w:val="right"/>
            </w:pPr>
            <w:r>
              <w:rPr>
                <w:color w:val="000000"/>
                <w:sz w:val="24"/>
              </w:rPr>
              <w:t>3.14</w:t>
            </w:r>
          </w:p>
        </w:tc>
      </w:tr>
      <w:tr w:rsidR="00413707">
        <w:tc>
          <w:tcPr>
            <w:tcW w:w="870" w:type="dxa"/>
            <w:vAlign w:val="center"/>
          </w:tcPr>
          <w:p w:rsidR="00413707" w:rsidRDefault="00532CED">
            <w:pPr>
              <w:jc w:val="center"/>
            </w:pPr>
            <w:r>
              <w:rPr>
                <w:color w:val="000000"/>
                <w:sz w:val="24"/>
              </w:rPr>
              <w:t>15</w:t>
            </w:r>
          </w:p>
        </w:tc>
        <w:tc>
          <w:tcPr>
            <w:tcW w:w="1650" w:type="dxa"/>
            <w:vAlign w:val="center"/>
          </w:tcPr>
          <w:p w:rsidR="00413707" w:rsidRDefault="00532CED">
            <w:pPr>
              <w:jc w:val="center"/>
            </w:pPr>
            <w:r>
              <w:rPr>
                <w:color w:val="000000"/>
                <w:sz w:val="24"/>
              </w:rPr>
              <w:t>000002</w:t>
            </w:r>
          </w:p>
        </w:tc>
        <w:tc>
          <w:tcPr>
            <w:tcW w:w="1980" w:type="dxa"/>
            <w:vAlign w:val="center"/>
          </w:tcPr>
          <w:p w:rsidR="00413707" w:rsidRDefault="00532CED">
            <w:pPr>
              <w:jc w:val="center"/>
            </w:pPr>
            <w:r>
              <w:rPr>
                <w:color w:val="000000"/>
                <w:sz w:val="24"/>
              </w:rPr>
              <w:t>万科</w:t>
            </w:r>
            <w:r>
              <w:rPr>
                <w:color w:val="000000"/>
                <w:sz w:val="24"/>
              </w:rPr>
              <w:t>A</w:t>
            </w:r>
          </w:p>
        </w:tc>
        <w:tc>
          <w:tcPr>
            <w:tcW w:w="2880" w:type="dxa"/>
            <w:vAlign w:val="center"/>
          </w:tcPr>
          <w:p w:rsidR="00413707" w:rsidRDefault="00532CED">
            <w:pPr>
              <w:jc w:val="right"/>
            </w:pPr>
            <w:r>
              <w:rPr>
                <w:color w:val="000000"/>
                <w:sz w:val="24"/>
              </w:rPr>
              <w:t>10,293,976.89</w:t>
            </w:r>
          </w:p>
        </w:tc>
        <w:tc>
          <w:tcPr>
            <w:tcW w:w="1620" w:type="dxa"/>
            <w:vAlign w:val="center"/>
          </w:tcPr>
          <w:p w:rsidR="00413707" w:rsidRDefault="00532CED">
            <w:pPr>
              <w:jc w:val="right"/>
            </w:pPr>
            <w:r>
              <w:rPr>
                <w:color w:val="000000"/>
                <w:sz w:val="24"/>
              </w:rPr>
              <w:t>3.11</w:t>
            </w:r>
          </w:p>
        </w:tc>
      </w:tr>
      <w:tr w:rsidR="00413707">
        <w:tc>
          <w:tcPr>
            <w:tcW w:w="870" w:type="dxa"/>
            <w:vAlign w:val="center"/>
          </w:tcPr>
          <w:p w:rsidR="00413707" w:rsidRDefault="00532CED">
            <w:pPr>
              <w:jc w:val="center"/>
            </w:pPr>
            <w:r>
              <w:rPr>
                <w:color w:val="000000"/>
                <w:sz w:val="24"/>
              </w:rPr>
              <w:t>16</w:t>
            </w:r>
          </w:p>
        </w:tc>
        <w:tc>
          <w:tcPr>
            <w:tcW w:w="1650" w:type="dxa"/>
            <w:vAlign w:val="center"/>
          </w:tcPr>
          <w:p w:rsidR="00413707" w:rsidRDefault="00532CED">
            <w:pPr>
              <w:jc w:val="center"/>
            </w:pPr>
            <w:r>
              <w:rPr>
                <w:color w:val="000000"/>
                <w:sz w:val="24"/>
              </w:rPr>
              <w:t>000568</w:t>
            </w:r>
          </w:p>
        </w:tc>
        <w:tc>
          <w:tcPr>
            <w:tcW w:w="1980" w:type="dxa"/>
            <w:vAlign w:val="center"/>
          </w:tcPr>
          <w:p w:rsidR="00413707" w:rsidRDefault="00532CED">
            <w:pPr>
              <w:jc w:val="center"/>
            </w:pPr>
            <w:r>
              <w:rPr>
                <w:color w:val="000000"/>
                <w:sz w:val="24"/>
              </w:rPr>
              <w:t>泸州老窖</w:t>
            </w:r>
          </w:p>
        </w:tc>
        <w:tc>
          <w:tcPr>
            <w:tcW w:w="2880" w:type="dxa"/>
            <w:vAlign w:val="center"/>
          </w:tcPr>
          <w:p w:rsidR="00413707" w:rsidRDefault="00532CED">
            <w:pPr>
              <w:jc w:val="right"/>
            </w:pPr>
            <w:r>
              <w:rPr>
                <w:color w:val="000000"/>
                <w:sz w:val="24"/>
              </w:rPr>
              <w:t>9,696,130.80</w:t>
            </w:r>
          </w:p>
        </w:tc>
        <w:tc>
          <w:tcPr>
            <w:tcW w:w="1620" w:type="dxa"/>
            <w:vAlign w:val="center"/>
          </w:tcPr>
          <w:p w:rsidR="00413707" w:rsidRDefault="00532CED">
            <w:pPr>
              <w:jc w:val="right"/>
            </w:pPr>
            <w:r>
              <w:rPr>
                <w:color w:val="000000"/>
                <w:sz w:val="24"/>
              </w:rPr>
              <w:t>2.93</w:t>
            </w:r>
          </w:p>
        </w:tc>
      </w:tr>
      <w:tr w:rsidR="00413707">
        <w:tc>
          <w:tcPr>
            <w:tcW w:w="870" w:type="dxa"/>
            <w:vAlign w:val="center"/>
          </w:tcPr>
          <w:p w:rsidR="00413707" w:rsidRDefault="00532CED">
            <w:pPr>
              <w:jc w:val="center"/>
            </w:pPr>
            <w:r>
              <w:rPr>
                <w:color w:val="000000"/>
                <w:sz w:val="24"/>
              </w:rPr>
              <w:t>17</w:t>
            </w:r>
          </w:p>
        </w:tc>
        <w:tc>
          <w:tcPr>
            <w:tcW w:w="1650" w:type="dxa"/>
            <w:vAlign w:val="center"/>
          </w:tcPr>
          <w:p w:rsidR="00413707" w:rsidRDefault="00532CED">
            <w:pPr>
              <w:jc w:val="center"/>
            </w:pPr>
            <w:r>
              <w:rPr>
                <w:color w:val="000000"/>
                <w:sz w:val="24"/>
              </w:rPr>
              <w:t>300482</w:t>
            </w:r>
          </w:p>
        </w:tc>
        <w:tc>
          <w:tcPr>
            <w:tcW w:w="1980" w:type="dxa"/>
            <w:vAlign w:val="center"/>
          </w:tcPr>
          <w:p w:rsidR="00413707" w:rsidRDefault="00532CED">
            <w:pPr>
              <w:jc w:val="center"/>
            </w:pPr>
            <w:proofErr w:type="gramStart"/>
            <w:r>
              <w:rPr>
                <w:color w:val="000000"/>
                <w:sz w:val="24"/>
              </w:rPr>
              <w:t>万孚生物</w:t>
            </w:r>
            <w:proofErr w:type="gramEnd"/>
          </w:p>
        </w:tc>
        <w:tc>
          <w:tcPr>
            <w:tcW w:w="2880" w:type="dxa"/>
            <w:vAlign w:val="center"/>
          </w:tcPr>
          <w:p w:rsidR="00413707" w:rsidRDefault="00532CED">
            <w:pPr>
              <w:jc w:val="right"/>
            </w:pPr>
            <w:r>
              <w:rPr>
                <w:color w:val="000000"/>
                <w:sz w:val="24"/>
              </w:rPr>
              <w:t>9,688,810.46</w:t>
            </w:r>
          </w:p>
        </w:tc>
        <w:tc>
          <w:tcPr>
            <w:tcW w:w="1620" w:type="dxa"/>
            <w:vAlign w:val="center"/>
          </w:tcPr>
          <w:p w:rsidR="00413707" w:rsidRDefault="00532CED">
            <w:pPr>
              <w:jc w:val="right"/>
            </w:pPr>
            <w:r>
              <w:rPr>
                <w:color w:val="000000"/>
                <w:sz w:val="24"/>
              </w:rPr>
              <w:t>2.92</w:t>
            </w:r>
          </w:p>
        </w:tc>
      </w:tr>
      <w:tr w:rsidR="00413707">
        <w:tc>
          <w:tcPr>
            <w:tcW w:w="870" w:type="dxa"/>
            <w:vAlign w:val="center"/>
          </w:tcPr>
          <w:p w:rsidR="00413707" w:rsidRDefault="00532CED">
            <w:pPr>
              <w:jc w:val="center"/>
            </w:pPr>
            <w:r>
              <w:rPr>
                <w:color w:val="000000"/>
                <w:sz w:val="24"/>
              </w:rPr>
              <w:t>18</w:t>
            </w:r>
          </w:p>
        </w:tc>
        <w:tc>
          <w:tcPr>
            <w:tcW w:w="1650" w:type="dxa"/>
            <w:vAlign w:val="center"/>
          </w:tcPr>
          <w:p w:rsidR="00413707" w:rsidRDefault="00532CED">
            <w:pPr>
              <w:jc w:val="center"/>
            </w:pPr>
            <w:r>
              <w:rPr>
                <w:color w:val="000000"/>
                <w:sz w:val="24"/>
              </w:rPr>
              <w:t>000596</w:t>
            </w:r>
          </w:p>
        </w:tc>
        <w:tc>
          <w:tcPr>
            <w:tcW w:w="1980" w:type="dxa"/>
            <w:vAlign w:val="center"/>
          </w:tcPr>
          <w:p w:rsidR="00413707" w:rsidRDefault="00532CED">
            <w:pPr>
              <w:jc w:val="center"/>
            </w:pPr>
            <w:r>
              <w:rPr>
                <w:color w:val="000000"/>
                <w:sz w:val="24"/>
              </w:rPr>
              <w:t>古井贡酒</w:t>
            </w:r>
          </w:p>
        </w:tc>
        <w:tc>
          <w:tcPr>
            <w:tcW w:w="2880" w:type="dxa"/>
            <w:vAlign w:val="center"/>
          </w:tcPr>
          <w:p w:rsidR="00413707" w:rsidRDefault="00532CED">
            <w:pPr>
              <w:jc w:val="right"/>
            </w:pPr>
            <w:r>
              <w:rPr>
                <w:color w:val="000000"/>
                <w:sz w:val="24"/>
              </w:rPr>
              <w:t>8,976,765.24</w:t>
            </w:r>
          </w:p>
        </w:tc>
        <w:tc>
          <w:tcPr>
            <w:tcW w:w="1620" w:type="dxa"/>
            <w:vAlign w:val="center"/>
          </w:tcPr>
          <w:p w:rsidR="00413707" w:rsidRDefault="00532CED">
            <w:pPr>
              <w:jc w:val="right"/>
            </w:pPr>
            <w:r>
              <w:rPr>
                <w:color w:val="000000"/>
                <w:sz w:val="24"/>
              </w:rPr>
              <w:t>2.71</w:t>
            </w:r>
          </w:p>
        </w:tc>
      </w:tr>
      <w:tr w:rsidR="00413707">
        <w:tc>
          <w:tcPr>
            <w:tcW w:w="870" w:type="dxa"/>
            <w:vAlign w:val="center"/>
          </w:tcPr>
          <w:p w:rsidR="00413707" w:rsidRDefault="00532CED">
            <w:pPr>
              <w:jc w:val="center"/>
            </w:pPr>
            <w:r>
              <w:rPr>
                <w:color w:val="000000"/>
                <w:sz w:val="24"/>
              </w:rPr>
              <w:t>19</w:t>
            </w:r>
          </w:p>
        </w:tc>
        <w:tc>
          <w:tcPr>
            <w:tcW w:w="1650" w:type="dxa"/>
            <w:vAlign w:val="center"/>
          </w:tcPr>
          <w:p w:rsidR="00413707" w:rsidRDefault="00532CED">
            <w:pPr>
              <w:jc w:val="center"/>
            </w:pPr>
            <w:r>
              <w:rPr>
                <w:color w:val="000000"/>
                <w:sz w:val="24"/>
              </w:rPr>
              <w:t>600048</w:t>
            </w:r>
          </w:p>
        </w:tc>
        <w:tc>
          <w:tcPr>
            <w:tcW w:w="1980" w:type="dxa"/>
            <w:vAlign w:val="center"/>
          </w:tcPr>
          <w:p w:rsidR="00413707" w:rsidRDefault="00532CED">
            <w:pPr>
              <w:jc w:val="center"/>
            </w:pPr>
            <w:r>
              <w:rPr>
                <w:color w:val="000000"/>
                <w:sz w:val="24"/>
              </w:rPr>
              <w:t>保利地产</w:t>
            </w:r>
          </w:p>
        </w:tc>
        <w:tc>
          <w:tcPr>
            <w:tcW w:w="2880" w:type="dxa"/>
            <w:vAlign w:val="center"/>
          </w:tcPr>
          <w:p w:rsidR="00413707" w:rsidRDefault="00532CED">
            <w:pPr>
              <w:jc w:val="right"/>
            </w:pPr>
            <w:r>
              <w:rPr>
                <w:color w:val="000000"/>
                <w:sz w:val="24"/>
              </w:rPr>
              <w:t>8,685,824.70</w:t>
            </w:r>
          </w:p>
        </w:tc>
        <w:tc>
          <w:tcPr>
            <w:tcW w:w="1620" w:type="dxa"/>
            <w:vAlign w:val="center"/>
          </w:tcPr>
          <w:p w:rsidR="00413707" w:rsidRDefault="00532CED">
            <w:pPr>
              <w:jc w:val="right"/>
            </w:pPr>
            <w:r>
              <w:rPr>
                <w:color w:val="000000"/>
                <w:sz w:val="24"/>
              </w:rPr>
              <w:t>2.62</w:t>
            </w:r>
          </w:p>
        </w:tc>
      </w:tr>
      <w:tr w:rsidR="00413707">
        <w:tc>
          <w:tcPr>
            <w:tcW w:w="870" w:type="dxa"/>
            <w:vAlign w:val="center"/>
          </w:tcPr>
          <w:p w:rsidR="00413707" w:rsidRDefault="00532CED">
            <w:pPr>
              <w:jc w:val="center"/>
            </w:pPr>
            <w:r>
              <w:rPr>
                <w:color w:val="000000"/>
                <w:sz w:val="24"/>
              </w:rPr>
              <w:t>20</w:t>
            </w:r>
          </w:p>
        </w:tc>
        <w:tc>
          <w:tcPr>
            <w:tcW w:w="1650" w:type="dxa"/>
            <w:vAlign w:val="center"/>
          </w:tcPr>
          <w:p w:rsidR="00413707" w:rsidRDefault="00532CED">
            <w:pPr>
              <w:jc w:val="center"/>
            </w:pPr>
            <w:r>
              <w:rPr>
                <w:color w:val="000000"/>
                <w:sz w:val="24"/>
              </w:rPr>
              <w:t>600690</w:t>
            </w:r>
          </w:p>
        </w:tc>
        <w:tc>
          <w:tcPr>
            <w:tcW w:w="1980" w:type="dxa"/>
            <w:vAlign w:val="center"/>
          </w:tcPr>
          <w:p w:rsidR="00413707" w:rsidRDefault="00532CED">
            <w:pPr>
              <w:jc w:val="center"/>
            </w:pPr>
            <w:r>
              <w:rPr>
                <w:color w:val="000000"/>
                <w:sz w:val="24"/>
              </w:rPr>
              <w:t>青岛海尔</w:t>
            </w:r>
          </w:p>
        </w:tc>
        <w:tc>
          <w:tcPr>
            <w:tcW w:w="2880" w:type="dxa"/>
            <w:vAlign w:val="center"/>
          </w:tcPr>
          <w:p w:rsidR="00413707" w:rsidRDefault="00532CED">
            <w:pPr>
              <w:jc w:val="right"/>
            </w:pPr>
            <w:r>
              <w:rPr>
                <w:color w:val="000000"/>
                <w:sz w:val="24"/>
              </w:rPr>
              <w:t>8,587,309.00</w:t>
            </w:r>
          </w:p>
        </w:tc>
        <w:tc>
          <w:tcPr>
            <w:tcW w:w="1620" w:type="dxa"/>
            <w:vAlign w:val="center"/>
          </w:tcPr>
          <w:p w:rsidR="00413707" w:rsidRDefault="00532CED">
            <w:pPr>
              <w:jc w:val="right"/>
            </w:pPr>
            <w:r>
              <w:rPr>
                <w:color w:val="000000"/>
                <w:sz w:val="24"/>
              </w:rPr>
              <w:t>2.59</w:t>
            </w:r>
          </w:p>
        </w:tc>
      </w:tr>
      <w:tr w:rsidR="00413707">
        <w:tc>
          <w:tcPr>
            <w:tcW w:w="870" w:type="dxa"/>
            <w:vAlign w:val="center"/>
          </w:tcPr>
          <w:p w:rsidR="00413707" w:rsidRDefault="00532CED">
            <w:pPr>
              <w:jc w:val="center"/>
            </w:pPr>
            <w:r>
              <w:rPr>
                <w:color w:val="000000"/>
                <w:sz w:val="24"/>
              </w:rPr>
              <w:t>21</w:t>
            </w:r>
          </w:p>
        </w:tc>
        <w:tc>
          <w:tcPr>
            <w:tcW w:w="1650" w:type="dxa"/>
            <w:vAlign w:val="center"/>
          </w:tcPr>
          <w:p w:rsidR="00413707" w:rsidRDefault="00532CED">
            <w:pPr>
              <w:jc w:val="center"/>
            </w:pPr>
            <w:r>
              <w:rPr>
                <w:color w:val="000000"/>
                <w:sz w:val="24"/>
              </w:rPr>
              <w:t>002410</w:t>
            </w:r>
          </w:p>
        </w:tc>
        <w:tc>
          <w:tcPr>
            <w:tcW w:w="1980" w:type="dxa"/>
            <w:vAlign w:val="center"/>
          </w:tcPr>
          <w:p w:rsidR="00413707" w:rsidRDefault="00532CED">
            <w:pPr>
              <w:jc w:val="center"/>
            </w:pPr>
            <w:r>
              <w:rPr>
                <w:color w:val="000000"/>
                <w:sz w:val="24"/>
              </w:rPr>
              <w:t>广联达</w:t>
            </w:r>
          </w:p>
        </w:tc>
        <w:tc>
          <w:tcPr>
            <w:tcW w:w="2880" w:type="dxa"/>
            <w:vAlign w:val="center"/>
          </w:tcPr>
          <w:p w:rsidR="00413707" w:rsidRDefault="00532CED">
            <w:pPr>
              <w:jc w:val="right"/>
            </w:pPr>
            <w:r>
              <w:rPr>
                <w:color w:val="000000"/>
                <w:sz w:val="24"/>
              </w:rPr>
              <w:t>7,193,358.79</w:t>
            </w:r>
          </w:p>
        </w:tc>
        <w:tc>
          <w:tcPr>
            <w:tcW w:w="1620" w:type="dxa"/>
            <w:vAlign w:val="center"/>
          </w:tcPr>
          <w:p w:rsidR="00413707" w:rsidRDefault="00532CED">
            <w:pPr>
              <w:jc w:val="right"/>
            </w:pPr>
            <w:r>
              <w:rPr>
                <w:color w:val="000000"/>
                <w:sz w:val="24"/>
              </w:rPr>
              <w:t>2.17</w:t>
            </w:r>
          </w:p>
        </w:tc>
      </w:tr>
      <w:tr w:rsidR="00413707">
        <w:tc>
          <w:tcPr>
            <w:tcW w:w="870" w:type="dxa"/>
            <w:vAlign w:val="center"/>
          </w:tcPr>
          <w:p w:rsidR="00413707" w:rsidRDefault="00532CED">
            <w:pPr>
              <w:jc w:val="center"/>
            </w:pPr>
            <w:r>
              <w:rPr>
                <w:color w:val="000000"/>
                <w:sz w:val="24"/>
              </w:rPr>
              <w:t>22</w:t>
            </w:r>
          </w:p>
        </w:tc>
        <w:tc>
          <w:tcPr>
            <w:tcW w:w="1650" w:type="dxa"/>
            <w:vAlign w:val="center"/>
          </w:tcPr>
          <w:p w:rsidR="00413707" w:rsidRDefault="00532CED">
            <w:pPr>
              <w:jc w:val="center"/>
            </w:pPr>
            <w:r>
              <w:rPr>
                <w:color w:val="000000"/>
                <w:sz w:val="24"/>
              </w:rPr>
              <w:t>601155</w:t>
            </w:r>
          </w:p>
        </w:tc>
        <w:tc>
          <w:tcPr>
            <w:tcW w:w="1980" w:type="dxa"/>
            <w:vAlign w:val="center"/>
          </w:tcPr>
          <w:p w:rsidR="00413707" w:rsidRDefault="00532CED">
            <w:pPr>
              <w:jc w:val="center"/>
            </w:pPr>
            <w:r>
              <w:rPr>
                <w:color w:val="000000"/>
                <w:sz w:val="24"/>
              </w:rPr>
              <w:t>新城控股</w:t>
            </w:r>
          </w:p>
        </w:tc>
        <w:tc>
          <w:tcPr>
            <w:tcW w:w="2880" w:type="dxa"/>
            <w:vAlign w:val="center"/>
          </w:tcPr>
          <w:p w:rsidR="00413707" w:rsidRDefault="00532CED">
            <w:pPr>
              <w:jc w:val="right"/>
            </w:pPr>
            <w:r>
              <w:rPr>
                <w:color w:val="000000"/>
                <w:sz w:val="24"/>
              </w:rPr>
              <w:t>6,802,863.18</w:t>
            </w:r>
          </w:p>
        </w:tc>
        <w:tc>
          <w:tcPr>
            <w:tcW w:w="1620" w:type="dxa"/>
            <w:vAlign w:val="center"/>
          </w:tcPr>
          <w:p w:rsidR="00413707" w:rsidRDefault="00532CED">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167223"/>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366,943,443.63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517,563,717.08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47" w:name="_Toc234814104"/>
      <w:bookmarkStart w:id="248" w:name="_Toc361324883"/>
      <w:bookmarkStart w:id="249" w:name="_Toc416722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47"/>
      <w:bookmarkEnd w:id="248"/>
      <w:bookmarkEnd w:id="249"/>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0" w:name="_Toc361324884"/>
      <w:bookmarkStart w:id="251" w:name="_Toc4167225"/>
      <w:r w:rsidRPr="00AD0E47">
        <w:rPr>
          <w:rFonts w:ascii="Times New Roman" w:hAnsi="Times New Roman"/>
          <w:kern w:val="0"/>
          <w:szCs w:val="24"/>
        </w:rPr>
        <w:t>8.6</w:t>
      </w:r>
      <w:bookmarkStart w:id="25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50"/>
      <w:bookmarkEnd w:id="251"/>
      <w:bookmarkEnd w:id="252"/>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3" w:name="_Toc361324885"/>
      <w:bookmarkStart w:id="254" w:name="_Toc4167226"/>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53"/>
      <w:bookmarkEnd w:id="25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55" w:name="_Toc4167227"/>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5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361324886"/>
      <w:bookmarkStart w:id="257" w:name="_Toc4167228"/>
      <w:r w:rsidRPr="00AD0E47">
        <w:rPr>
          <w:rFonts w:ascii="Times New Roman" w:hAnsi="Times New Roman"/>
          <w:kern w:val="0"/>
          <w:szCs w:val="24"/>
        </w:rPr>
        <w:lastRenderedPageBreak/>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56"/>
      <w:bookmarkEnd w:id="2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58" w:name="_Toc416722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5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59" w:name="_Toc416723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5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60" w:name="_Toc361324887"/>
      <w:bookmarkStart w:id="261" w:name="_Toc416723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60"/>
      <w:bookmarkEnd w:id="26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62" w:name="_Toc4167232"/>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59,006.33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3,220.91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87,695.44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149,922.68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3" w:name="_Toc4167233"/>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6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4" w:name="_Toc4167234"/>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6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5" w:name="_Toc4167235"/>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65"/>
    </w:p>
    <w:p w:rsidR="00413707" w:rsidRDefault="00532CED">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85071A">
      <w:pPr>
        <w:spacing w:before="29" w:line="288" w:lineRule="auto"/>
        <w:rPr>
          <w:color w:val="000000"/>
          <w:sz w:val="24"/>
        </w:rPr>
      </w:pPr>
      <w:r w:rsidRPr="0085071A">
        <w:rPr>
          <w:color w:val="000000"/>
          <w:sz w:val="24"/>
        </w:rPr>
        <w:lastRenderedPageBreak/>
        <w:t>2</w:t>
      </w: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66" w:name="_Toc225500050"/>
      <w:bookmarkStart w:id="267" w:name="_Toc361324888"/>
      <w:bookmarkStart w:id="268" w:name="_Toc416723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66"/>
      <w:bookmarkEnd w:id="267"/>
      <w:bookmarkEnd w:id="268"/>
    </w:p>
    <w:p w:rsidR="001A59F9" w:rsidRPr="00AD0E47" w:rsidRDefault="001A59F9" w:rsidP="00AD0E47">
      <w:pPr>
        <w:pStyle w:val="20"/>
        <w:spacing w:before="29" w:after="0" w:line="288" w:lineRule="auto"/>
        <w:rPr>
          <w:rFonts w:ascii="Times New Roman" w:hAnsi="Times New Roman"/>
          <w:kern w:val="0"/>
          <w:szCs w:val="24"/>
        </w:rPr>
      </w:pPr>
      <w:bookmarkStart w:id="269" w:name="_Toc225500051"/>
      <w:bookmarkStart w:id="270" w:name="_Toc361324889"/>
      <w:bookmarkStart w:id="271" w:name="_Toc416723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69"/>
      <w:bookmarkEnd w:id="270"/>
      <w:bookmarkEnd w:id="2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E171FB" w:rsidRPr="00A138F0" w:rsidTr="00E171FB">
        <w:trPr>
          <w:jc w:val="center"/>
        </w:trPr>
        <w:tc>
          <w:tcPr>
            <w:tcW w:w="964" w:type="pct"/>
            <w:vMerge w:val="restart"/>
            <w:tcBorders>
              <w:top w:val="single" w:sz="8" w:space="0" w:color="000000"/>
              <w:left w:val="single" w:sz="8" w:space="0" w:color="000000"/>
              <w:right w:val="single" w:sz="8" w:space="0" w:color="000000"/>
            </w:tcBorders>
            <w:vAlign w:val="center"/>
          </w:tcPr>
          <w:p w:rsidR="00413707" w:rsidRPr="003F513C" w:rsidRDefault="00532CED">
            <w:pPr>
              <w:jc w:val="center"/>
              <w:rPr>
                <w:sz w:val="24"/>
              </w:rPr>
            </w:pPr>
            <w:r w:rsidRPr="003F513C">
              <w:rPr>
                <w:rFonts w:hint="eastAsia"/>
                <w:sz w:val="24"/>
              </w:rPr>
              <w:t>持有人户数</w:t>
            </w:r>
            <w:r w:rsidRPr="003F513C">
              <w:rPr>
                <w:sz w:val="24"/>
              </w:rPr>
              <w:t>(</w:t>
            </w:r>
            <w:r w:rsidRPr="003F513C">
              <w:rPr>
                <w:rFonts w:hint="eastAsia"/>
                <w:sz w:val="24"/>
              </w:rPr>
              <w:t>户</w:t>
            </w:r>
            <w:r w:rsidRPr="003F513C">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r w:rsidRPr="003F513C">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3F513C" w:rsidRDefault="00010B65" w:rsidP="002F6626">
            <w:pPr>
              <w:spacing w:line="360" w:lineRule="auto"/>
              <w:jc w:val="center"/>
              <w:rPr>
                <w:sz w:val="24"/>
              </w:rPr>
            </w:pPr>
            <w:r w:rsidRPr="003F513C">
              <w:rPr>
                <w:rFonts w:hint="eastAsia"/>
                <w:sz w:val="24"/>
              </w:rPr>
              <w:t>持有</w:t>
            </w:r>
            <w:proofErr w:type="gramStart"/>
            <w:r w:rsidRPr="003F513C">
              <w:rPr>
                <w:rFonts w:hint="eastAsia"/>
                <w:sz w:val="24"/>
              </w:rPr>
              <w:t>人结构</w:t>
            </w:r>
            <w:proofErr w:type="gramEnd"/>
          </w:p>
        </w:tc>
      </w:tr>
      <w:tr w:rsidR="00E171FB" w:rsidRPr="00A138F0" w:rsidTr="00E171FB">
        <w:trPr>
          <w:jc w:val="center"/>
        </w:trPr>
        <w:tc>
          <w:tcPr>
            <w:tcW w:w="964" w:type="pct"/>
            <w:vMerge/>
            <w:tcBorders>
              <w:left w:val="single" w:sz="8" w:space="0" w:color="000000"/>
              <w:right w:val="single" w:sz="8" w:space="0" w:color="000000"/>
            </w:tcBorders>
          </w:tcPr>
          <w:p w:rsidR="00413707" w:rsidRPr="003F513C" w:rsidRDefault="00413707">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r w:rsidRPr="003F513C">
              <w:rPr>
                <w:rFonts w:hint="eastAsia"/>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r w:rsidRPr="003F513C">
              <w:rPr>
                <w:rFonts w:hint="eastAsia"/>
                <w:sz w:val="24"/>
              </w:rPr>
              <w:t>个人投资者</w:t>
            </w:r>
          </w:p>
        </w:tc>
      </w:tr>
      <w:tr w:rsidR="00E171FB" w:rsidRPr="00A138F0" w:rsidTr="00E171FB">
        <w:trPr>
          <w:jc w:val="center"/>
        </w:trPr>
        <w:tc>
          <w:tcPr>
            <w:tcW w:w="964" w:type="pct"/>
            <w:vMerge/>
            <w:tcBorders>
              <w:left w:val="single" w:sz="8" w:space="0" w:color="000000"/>
              <w:bottom w:val="single" w:sz="8" w:space="0" w:color="000000"/>
              <w:right w:val="single" w:sz="8" w:space="0" w:color="000000"/>
            </w:tcBorders>
          </w:tcPr>
          <w:p w:rsidR="00413707" w:rsidRPr="003F513C" w:rsidRDefault="00413707">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r w:rsidRPr="003F513C">
              <w:rPr>
                <w:rFonts w:hint="eastAsia"/>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r w:rsidRPr="003F513C">
              <w:rPr>
                <w:rFonts w:hint="eastAsia"/>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2F6626">
            <w:pPr>
              <w:spacing w:line="360" w:lineRule="auto"/>
              <w:jc w:val="center"/>
              <w:rPr>
                <w:sz w:val="24"/>
              </w:rPr>
            </w:pPr>
            <w:r w:rsidRPr="003F513C">
              <w:rPr>
                <w:rFonts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3F513C" w:rsidRDefault="00010B65" w:rsidP="002F6626">
            <w:pPr>
              <w:spacing w:line="360" w:lineRule="auto"/>
              <w:jc w:val="center"/>
              <w:rPr>
                <w:sz w:val="24"/>
              </w:rPr>
            </w:pPr>
            <w:r w:rsidRPr="003F513C">
              <w:rPr>
                <w:rFonts w:hint="eastAsia"/>
                <w:sz w:val="24"/>
              </w:rPr>
              <w:t>占总份额比例</w:t>
            </w:r>
          </w:p>
        </w:tc>
      </w:tr>
      <w:tr w:rsidR="00E171FB" w:rsidRPr="00A138F0" w:rsidTr="00E171F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13707" w:rsidRPr="003F513C" w:rsidRDefault="00532CED">
            <w:pPr>
              <w:jc w:val="right"/>
              <w:rPr>
                <w:sz w:val="24"/>
              </w:rPr>
            </w:pPr>
            <w:r w:rsidRPr="003F513C">
              <w:rPr>
                <w:kern w:val="0"/>
                <w:sz w:val="24"/>
              </w:rPr>
              <w:t>3,618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FF7CE7">
            <w:pPr>
              <w:spacing w:before="29" w:line="288" w:lineRule="auto"/>
              <w:jc w:val="right"/>
              <w:rPr>
                <w:kern w:val="0"/>
                <w:sz w:val="24"/>
              </w:rPr>
            </w:pPr>
            <w:r w:rsidRPr="003F513C">
              <w:rPr>
                <w:kern w:val="0"/>
                <w:sz w:val="24"/>
              </w:rPr>
              <w:t>39,545.55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FF7CE7">
            <w:pPr>
              <w:spacing w:before="29" w:line="288" w:lineRule="auto"/>
              <w:jc w:val="right"/>
              <w:rPr>
                <w:kern w:val="0"/>
                <w:sz w:val="24"/>
              </w:rPr>
            </w:pPr>
            <w:r w:rsidRPr="003F513C">
              <w:rPr>
                <w:kern w:val="0"/>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FF7CE7">
            <w:pPr>
              <w:spacing w:before="29" w:line="288" w:lineRule="auto"/>
              <w:jc w:val="right"/>
              <w:rPr>
                <w:kern w:val="0"/>
                <w:sz w:val="24"/>
              </w:rPr>
            </w:pPr>
            <w:r w:rsidRPr="003F513C">
              <w:rPr>
                <w:kern w:val="0"/>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3F513C" w:rsidRDefault="00010B65" w:rsidP="00FF7CE7">
            <w:pPr>
              <w:spacing w:before="29" w:line="288" w:lineRule="auto"/>
              <w:jc w:val="right"/>
              <w:rPr>
                <w:kern w:val="0"/>
                <w:sz w:val="24"/>
              </w:rPr>
            </w:pPr>
            <w:r w:rsidRPr="003F513C">
              <w:rPr>
                <w:kern w:val="0"/>
                <w:sz w:val="24"/>
              </w:rPr>
              <w:t>143,075,801.38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3F513C" w:rsidRDefault="00010B65" w:rsidP="00FF7CE7">
            <w:pPr>
              <w:spacing w:before="29" w:line="288" w:lineRule="auto"/>
              <w:jc w:val="right"/>
              <w:rPr>
                <w:kern w:val="0"/>
                <w:sz w:val="24"/>
              </w:rPr>
            </w:pPr>
            <w:r w:rsidRPr="003F513C">
              <w:rPr>
                <w:kern w:val="0"/>
                <w:sz w:val="24"/>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72" w:name="_Toc361324891"/>
      <w:bookmarkStart w:id="273" w:name="_Toc416723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72"/>
      <w:bookmarkEnd w:id="27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71,439.92</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74" w:name="_Toc416723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7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75" w:name="_Toc225500053"/>
      <w:bookmarkStart w:id="276" w:name="_Toc361324892"/>
      <w:bookmarkStart w:id="277" w:name="_Toc416724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75"/>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872,524,972.27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298,674,513.66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58,161,193.35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213,759,905.63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lastRenderedPageBreak/>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143,075,801.38</w:t>
            </w:r>
          </w:p>
        </w:tc>
      </w:tr>
    </w:tbl>
    <w:p w:rsidR="00413707" w:rsidRDefault="00532C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3F513C">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78" w:name="_Toc225500054"/>
      <w:bookmarkStart w:id="279" w:name="_Toc361324893"/>
      <w:bookmarkStart w:id="280" w:name="_Toc416724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78"/>
      <w:bookmarkEnd w:id="279"/>
      <w:bookmarkEnd w:id="28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81" w:name="_Toc361324894"/>
      <w:bookmarkStart w:id="282" w:name="_Toc416724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81"/>
      <w:bookmarkEnd w:id="28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895"/>
      <w:bookmarkStart w:id="284" w:name="_Toc416724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83"/>
      <w:bookmarkEnd w:id="284"/>
    </w:p>
    <w:p w:rsidR="00413707" w:rsidRDefault="00532CE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13707" w:rsidRDefault="00532CED">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13707" w:rsidRDefault="00532CED">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896"/>
      <w:bookmarkStart w:id="286" w:name="_Toc416724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85"/>
      <w:bookmarkEnd w:id="28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897"/>
      <w:bookmarkStart w:id="288" w:name="_Toc416724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87"/>
      <w:bookmarkEnd w:id="28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89" w:name="_Toc4167246"/>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89"/>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410ACC" w:rsidRPr="00F74F88" w:rsidRDefault="00410ACC"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90" w:name="_Toc361324898"/>
      <w:bookmarkStart w:id="291" w:name="_Toc409100466"/>
      <w:bookmarkStart w:id="292" w:name="_Toc409100103"/>
      <w:bookmarkStart w:id="293" w:name="_Toc4167247"/>
      <w:r w:rsidRPr="00F74F88">
        <w:rPr>
          <w:rFonts w:ascii="Times New Roman" w:eastAsiaTheme="minorEastAsia" w:hAnsi="Times New Roman"/>
          <w:color w:val="000000" w:themeColor="text1"/>
          <w:kern w:val="0"/>
          <w:szCs w:val="24"/>
        </w:rPr>
        <w:t>11.</w:t>
      </w:r>
      <w:bookmarkEnd w:id="290"/>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91"/>
      <w:bookmarkEnd w:id="292"/>
      <w:bookmarkEnd w:id="293"/>
    </w:p>
    <w:p w:rsidR="002C2072" w:rsidRDefault="002C2072" w:rsidP="00F74F88">
      <w:pPr>
        <w:spacing w:line="360" w:lineRule="auto"/>
        <w:ind w:firstLineChars="200" w:firstLine="480"/>
        <w:rPr>
          <w:rFonts w:eastAsiaTheme="minorEastAsia"/>
          <w:color w:val="000000" w:themeColor="text1"/>
          <w:sz w:val="24"/>
        </w:rPr>
      </w:pPr>
      <w:bookmarkStart w:id="294"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lastRenderedPageBreak/>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78,000.00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410ACC" w:rsidRPr="00F74F88" w:rsidRDefault="00410ACC"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95" w:name="_Toc409100104"/>
      <w:bookmarkStart w:id="296" w:name="_Toc409100467"/>
      <w:bookmarkStart w:id="297" w:name="_Toc361324899"/>
      <w:bookmarkStart w:id="298" w:name="_Toc4167248"/>
      <w:bookmarkEnd w:id="294"/>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95"/>
      <w:bookmarkEnd w:id="296"/>
      <w:bookmarkEnd w:id="297"/>
      <w:bookmarkEnd w:id="298"/>
    </w:p>
    <w:p w:rsidR="00413707" w:rsidRDefault="00532CE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13707" w:rsidRDefault="00532CE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13707" w:rsidRDefault="00532CE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410ACC" w:rsidRPr="00F74F88" w:rsidRDefault="00410ACC"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99" w:name="_Toc361324900"/>
      <w:bookmarkStart w:id="300" w:name="_Toc409100468"/>
      <w:bookmarkStart w:id="301" w:name="_Toc409100105"/>
      <w:bookmarkStart w:id="302" w:name="_Toc416724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99"/>
      <w:bookmarkEnd w:id="300"/>
      <w:bookmarkEnd w:id="301"/>
      <w:bookmarkEnd w:id="302"/>
    </w:p>
    <w:p w:rsidR="002C2072" w:rsidRPr="00F74F88" w:rsidRDefault="002C2072" w:rsidP="002C2072">
      <w:pPr>
        <w:spacing w:line="360" w:lineRule="auto"/>
        <w:rPr>
          <w:rFonts w:eastAsiaTheme="minorEastAsia"/>
          <w:b/>
          <w:color w:val="000000" w:themeColor="text1"/>
          <w:sz w:val="24"/>
        </w:rPr>
      </w:pPr>
      <w:bookmarkStart w:id="303"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303"/>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304"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413707">
        <w:tc>
          <w:tcPr>
            <w:tcW w:w="1560" w:type="dxa"/>
            <w:vAlign w:val="center"/>
          </w:tcPr>
          <w:p w:rsidR="00413707" w:rsidRDefault="00532CED">
            <w:pPr>
              <w:jc w:val="left"/>
            </w:pPr>
            <w:r>
              <w:rPr>
                <w:rFonts w:eastAsiaTheme="minorEastAsia"/>
                <w:color w:val="000000" w:themeColor="text1"/>
                <w:sz w:val="24"/>
              </w:rPr>
              <w:t>东方证券股份有限公司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90,000,049.31</w:t>
            </w:r>
          </w:p>
        </w:tc>
        <w:tc>
          <w:tcPr>
            <w:tcW w:w="1080" w:type="dxa"/>
            <w:vAlign w:val="center"/>
          </w:tcPr>
          <w:p w:rsidR="00413707" w:rsidRDefault="00532CED">
            <w:pPr>
              <w:jc w:val="right"/>
            </w:pPr>
            <w:r>
              <w:rPr>
                <w:rFonts w:eastAsiaTheme="minorEastAsia"/>
                <w:color w:val="000000" w:themeColor="text1"/>
                <w:sz w:val="24"/>
              </w:rPr>
              <w:t>10.21%</w:t>
            </w:r>
          </w:p>
        </w:tc>
        <w:tc>
          <w:tcPr>
            <w:tcW w:w="1620" w:type="dxa"/>
            <w:vAlign w:val="center"/>
          </w:tcPr>
          <w:p w:rsidR="00413707" w:rsidRDefault="00532CED">
            <w:pPr>
              <w:jc w:val="right"/>
            </w:pPr>
            <w:r>
              <w:rPr>
                <w:rFonts w:eastAsiaTheme="minorEastAsia"/>
                <w:color w:val="000000" w:themeColor="text1"/>
                <w:sz w:val="24"/>
              </w:rPr>
              <w:t>83,817.80</w:t>
            </w:r>
          </w:p>
        </w:tc>
        <w:tc>
          <w:tcPr>
            <w:tcW w:w="1080" w:type="dxa"/>
            <w:vAlign w:val="center"/>
          </w:tcPr>
          <w:p w:rsidR="00413707" w:rsidRDefault="00532CED">
            <w:pPr>
              <w:jc w:val="right"/>
            </w:pPr>
            <w:r>
              <w:rPr>
                <w:rFonts w:eastAsiaTheme="minorEastAsia"/>
                <w:color w:val="000000" w:themeColor="text1"/>
                <w:sz w:val="24"/>
              </w:rPr>
              <w:t>10.21%</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安信证券股份有限公司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86,984,576.94</w:t>
            </w:r>
          </w:p>
        </w:tc>
        <w:tc>
          <w:tcPr>
            <w:tcW w:w="1080" w:type="dxa"/>
            <w:vAlign w:val="center"/>
          </w:tcPr>
          <w:p w:rsidR="00413707" w:rsidRDefault="00532CED">
            <w:pPr>
              <w:jc w:val="right"/>
            </w:pPr>
            <w:r>
              <w:rPr>
                <w:rFonts w:eastAsiaTheme="minorEastAsia"/>
                <w:color w:val="000000" w:themeColor="text1"/>
                <w:sz w:val="24"/>
              </w:rPr>
              <w:t>9.87%</w:t>
            </w:r>
          </w:p>
        </w:tc>
        <w:tc>
          <w:tcPr>
            <w:tcW w:w="1620" w:type="dxa"/>
            <w:vAlign w:val="center"/>
          </w:tcPr>
          <w:p w:rsidR="00413707" w:rsidRDefault="00532CED">
            <w:pPr>
              <w:jc w:val="right"/>
            </w:pPr>
            <w:r>
              <w:rPr>
                <w:rFonts w:eastAsiaTheme="minorEastAsia"/>
                <w:color w:val="000000" w:themeColor="text1"/>
                <w:sz w:val="24"/>
              </w:rPr>
              <w:t>81,008.75</w:t>
            </w:r>
          </w:p>
        </w:tc>
        <w:tc>
          <w:tcPr>
            <w:tcW w:w="1080" w:type="dxa"/>
            <w:vAlign w:val="center"/>
          </w:tcPr>
          <w:p w:rsidR="00413707" w:rsidRDefault="00532CED">
            <w:pPr>
              <w:jc w:val="right"/>
            </w:pPr>
            <w:r>
              <w:rPr>
                <w:rFonts w:eastAsiaTheme="minorEastAsia"/>
                <w:color w:val="000000" w:themeColor="text1"/>
                <w:sz w:val="24"/>
              </w:rPr>
              <w:t>9.87%</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华泰证券股份有限公司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8,226,397.79</w:t>
            </w:r>
          </w:p>
        </w:tc>
        <w:tc>
          <w:tcPr>
            <w:tcW w:w="1080" w:type="dxa"/>
            <w:vAlign w:val="center"/>
          </w:tcPr>
          <w:p w:rsidR="00413707" w:rsidRDefault="00532CED">
            <w:pPr>
              <w:jc w:val="right"/>
            </w:pPr>
            <w:r>
              <w:rPr>
                <w:rFonts w:eastAsiaTheme="minorEastAsia"/>
                <w:color w:val="000000" w:themeColor="text1"/>
                <w:sz w:val="24"/>
              </w:rPr>
              <w:t>0.93%</w:t>
            </w:r>
          </w:p>
        </w:tc>
        <w:tc>
          <w:tcPr>
            <w:tcW w:w="1620" w:type="dxa"/>
            <w:vAlign w:val="center"/>
          </w:tcPr>
          <w:p w:rsidR="00413707" w:rsidRDefault="00532CED">
            <w:pPr>
              <w:jc w:val="right"/>
            </w:pPr>
            <w:r>
              <w:rPr>
                <w:rFonts w:eastAsiaTheme="minorEastAsia"/>
                <w:color w:val="000000" w:themeColor="text1"/>
                <w:sz w:val="24"/>
              </w:rPr>
              <w:t>7,661.31</w:t>
            </w:r>
          </w:p>
        </w:tc>
        <w:tc>
          <w:tcPr>
            <w:tcW w:w="1080" w:type="dxa"/>
            <w:vAlign w:val="center"/>
          </w:tcPr>
          <w:p w:rsidR="00413707" w:rsidRDefault="00532CED">
            <w:pPr>
              <w:jc w:val="right"/>
            </w:pPr>
            <w:r>
              <w:rPr>
                <w:rFonts w:eastAsiaTheme="minorEastAsia"/>
                <w:color w:val="000000" w:themeColor="text1"/>
                <w:sz w:val="24"/>
              </w:rPr>
              <w:t>0.93%</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东兴证券股份有限公司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81,334,187.26</w:t>
            </w:r>
          </w:p>
        </w:tc>
        <w:tc>
          <w:tcPr>
            <w:tcW w:w="1080" w:type="dxa"/>
            <w:vAlign w:val="center"/>
          </w:tcPr>
          <w:p w:rsidR="00413707" w:rsidRDefault="00532CED">
            <w:pPr>
              <w:jc w:val="right"/>
            </w:pPr>
            <w:r>
              <w:rPr>
                <w:rFonts w:eastAsiaTheme="minorEastAsia"/>
                <w:color w:val="000000" w:themeColor="text1"/>
                <w:sz w:val="24"/>
              </w:rPr>
              <w:t>9.23%</w:t>
            </w:r>
          </w:p>
        </w:tc>
        <w:tc>
          <w:tcPr>
            <w:tcW w:w="1620" w:type="dxa"/>
            <w:vAlign w:val="center"/>
          </w:tcPr>
          <w:p w:rsidR="00413707" w:rsidRDefault="00532CED">
            <w:pPr>
              <w:jc w:val="right"/>
            </w:pPr>
            <w:r>
              <w:rPr>
                <w:rFonts w:eastAsiaTheme="minorEastAsia"/>
                <w:color w:val="000000" w:themeColor="text1"/>
                <w:sz w:val="24"/>
              </w:rPr>
              <w:t>75,746.64</w:t>
            </w:r>
          </w:p>
        </w:tc>
        <w:tc>
          <w:tcPr>
            <w:tcW w:w="1080" w:type="dxa"/>
            <w:vAlign w:val="center"/>
          </w:tcPr>
          <w:p w:rsidR="00413707" w:rsidRDefault="00532CED">
            <w:pPr>
              <w:jc w:val="right"/>
            </w:pPr>
            <w:r>
              <w:rPr>
                <w:rFonts w:eastAsiaTheme="minorEastAsia"/>
                <w:color w:val="000000" w:themeColor="text1"/>
                <w:sz w:val="24"/>
              </w:rPr>
              <w:t>9.23%</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海通证券股份有限公司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74,631,193.81</w:t>
            </w:r>
          </w:p>
        </w:tc>
        <w:tc>
          <w:tcPr>
            <w:tcW w:w="1080" w:type="dxa"/>
            <w:vAlign w:val="center"/>
          </w:tcPr>
          <w:p w:rsidR="00413707" w:rsidRDefault="00532CED">
            <w:pPr>
              <w:jc w:val="right"/>
            </w:pPr>
            <w:r>
              <w:rPr>
                <w:rFonts w:eastAsiaTheme="minorEastAsia"/>
                <w:color w:val="000000" w:themeColor="text1"/>
                <w:sz w:val="24"/>
              </w:rPr>
              <w:t>8.47%</w:t>
            </w:r>
          </w:p>
        </w:tc>
        <w:tc>
          <w:tcPr>
            <w:tcW w:w="1620" w:type="dxa"/>
            <w:vAlign w:val="center"/>
          </w:tcPr>
          <w:p w:rsidR="00413707" w:rsidRDefault="00532CED">
            <w:pPr>
              <w:jc w:val="right"/>
            </w:pPr>
            <w:r>
              <w:rPr>
                <w:rFonts w:eastAsiaTheme="minorEastAsia"/>
                <w:color w:val="000000" w:themeColor="text1"/>
                <w:sz w:val="24"/>
              </w:rPr>
              <w:t>69,504.04</w:t>
            </w:r>
          </w:p>
        </w:tc>
        <w:tc>
          <w:tcPr>
            <w:tcW w:w="1080" w:type="dxa"/>
            <w:vAlign w:val="center"/>
          </w:tcPr>
          <w:p w:rsidR="00413707" w:rsidRDefault="00532CED">
            <w:pPr>
              <w:jc w:val="right"/>
            </w:pPr>
            <w:r>
              <w:rPr>
                <w:rFonts w:eastAsiaTheme="minorEastAsia"/>
                <w:color w:val="000000" w:themeColor="text1"/>
                <w:sz w:val="24"/>
              </w:rPr>
              <w:t>8.47%</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7,346,359.74</w:t>
            </w:r>
          </w:p>
        </w:tc>
        <w:tc>
          <w:tcPr>
            <w:tcW w:w="1080" w:type="dxa"/>
            <w:vAlign w:val="center"/>
          </w:tcPr>
          <w:p w:rsidR="00413707" w:rsidRDefault="00532CED">
            <w:pPr>
              <w:jc w:val="right"/>
            </w:pPr>
            <w:r>
              <w:rPr>
                <w:rFonts w:eastAsiaTheme="minorEastAsia"/>
                <w:color w:val="000000" w:themeColor="text1"/>
                <w:sz w:val="24"/>
              </w:rPr>
              <w:t>0.83%</w:t>
            </w:r>
          </w:p>
        </w:tc>
        <w:tc>
          <w:tcPr>
            <w:tcW w:w="1620" w:type="dxa"/>
            <w:vAlign w:val="center"/>
          </w:tcPr>
          <w:p w:rsidR="00413707" w:rsidRDefault="00532CED">
            <w:pPr>
              <w:jc w:val="right"/>
            </w:pPr>
            <w:r>
              <w:rPr>
                <w:rFonts w:eastAsiaTheme="minorEastAsia"/>
                <w:color w:val="000000" w:themeColor="text1"/>
                <w:sz w:val="24"/>
              </w:rPr>
              <w:t>6,841.73</w:t>
            </w:r>
          </w:p>
        </w:tc>
        <w:tc>
          <w:tcPr>
            <w:tcW w:w="1080" w:type="dxa"/>
            <w:vAlign w:val="center"/>
          </w:tcPr>
          <w:p w:rsidR="00413707" w:rsidRDefault="00532CED">
            <w:pPr>
              <w:jc w:val="right"/>
            </w:pPr>
            <w:r>
              <w:rPr>
                <w:rFonts w:eastAsiaTheme="minorEastAsia"/>
                <w:color w:val="000000" w:themeColor="text1"/>
                <w:sz w:val="24"/>
              </w:rPr>
              <w:t>0.83%</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中国国际金融股份有限公司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67,800,363.71</w:t>
            </w:r>
          </w:p>
        </w:tc>
        <w:tc>
          <w:tcPr>
            <w:tcW w:w="1080" w:type="dxa"/>
            <w:vAlign w:val="center"/>
          </w:tcPr>
          <w:p w:rsidR="00413707" w:rsidRDefault="00532CED">
            <w:pPr>
              <w:jc w:val="right"/>
            </w:pPr>
            <w:r>
              <w:rPr>
                <w:rFonts w:eastAsiaTheme="minorEastAsia"/>
                <w:color w:val="000000" w:themeColor="text1"/>
                <w:sz w:val="24"/>
              </w:rPr>
              <w:t>7.69%</w:t>
            </w:r>
          </w:p>
        </w:tc>
        <w:tc>
          <w:tcPr>
            <w:tcW w:w="1620" w:type="dxa"/>
            <w:vAlign w:val="center"/>
          </w:tcPr>
          <w:p w:rsidR="00413707" w:rsidRDefault="00532CED">
            <w:pPr>
              <w:jc w:val="right"/>
            </w:pPr>
            <w:r>
              <w:rPr>
                <w:rFonts w:eastAsiaTheme="minorEastAsia"/>
                <w:color w:val="000000" w:themeColor="text1"/>
                <w:sz w:val="24"/>
              </w:rPr>
              <w:t>63,142.36</w:t>
            </w:r>
          </w:p>
        </w:tc>
        <w:tc>
          <w:tcPr>
            <w:tcW w:w="1080" w:type="dxa"/>
            <w:vAlign w:val="center"/>
          </w:tcPr>
          <w:p w:rsidR="00413707" w:rsidRDefault="00532CED">
            <w:pPr>
              <w:jc w:val="right"/>
            </w:pPr>
            <w:r>
              <w:rPr>
                <w:rFonts w:eastAsiaTheme="minorEastAsia"/>
                <w:color w:val="000000" w:themeColor="text1"/>
                <w:sz w:val="24"/>
              </w:rPr>
              <w:t>7.69%</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方正证券股份有限公司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58,226,976.27</w:t>
            </w:r>
          </w:p>
        </w:tc>
        <w:tc>
          <w:tcPr>
            <w:tcW w:w="1080" w:type="dxa"/>
            <w:vAlign w:val="center"/>
          </w:tcPr>
          <w:p w:rsidR="00413707" w:rsidRDefault="00532CED">
            <w:pPr>
              <w:jc w:val="right"/>
            </w:pPr>
            <w:r>
              <w:rPr>
                <w:rFonts w:eastAsiaTheme="minorEastAsia"/>
                <w:color w:val="000000" w:themeColor="text1"/>
                <w:sz w:val="24"/>
              </w:rPr>
              <w:t>6.61%</w:t>
            </w:r>
          </w:p>
        </w:tc>
        <w:tc>
          <w:tcPr>
            <w:tcW w:w="1620" w:type="dxa"/>
            <w:vAlign w:val="center"/>
          </w:tcPr>
          <w:p w:rsidR="00413707" w:rsidRDefault="00532CED">
            <w:pPr>
              <w:jc w:val="right"/>
            </w:pPr>
            <w:r>
              <w:rPr>
                <w:rFonts w:eastAsiaTheme="minorEastAsia"/>
                <w:color w:val="000000" w:themeColor="text1"/>
                <w:sz w:val="24"/>
              </w:rPr>
              <w:t>54,226.79</w:t>
            </w:r>
          </w:p>
        </w:tc>
        <w:tc>
          <w:tcPr>
            <w:tcW w:w="1080" w:type="dxa"/>
            <w:vAlign w:val="center"/>
          </w:tcPr>
          <w:p w:rsidR="00413707" w:rsidRDefault="00532CED">
            <w:pPr>
              <w:jc w:val="right"/>
            </w:pPr>
            <w:r>
              <w:rPr>
                <w:rFonts w:eastAsiaTheme="minorEastAsia"/>
                <w:color w:val="000000" w:themeColor="text1"/>
                <w:sz w:val="24"/>
              </w:rPr>
              <w:t>6.61%</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47,152,864.38</w:t>
            </w:r>
          </w:p>
        </w:tc>
        <w:tc>
          <w:tcPr>
            <w:tcW w:w="1080" w:type="dxa"/>
            <w:vAlign w:val="center"/>
          </w:tcPr>
          <w:p w:rsidR="00413707" w:rsidRDefault="00532CED">
            <w:pPr>
              <w:jc w:val="right"/>
            </w:pPr>
            <w:r>
              <w:rPr>
                <w:rFonts w:eastAsiaTheme="minorEastAsia"/>
                <w:color w:val="000000" w:themeColor="text1"/>
                <w:sz w:val="24"/>
              </w:rPr>
              <w:t>5.35%</w:t>
            </w:r>
          </w:p>
        </w:tc>
        <w:tc>
          <w:tcPr>
            <w:tcW w:w="1620" w:type="dxa"/>
            <w:vAlign w:val="center"/>
          </w:tcPr>
          <w:p w:rsidR="00413707" w:rsidRDefault="00532CED">
            <w:pPr>
              <w:jc w:val="right"/>
            </w:pPr>
            <w:r>
              <w:rPr>
                <w:rFonts w:eastAsiaTheme="minorEastAsia"/>
                <w:color w:val="000000" w:themeColor="text1"/>
                <w:sz w:val="24"/>
              </w:rPr>
              <w:t>43,913.67</w:t>
            </w:r>
          </w:p>
        </w:tc>
        <w:tc>
          <w:tcPr>
            <w:tcW w:w="1080" w:type="dxa"/>
            <w:vAlign w:val="center"/>
          </w:tcPr>
          <w:p w:rsidR="00413707" w:rsidRDefault="00532CED">
            <w:pPr>
              <w:jc w:val="right"/>
            </w:pPr>
            <w:r>
              <w:rPr>
                <w:rFonts w:eastAsiaTheme="minorEastAsia"/>
                <w:color w:val="000000" w:themeColor="text1"/>
                <w:sz w:val="24"/>
              </w:rPr>
              <w:t>5.35%</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中国银河证</w:t>
            </w:r>
            <w:r>
              <w:rPr>
                <w:rFonts w:eastAsiaTheme="minorEastAsia"/>
                <w:color w:val="000000" w:themeColor="text1"/>
                <w:sz w:val="24"/>
              </w:rPr>
              <w:lastRenderedPageBreak/>
              <w:t>券股份有限公司</w:t>
            </w:r>
          </w:p>
        </w:tc>
        <w:tc>
          <w:tcPr>
            <w:tcW w:w="780" w:type="dxa"/>
            <w:vAlign w:val="center"/>
          </w:tcPr>
          <w:p w:rsidR="00413707" w:rsidRDefault="00532CED">
            <w:pPr>
              <w:jc w:val="right"/>
            </w:pPr>
            <w:r>
              <w:rPr>
                <w:rFonts w:eastAsiaTheme="minorEastAsia"/>
                <w:color w:val="000000" w:themeColor="text1"/>
                <w:sz w:val="24"/>
              </w:rPr>
              <w:lastRenderedPageBreak/>
              <w:t>1</w:t>
            </w:r>
          </w:p>
        </w:tc>
        <w:tc>
          <w:tcPr>
            <w:tcW w:w="1800" w:type="dxa"/>
            <w:vAlign w:val="center"/>
          </w:tcPr>
          <w:p w:rsidR="00413707" w:rsidRDefault="00532CED">
            <w:pPr>
              <w:jc w:val="right"/>
            </w:pPr>
            <w:r>
              <w:rPr>
                <w:rFonts w:eastAsiaTheme="minorEastAsia"/>
                <w:color w:val="000000" w:themeColor="text1"/>
                <w:sz w:val="24"/>
              </w:rPr>
              <w:t>4,339,350.05</w:t>
            </w:r>
          </w:p>
        </w:tc>
        <w:tc>
          <w:tcPr>
            <w:tcW w:w="1080" w:type="dxa"/>
            <w:vAlign w:val="center"/>
          </w:tcPr>
          <w:p w:rsidR="00413707" w:rsidRDefault="00532CED">
            <w:pPr>
              <w:jc w:val="right"/>
            </w:pPr>
            <w:r>
              <w:rPr>
                <w:rFonts w:eastAsiaTheme="minorEastAsia"/>
                <w:color w:val="000000" w:themeColor="text1"/>
                <w:sz w:val="24"/>
              </w:rPr>
              <w:t>0.49%</w:t>
            </w:r>
          </w:p>
        </w:tc>
        <w:tc>
          <w:tcPr>
            <w:tcW w:w="1620" w:type="dxa"/>
            <w:vAlign w:val="center"/>
          </w:tcPr>
          <w:p w:rsidR="00413707" w:rsidRDefault="00532CED">
            <w:pPr>
              <w:jc w:val="right"/>
            </w:pPr>
            <w:r>
              <w:rPr>
                <w:rFonts w:eastAsiaTheme="minorEastAsia"/>
                <w:color w:val="000000" w:themeColor="text1"/>
                <w:sz w:val="24"/>
              </w:rPr>
              <w:t>4,041.22</w:t>
            </w:r>
          </w:p>
        </w:tc>
        <w:tc>
          <w:tcPr>
            <w:tcW w:w="1080" w:type="dxa"/>
            <w:vAlign w:val="center"/>
          </w:tcPr>
          <w:p w:rsidR="00413707" w:rsidRDefault="00532CED">
            <w:pPr>
              <w:jc w:val="right"/>
            </w:pPr>
            <w:r>
              <w:rPr>
                <w:rFonts w:eastAsiaTheme="minorEastAsia"/>
                <w:color w:val="000000" w:themeColor="text1"/>
                <w:sz w:val="24"/>
              </w:rPr>
              <w:t>0.49%</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西藏东方财富证券股份有限公司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27,564,991.86</w:t>
            </w:r>
          </w:p>
        </w:tc>
        <w:tc>
          <w:tcPr>
            <w:tcW w:w="1080" w:type="dxa"/>
            <w:vAlign w:val="center"/>
          </w:tcPr>
          <w:p w:rsidR="00413707" w:rsidRDefault="00532CED">
            <w:pPr>
              <w:jc w:val="right"/>
            </w:pPr>
            <w:r>
              <w:rPr>
                <w:rFonts w:eastAsiaTheme="minorEastAsia"/>
                <w:color w:val="000000" w:themeColor="text1"/>
                <w:sz w:val="24"/>
              </w:rPr>
              <w:t>3.13%</w:t>
            </w:r>
          </w:p>
        </w:tc>
        <w:tc>
          <w:tcPr>
            <w:tcW w:w="1620" w:type="dxa"/>
            <w:vAlign w:val="center"/>
          </w:tcPr>
          <w:p w:rsidR="00413707" w:rsidRDefault="00532CED">
            <w:pPr>
              <w:jc w:val="right"/>
            </w:pPr>
            <w:r>
              <w:rPr>
                <w:rFonts w:eastAsiaTheme="minorEastAsia"/>
                <w:color w:val="000000" w:themeColor="text1"/>
                <w:sz w:val="24"/>
              </w:rPr>
              <w:t>25,671.40</w:t>
            </w:r>
          </w:p>
        </w:tc>
        <w:tc>
          <w:tcPr>
            <w:tcW w:w="1080" w:type="dxa"/>
            <w:vAlign w:val="center"/>
          </w:tcPr>
          <w:p w:rsidR="00413707" w:rsidRDefault="00532CED">
            <w:pPr>
              <w:jc w:val="right"/>
            </w:pPr>
            <w:r>
              <w:rPr>
                <w:rFonts w:eastAsiaTheme="minorEastAsia"/>
                <w:color w:val="000000" w:themeColor="text1"/>
                <w:sz w:val="24"/>
              </w:rPr>
              <w:t>3.13%</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西部证券股份有限公司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2,437,394.25</w:t>
            </w:r>
          </w:p>
        </w:tc>
        <w:tc>
          <w:tcPr>
            <w:tcW w:w="1080" w:type="dxa"/>
            <w:vAlign w:val="center"/>
          </w:tcPr>
          <w:p w:rsidR="00413707" w:rsidRDefault="00532CED">
            <w:pPr>
              <w:jc w:val="right"/>
            </w:pPr>
            <w:r>
              <w:rPr>
                <w:rFonts w:eastAsiaTheme="minorEastAsia"/>
                <w:color w:val="000000" w:themeColor="text1"/>
                <w:sz w:val="24"/>
              </w:rPr>
              <w:t>0.28%</w:t>
            </w:r>
          </w:p>
        </w:tc>
        <w:tc>
          <w:tcPr>
            <w:tcW w:w="1620" w:type="dxa"/>
            <w:vAlign w:val="center"/>
          </w:tcPr>
          <w:p w:rsidR="00413707" w:rsidRDefault="00532CED">
            <w:pPr>
              <w:jc w:val="right"/>
            </w:pPr>
            <w:r>
              <w:rPr>
                <w:rFonts w:eastAsiaTheme="minorEastAsia"/>
                <w:color w:val="000000" w:themeColor="text1"/>
                <w:sz w:val="24"/>
              </w:rPr>
              <w:t>2,269.78</w:t>
            </w:r>
          </w:p>
        </w:tc>
        <w:tc>
          <w:tcPr>
            <w:tcW w:w="1080" w:type="dxa"/>
            <w:vAlign w:val="center"/>
          </w:tcPr>
          <w:p w:rsidR="00413707" w:rsidRDefault="00532CED">
            <w:pPr>
              <w:jc w:val="right"/>
            </w:pPr>
            <w:r>
              <w:rPr>
                <w:rFonts w:eastAsiaTheme="minorEastAsia"/>
                <w:color w:val="000000" w:themeColor="text1"/>
                <w:sz w:val="24"/>
              </w:rPr>
              <w:t>0.28%</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8907C3">
            <w:pPr>
              <w:jc w:val="left"/>
            </w:pPr>
            <w:r w:rsidRPr="008907C3">
              <w:rPr>
                <w:rFonts w:eastAsiaTheme="minorEastAsia" w:hint="eastAsia"/>
                <w:color w:val="000000" w:themeColor="text1"/>
                <w:sz w:val="24"/>
              </w:rPr>
              <w:t>中银国际证券股份有限公司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2,181,600.00</w:t>
            </w:r>
          </w:p>
        </w:tc>
        <w:tc>
          <w:tcPr>
            <w:tcW w:w="1080" w:type="dxa"/>
            <w:vAlign w:val="center"/>
          </w:tcPr>
          <w:p w:rsidR="00413707" w:rsidRDefault="00532CED">
            <w:pPr>
              <w:jc w:val="right"/>
            </w:pPr>
            <w:r>
              <w:rPr>
                <w:rFonts w:eastAsiaTheme="minorEastAsia"/>
                <w:color w:val="000000" w:themeColor="text1"/>
                <w:sz w:val="24"/>
              </w:rPr>
              <w:t>0.25%</w:t>
            </w:r>
          </w:p>
        </w:tc>
        <w:tc>
          <w:tcPr>
            <w:tcW w:w="1620" w:type="dxa"/>
            <w:vAlign w:val="center"/>
          </w:tcPr>
          <w:p w:rsidR="00413707" w:rsidRDefault="00532CED">
            <w:pPr>
              <w:jc w:val="right"/>
            </w:pPr>
            <w:r>
              <w:rPr>
                <w:rFonts w:eastAsiaTheme="minorEastAsia"/>
                <w:color w:val="000000" w:themeColor="text1"/>
                <w:sz w:val="24"/>
              </w:rPr>
              <w:t>2,063.60</w:t>
            </w:r>
          </w:p>
        </w:tc>
        <w:tc>
          <w:tcPr>
            <w:tcW w:w="1080" w:type="dxa"/>
            <w:vAlign w:val="center"/>
          </w:tcPr>
          <w:p w:rsidR="00413707" w:rsidRDefault="00532CED">
            <w:pPr>
              <w:jc w:val="right"/>
            </w:pPr>
            <w:r>
              <w:rPr>
                <w:rFonts w:eastAsiaTheme="minorEastAsia"/>
                <w:color w:val="000000" w:themeColor="text1"/>
                <w:sz w:val="24"/>
              </w:rPr>
              <w:t>0.25%</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长江证券股份有限公司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194,115,057.19</w:t>
            </w:r>
          </w:p>
        </w:tc>
        <w:tc>
          <w:tcPr>
            <w:tcW w:w="1080" w:type="dxa"/>
            <w:vAlign w:val="center"/>
          </w:tcPr>
          <w:p w:rsidR="00413707" w:rsidRDefault="00532CED">
            <w:pPr>
              <w:jc w:val="right"/>
            </w:pPr>
            <w:r>
              <w:rPr>
                <w:rFonts w:eastAsiaTheme="minorEastAsia"/>
                <w:color w:val="000000" w:themeColor="text1"/>
                <w:sz w:val="24"/>
              </w:rPr>
              <w:t>22.03%</w:t>
            </w:r>
          </w:p>
        </w:tc>
        <w:tc>
          <w:tcPr>
            <w:tcW w:w="1620" w:type="dxa"/>
            <w:vAlign w:val="center"/>
          </w:tcPr>
          <w:p w:rsidR="00413707" w:rsidRDefault="00532CED">
            <w:pPr>
              <w:jc w:val="right"/>
            </w:pPr>
            <w:r>
              <w:rPr>
                <w:rFonts w:eastAsiaTheme="minorEastAsia"/>
                <w:color w:val="000000" w:themeColor="text1"/>
                <w:sz w:val="24"/>
              </w:rPr>
              <w:t>180,779.85</w:t>
            </w:r>
          </w:p>
        </w:tc>
        <w:tc>
          <w:tcPr>
            <w:tcW w:w="1080" w:type="dxa"/>
            <w:vAlign w:val="center"/>
          </w:tcPr>
          <w:p w:rsidR="00413707" w:rsidRDefault="00532CED">
            <w:pPr>
              <w:jc w:val="right"/>
            </w:pPr>
            <w:r>
              <w:rPr>
                <w:rFonts w:eastAsiaTheme="minorEastAsia"/>
                <w:color w:val="000000" w:themeColor="text1"/>
                <w:sz w:val="24"/>
              </w:rPr>
              <w:t>22.03%</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信</w:t>
            </w:r>
            <w:proofErr w:type="gramStart"/>
            <w:r>
              <w:rPr>
                <w:rFonts w:eastAsiaTheme="minorEastAsia"/>
                <w:color w:val="000000" w:themeColor="text1"/>
                <w:sz w:val="24"/>
              </w:rPr>
              <w:t>达证券</w:t>
            </w:r>
            <w:proofErr w:type="gramEnd"/>
            <w:r>
              <w:rPr>
                <w:rFonts w:eastAsiaTheme="minorEastAsia"/>
                <w:color w:val="000000" w:themeColor="text1"/>
                <w:sz w:val="24"/>
              </w:rPr>
              <w:t>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19,391,287.65</w:t>
            </w:r>
          </w:p>
        </w:tc>
        <w:tc>
          <w:tcPr>
            <w:tcW w:w="1080" w:type="dxa"/>
            <w:vAlign w:val="center"/>
          </w:tcPr>
          <w:p w:rsidR="00413707" w:rsidRDefault="00532CED">
            <w:pPr>
              <w:jc w:val="right"/>
            </w:pPr>
            <w:r>
              <w:rPr>
                <w:rFonts w:eastAsiaTheme="minorEastAsia"/>
                <w:color w:val="000000" w:themeColor="text1"/>
                <w:sz w:val="24"/>
              </w:rPr>
              <w:t>2.20%</w:t>
            </w:r>
          </w:p>
        </w:tc>
        <w:tc>
          <w:tcPr>
            <w:tcW w:w="1620" w:type="dxa"/>
            <w:vAlign w:val="center"/>
          </w:tcPr>
          <w:p w:rsidR="00413707" w:rsidRDefault="00532CED">
            <w:pPr>
              <w:jc w:val="right"/>
            </w:pPr>
            <w:r>
              <w:rPr>
                <w:rFonts w:eastAsiaTheme="minorEastAsia"/>
                <w:color w:val="000000" w:themeColor="text1"/>
                <w:sz w:val="24"/>
              </w:rPr>
              <w:t>18,059.04</w:t>
            </w:r>
          </w:p>
        </w:tc>
        <w:tc>
          <w:tcPr>
            <w:tcW w:w="1080" w:type="dxa"/>
            <w:vAlign w:val="center"/>
          </w:tcPr>
          <w:p w:rsidR="00413707" w:rsidRDefault="00532CED">
            <w:pPr>
              <w:jc w:val="right"/>
            </w:pPr>
            <w:r>
              <w:rPr>
                <w:rFonts w:eastAsiaTheme="minorEastAsia"/>
                <w:color w:val="000000" w:themeColor="text1"/>
                <w:sz w:val="24"/>
              </w:rPr>
              <w:t>2.20%</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东吴证券股份有限公司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109,482,672.46</w:t>
            </w:r>
          </w:p>
        </w:tc>
        <w:tc>
          <w:tcPr>
            <w:tcW w:w="1080" w:type="dxa"/>
            <w:vAlign w:val="center"/>
          </w:tcPr>
          <w:p w:rsidR="00413707" w:rsidRDefault="00532CED">
            <w:pPr>
              <w:jc w:val="right"/>
            </w:pPr>
            <w:r>
              <w:rPr>
                <w:rFonts w:eastAsiaTheme="minorEastAsia"/>
                <w:color w:val="000000" w:themeColor="text1"/>
                <w:sz w:val="24"/>
              </w:rPr>
              <w:t>12.42%</w:t>
            </w:r>
          </w:p>
        </w:tc>
        <w:tc>
          <w:tcPr>
            <w:tcW w:w="1620" w:type="dxa"/>
            <w:vAlign w:val="center"/>
          </w:tcPr>
          <w:p w:rsidR="00413707" w:rsidRDefault="00532CED">
            <w:pPr>
              <w:jc w:val="right"/>
            </w:pPr>
            <w:r>
              <w:rPr>
                <w:rFonts w:eastAsiaTheme="minorEastAsia"/>
                <w:color w:val="000000" w:themeColor="text1"/>
                <w:sz w:val="24"/>
              </w:rPr>
              <w:t>101,961.98</w:t>
            </w:r>
          </w:p>
        </w:tc>
        <w:tc>
          <w:tcPr>
            <w:tcW w:w="1080" w:type="dxa"/>
            <w:vAlign w:val="center"/>
          </w:tcPr>
          <w:p w:rsidR="00413707" w:rsidRDefault="00532CED">
            <w:pPr>
              <w:jc w:val="right"/>
            </w:pPr>
            <w:r>
              <w:rPr>
                <w:rFonts w:eastAsiaTheme="minorEastAsia"/>
                <w:color w:val="000000" w:themeColor="text1"/>
                <w:sz w:val="24"/>
              </w:rPr>
              <w:t>12.42%</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德</w:t>
            </w:r>
            <w:proofErr w:type="gramStart"/>
            <w:r>
              <w:rPr>
                <w:rFonts w:eastAsiaTheme="minorEastAsia"/>
                <w:color w:val="000000" w:themeColor="text1"/>
                <w:sz w:val="24"/>
              </w:rPr>
              <w:t>邦</w:t>
            </w:r>
            <w:proofErr w:type="gramEnd"/>
            <w:r>
              <w:rPr>
                <w:rFonts w:eastAsiaTheme="minorEastAsia"/>
                <w:color w:val="000000" w:themeColor="text1"/>
                <w:sz w:val="24"/>
              </w:rPr>
              <w:t>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东莞证券股份有限公司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北京高华证券有限责任公司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广发证券股份有限公司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华安证券股份有限公司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平安证券股份有限公司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中泰证券股份有限公司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中国中投证券有限责任公司</w:t>
            </w:r>
          </w:p>
        </w:tc>
        <w:tc>
          <w:tcPr>
            <w:tcW w:w="780" w:type="dxa"/>
            <w:vAlign w:val="center"/>
          </w:tcPr>
          <w:p w:rsidR="00413707" w:rsidRDefault="00532CED">
            <w:pPr>
              <w:jc w:val="right"/>
            </w:pPr>
            <w:r>
              <w:rPr>
                <w:rFonts w:eastAsiaTheme="minorEastAsia"/>
                <w:color w:val="000000" w:themeColor="text1"/>
                <w:sz w:val="24"/>
              </w:rPr>
              <w:t>1</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r w:rsidR="00413707">
        <w:tc>
          <w:tcPr>
            <w:tcW w:w="1560" w:type="dxa"/>
            <w:vAlign w:val="center"/>
          </w:tcPr>
          <w:p w:rsidR="00413707" w:rsidRDefault="00532CED">
            <w:pPr>
              <w:jc w:val="left"/>
            </w:pPr>
            <w:r>
              <w:rPr>
                <w:rFonts w:eastAsiaTheme="minorEastAsia"/>
                <w:color w:val="000000" w:themeColor="text1"/>
                <w:sz w:val="24"/>
              </w:rPr>
              <w:t>中信证券股份有限公司</w:t>
            </w:r>
          </w:p>
        </w:tc>
        <w:tc>
          <w:tcPr>
            <w:tcW w:w="780" w:type="dxa"/>
            <w:vAlign w:val="center"/>
          </w:tcPr>
          <w:p w:rsidR="00413707" w:rsidRDefault="00532CED">
            <w:pPr>
              <w:jc w:val="right"/>
            </w:pPr>
            <w:r>
              <w:rPr>
                <w:rFonts w:eastAsiaTheme="minorEastAsia"/>
                <w:color w:val="000000" w:themeColor="text1"/>
                <w:sz w:val="24"/>
              </w:rPr>
              <w:t>2</w:t>
            </w:r>
          </w:p>
        </w:tc>
        <w:tc>
          <w:tcPr>
            <w:tcW w:w="180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62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right"/>
            </w:pPr>
            <w:r>
              <w:rPr>
                <w:rFonts w:eastAsiaTheme="minorEastAsia"/>
                <w:color w:val="000000" w:themeColor="text1"/>
                <w:sz w:val="24"/>
              </w:rPr>
              <w:t>-</w:t>
            </w:r>
          </w:p>
        </w:tc>
        <w:tc>
          <w:tcPr>
            <w:tcW w:w="1080" w:type="dxa"/>
            <w:vAlign w:val="center"/>
          </w:tcPr>
          <w:p w:rsidR="00413707" w:rsidRDefault="00532CED">
            <w:pPr>
              <w:jc w:val="left"/>
            </w:pPr>
            <w:r>
              <w:rPr>
                <w:rFonts w:eastAsiaTheme="minorEastAsia"/>
                <w:color w:val="000000" w:themeColor="text1"/>
                <w:sz w:val="24"/>
              </w:rPr>
              <w:t>-</w:t>
            </w:r>
          </w:p>
        </w:tc>
      </w:tr>
    </w:tbl>
    <w:p w:rsidR="008907C3" w:rsidRPr="008907C3" w:rsidRDefault="002C2072" w:rsidP="00410ACC">
      <w:pPr>
        <w:autoSpaceDE w:val="0"/>
        <w:autoSpaceDN w:val="0"/>
        <w:adjustRightInd w:val="0"/>
        <w:spacing w:line="360" w:lineRule="auto"/>
        <w:jc w:val="left"/>
        <w:rPr>
          <w:rFonts w:eastAsiaTheme="minorEastAsia"/>
          <w:color w:val="000000" w:themeColor="text1"/>
          <w:sz w:val="24"/>
        </w:rPr>
      </w:pPr>
      <w:r w:rsidRPr="00F74F88">
        <w:rPr>
          <w:rFonts w:eastAsiaTheme="minorEastAsia"/>
          <w:color w:val="000000" w:themeColor="text1"/>
          <w:sz w:val="24"/>
        </w:rPr>
        <w:t>注：</w:t>
      </w:r>
      <w:r w:rsidR="008907C3" w:rsidRPr="008907C3">
        <w:rPr>
          <w:rFonts w:eastAsiaTheme="minorEastAsia" w:hint="eastAsia"/>
          <w:color w:val="000000" w:themeColor="text1"/>
          <w:sz w:val="24"/>
        </w:rPr>
        <w:t>1</w:t>
      </w:r>
      <w:r w:rsidR="008907C3" w:rsidRPr="008907C3">
        <w:rPr>
          <w:rFonts w:eastAsiaTheme="minorEastAsia" w:hint="eastAsia"/>
          <w:color w:val="000000" w:themeColor="text1"/>
          <w:sz w:val="24"/>
        </w:rPr>
        <w:t>、报告期内，本基金新增加交易单元为西部证券股份有限公司，其它交易单元未发生变化；</w:t>
      </w:r>
    </w:p>
    <w:p w:rsidR="008907C3" w:rsidRPr="008907C3" w:rsidRDefault="008907C3" w:rsidP="00410ACC">
      <w:pPr>
        <w:autoSpaceDE w:val="0"/>
        <w:autoSpaceDN w:val="0"/>
        <w:adjustRightInd w:val="0"/>
        <w:spacing w:line="360" w:lineRule="auto"/>
        <w:jc w:val="left"/>
        <w:rPr>
          <w:rFonts w:eastAsiaTheme="minorEastAsia"/>
          <w:color w:val="000000" w:themeColor="text1"/>
          <w:sz w:val="24"/>
        </w:rPr>
      </w:pPr>
      <w:r w:rsidRPr="008907C3">
        <w:rPr>
          <w:rFonts w:eastAsiaTheme="minorEastAsia" w:hint="eastAsia"/>
          <w:color w:val="000000" w:themeColor="text1"/>
          <w:sz w:val="24"/>
        </w:rPr>
        <w:t xml:space="preserve">    2</w:t>
      </w:r>
      <w:r w:rsidRPr="008907C3">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8907C3" w:rsidP="00410ACC">
      <w:pPr>
        <w:autoSpaceDE w:val="0"/>
        <w:autoSpaceDN w:val="0"/>
        <w:adjustRightInd w:val="0"/>
        <w:spacing w:line="360" w:lineRule="auto"/>
        <w:jc w:val="left"/>
        <w:rPr>
          <w:rFonts w:eastAsiaTheme="minorEastAsia"/>
          <w:color w:val="000000" w:themeColor="text1"/>
          <w:sz w:val="24"/>
        </w:rPr>
      </w:pPr>
      <w:r w:rsidRPr="008907C3">
        <w:rPr>
          <w:rFonts w:eastAsiaTheme="minorEastAsia" w:hint="eastAsia"/>
          <w:color w:val="000000" w:themeColor="text1"/>
          <w:sz w:val="24"/>
        </w:rPr>
        <w:t xml:space="preserve">    3</w:t>
      </w:r>
      <w:r w:rsidRPr="008907C3">
        <w:rPr>
          <w:rFonts w:eastAsiaTheme="minorEastAsia" w:hint="eastAsia"/>
          <w:color w:val="000000" w:themeColor="text1"/>
          <w:sz w:val="24"/>
        </w:rPr>
        <w:t>、租用证券公司交易单元的程序：首先根据租用证券公司交易单元的选择标准进</w:t>
      </w:r>
      <w:r w:rsidRPr="008907C3">
        <w:rPr>
          <w:rFonts w:eastAsiaTheme="minorEastAsia" w:hint="eastAsia"/>
          <w:color w:val="000000" w:themeColor="text1"/>
          <w:sz w:val="24"/>
        </w:rPr>
        <w:lastRenderedPageBreak/>
        <w:t>行综合评价，然后根据评价选择基金交易单元。研究部提交方案，并上报公司批准。</w:t>
      </w:r>
    </w:p>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304"/>
    </w:p>
    <w:p w:rsidR="002C2072" w:rsidRPr="00F74F88" w:rsidRDefault="008907C3" w:rsidP="00F74F8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r w:rsidR="0075011B">
        <w:rPr>
          <w:rFonts w:eastAsiaTheme="minorEastAsia" w:hint="eastAsia"/>
          <w:color w:val="000000" w:themeColor="text1"/>
          <w:sz w:val="24"/>
        </w:rPr>
        <w:t>。</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5" w:name="_Toc361324901"/>
      <w:bookmarkStart w:id="306" w:name="_Toc4167250"/>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305"/>
      <w:bookmarkEnd w:id="3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13707">
        <w:tc>
          <w:tcPr>
            <w:tcW w:w="720" w:type="dxa"/>
            <w:vAlign w:val="center"/>
          </w:tcPr>
          <w:p w:rsidR="00413707" w:rsidRDefault="00532CED">
            <w:pPr>
              <w:jc w:val="center"/>
            </w:pPr>
            <w:r>
              <w:rPr>
                <w:color w:val="000000"/>
                <w:sz w:val="24"/>
              </w:rPr>
              <w:t>1</w:t>
            </w:r>
          </w:p>
        </w:tc>
        <w:tc>
          <w:tcPr>
            <w:tcW w:w="4320" w:type="dxa"/>
            <w:vAlign w:val="center"/>
          </w:tcPr>
          <w:p w:rsidR="00413707" w:rsidRDefault="00532CED">
            <w:pPr>
              <w:jc w:val="left"/>
            </w:pPr>
            <w:r>
              <w:rPr>
                <w:color w:val="000000"/>
                <w:sz w:val="24"/>
              </w:rPr>
              <w:t>交银施罗德基金管理有限公司关于旗下基金缴纳增值税的提示性公告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2018-01-03</w:t>
            </w:r>
          </w:p>
        </w:tc>
      </w:tr>
      <w:tr w:rsidR="00413707">
        <w:tc>
          <w:tcPr>
            <w:tcW w:w="720" w:type="dxa"/>
            <w:vAlign w:val="center"/>
          </w:tcPr>
          <w:p w:rsidR="00413707" w:rsidRDefault="00532CED">
            <w:pPr>
              <w:jc w:val="center"/>
            </w:pPr>
            <w:r>
              <w:rPr>
                <w:color w:val="000000"/>
                <w:sz w:val="24"/>
              </w:rPr>
              <w:t>2</w:t>
            </w:r>
          </w:p>
        </w:tc>
        <w:tc>
          <w:tcPr>
            <w:tcW w:w="4320" w:type="dxa"/>
            <w:vAlign w:val="center"/>
          </w:tcPr>
          <w:p w:rsidR="00413707" w:rsidRDefault="00532CED">
            <w:pPr>
              <w:jc w:val="left"/>
            </w:pPr>
            <w:r>
              <w:rPr>
                <w:color w:val="000000"/>
                <w:sz w:val="24"/>
              </w:rPr>
              <w:t>交银施罗德股息优化混合型证券投资基金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2018-01-22</w:t>
            </w:r>
          </w:p>
        </w:tc>
      </w:tr>
      <w:tr w:rsidR="00413707">
        <w:tc>
          <w:tcPr>
            <w:tcW w:w="720" w:type="dxa"/>
            <w:vAlign w:val="center"/>
          </w:tcPr>
          <w:p w:rsidR="00413707" w:rsidRDefault="00532CED">
            <w:pPr>
              <w:jc w:val="center"/>
            </w:pPr>
            <w:r>
              <w:rPr>
                <w:color w:val="000000"/>
                <w:sz w:val="24"/>
              </w:rPr>
              <w:t>3</w:t>
            </w:r>
          </w:p>
        </w:tc>
        <w:tc>
          <w:tcPr>
            <w:tcW w:w="4320" w:type="dxa"/>
            <w:vAlign w:val="center"/>
          </w:tcPr>
          <w:p w:rsidR="00413707" w:rsidRDefault="00532CED">
            <w:pPr>
              <w:jc w:val="left"/>
            </w:pPr>
            <w:r>
              <w:rPr>
                <w:color w:val="000000"/>
                <w:sz w:val="24"/>
              </w:rPr>
              <w:t>交银施罗德基金管理有限公司关于旗下基金所持停牌股票估值调整的公告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2018-01-30</w:t>
            </w:r>
          </w:p>
        </w:tc>
      </w:tr>
      <w:tr w:rsidR="00413707">
        <w:tc>
          <w:tcPr>
            <w:tcW w:w="720" w:type="dxa"/>
            <w:vAlign w:val="center"/>
          </w:tcPr>
          <w:p w:rsidR="00413707" w:rsidRDefault="00532CED">
            <w:pPr>
              <w:jc w:val="center"/>
            </w:pPr>
            <w:r>
              <w:rPr>
                <w:color w:val="000000"/>
                <w:sz w:val="24"/>
              </w:rPr>
              <w:t>4</w:t>
            </w:r>
          </w:p>
        </w:tc>
        <w:tc>
          <w:tcPr>
            <w:tcW w:w="4320" w:type="dxa"/>
            <w:vAlign w:val="center"/>
          </w:tcPr>
          <w:p w:rsidR="00413707" w:rsidRDefault="00532CED">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2018-01-31</w:t>
            </w:r>
          </w:p>
        </w:tc>
      </w:tr>
      <w:tr w:rsidR="00413707">
        <w:tc>
          <w:tcPr>
            <w:tcW w:w="720" w:type="dxa"/>
            <w:vAlign w:val="center"/>
          </w:tcPr>
          <w:p w:rsidR="00413707" w:rsidRDefault="00532CED">
            <w:pPr>
              <w:jc w:val="center"/>
            </w:pPr>
            <w:r>
              <w:rPr>
                <w:color w:val="000000"/>
                <w:sz w:val="24"/>
              </w:rPr>
              <w:t>5</w:t>
            </w:r>
          </w:p>
        </w:tc>
        <w:tc>
          <w:tcPr>
            <w:tcW w:w="4320" w:type="dxa"/>
            <w:vAlign w:val="center"/>
          </w:tcPr>
          <w:p w:rsidR="00413707" w:rsidRDefault="00532CED">
            <w:pPr>
              <w:jc w:val="left"/>
            </w:pPr>
            <w:r>
              <w:rPr>
                <w:color w:val="000000"/>
                <w:sz w:val="24"/>
              </w:rPr>
              <w:t>交银施罗德基金管理有限公司关于交银施罗德股息优化混合型证券投资基金修改基金合同的公告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2018-03-22</w:t>
            </w:r>
          </w:p>
        </w:tc>
      </w:tr>
      <w:tr w:rsidR="00413707">
        <w:tc>
          <w:tcPr>
            <w:tcW w:w="720" w:type="dxa"/>
            <w:vAlign w:val="center"/>
          </w:tcPr>
          <w:p w:rsidR="00413707" w:rsidRDefault="00532CED">
            <w:pPr>
              <w:jc w:val="center"/>
            </w:pPr>
            <w:r>
              <w:rPr>
                <w:color w:val="000000"/>
                <w:sz w:val="24"/>
              </w:rPr>
              <w:t>6</w:t>
            </w:r>
          </w:p>
        </w:tc>
        <w:tc>
          <w:tcPr>
            <w:tcW w:w="4320" w:type="dxa"/>
            <w:vAlign w:val="center"/>
          </w:tcPr>
          <w:p w:rsidR="00413707" w:rsidRDefault="00532CED">
            <w:pPr>
              <w:jc w:val="left"/>
            </w:pPr>
            <w:r>
              <w:rPr>
                <w:color w:val="000000"/>
                <w:sz w:val="24"/>
              </w:rPr>
              <w:t>交银施罗德股息优化混合型证券投资基金</w:t>
            </w:r>
            <w:r>
              <w:rPr>
                <w:color w:val="000000"/>
                <w:sz w:val="24"/>
              </w:rPr>
              <w:t>2017</w:t>
            </w:r>
            <w:r>
              <w:rPr>
                <w:color w:val="000000"/>
                <w:sz w:val="24"/>
              </w:rPr>
              <w:t>年年度报告摘要</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2018-03-28</w:t>
            </w:r>
          </w:p>
        </w:tc>
      </w:tr>
      <w:tr w:rsidR="00413707">
        <w:tc>
          <w:tcPr>
            <w:tcW w:w="720" w:type="dxa"/>
            <w:vAlign w:val="center"/>
          </w:tcPr>
          <w:p w:rsidR="00413707" w:rsidRDefault="00532CED">
            <w:pPr>
              <w:jc w:val="center"/>
            </w:pPr>
            <w:r>
              <w:rPr>
                <w:color w:val="000000"/>
                <w:sz w:val="24"/>
              </w:rPr>
              <w:t>7</w:t>
            </w:r>
          </w:p>
        </w:tc>
        <w:tc>
          <w:tcPr>
            <w:tcW w:w="4320" w:type="dxa"/>
            <w:vAlign w:val="center"/>
          </w:tcPr>
          <w:p w:rsidR="00413707" w:rsidRDefault="00532CE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2018-03-30</w:t>
            </w:r>
          </w:p>
        </w:tc>
      </w:tr>
      <w:tr w:rsidR="00413707">
        <w:tc>
          <w:tcPr>
            <w:tcW w:w="720" w:type="dxa"/>
            <w:vAlign w:val="center"/>
          </w:tcPr>
          <w:p w:rsidR="00413707" w:rsidRDefault="00532CED">
            <w:pPr>
              <w:jc w:val="center"/>
            </w:pPr>
            <w:r>
              <w:rPr>
                <w:color w:val="000000"/>
                <w:sz w:val="24"/>
              </w:rPr>
              <w:t>8</w:t>
            </w:r>
          </w:p>
        </w:tc>
        <w:tc>
          <w:tcPr>
            <w:tcW w:w="4320" w:type="dxa"/>
            <w:vAlign w:val="center"/>
          </w:tcPr>
          <w:p w:rsidR="00413707" w:rsidRDefault="00532CED">
            <w:pPr>
              <w:jc w:val="left"/>
            </w:pPr>
            <w:r>
              <w:rPr>
                <w:color w:val="000000"/>
                <w:sz w:val="24"/>
              </w:rPr>
              <w:t>交银施罗德股息优化混合型证券投资基金（更新）招募说明书摘要（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2018-04-11</w:t>
            </w:r>
          </w:p>
        </w:tc>
      </w:tr>
      <w:tr w:rsidR="00413707">
        <w:tc>
          <w:tcPr>
            <w:tcW w:w="720" w:type="dxa"/>
            <w:vAlign w:val="center"/>
          </w:tcPr>
          <w:p w:rsidR="00413707" w:rsidRDefault="00532CED">
            <w:pPr>
              <w:jc w:val="center"/>
            </w:pPr>
            <w:r>
              <w:rPr>
                <w:color w:val="000000"/>
                <w:sz w:val="24"/>
              </w:rPr>
              <w:t>9</w:t>
            </w:r>
          </w:p>
        </w:tc>
        <w:tc>
          <w:tcPr>
            <w:tcW w:w="4320" w:type="dxa"/>
            <w:vAlign w:val="center"/>
          </w:tcPr>
          <w:p w:rsidR="00413707" w:rsidRDefault="00532CED">
            <w:pPr>
              <w:jc w:val="left"/>
            </w:pPr>
            <w:r>
              <w:rPr>
                <w:color w:val="000000"/>
                <w:sz w:val="24"/>
              </w:rPr>
              <w:t>交银施罗德基金管理有限公司关于旗下基金所持停牌股票估值调整的公告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2018-04-21</w:t>
            </w:r>
          </w:p>
        </w:tc>
      </w:tr>
      <w:tr w:rsidR="00413707">
        <w:tc>
          <w:tcPr>
            <w:tcW w:w="720" w:type="dxa"/>
            <w:vAlign w:val="center"/>
          </w:tcPr>
          <w:p w:rsidR="00413707" w:rsidRDefault="00532CED">
            <w:pPr>
              <w:jc w:val="center"/>
            </w:pPr>
            <w:r>
              <w:rPr>
                <w:color w:val="000000"/>
                <w:sz w:val="24"/>
              </w:rPr>
              <w:t>10</w:t>
            </w:r>
          </w:p>
        </w:tc>
        <w:tc>
          <w:tcPr>
            <w:tcW w:w="4320" w:type="dxa"/>
            <w:vAlign w:val="center"/>
          </w:tcPr>
          <w:p w:rsidR="00413707" w:rsidRDefault="00532CED">
            <w:pPr>
              <w:jc w:val="left"/>
            </w:pPr>
            <w:r>
              <w:rPr>
                <w:color w:val="000000"/>
                <w:sz w:val="24"/>
              </w:rPr>
              <w:t>交银施罗德股息优化混合型证券投资基金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2018-04-21</w:t>
            </w:r>
          </w:p>
        </w:tc>
      </w:tr>
      <w:tr w:rsidR="00413707">
        <w:tc>
          <w:tcPr>
            <w:tcW w:w="720" w:type="dxa"/>
            <w:vAlign w:val="center"/>
          </w:tcPr>
          <w:p w:rsidR="00413707" w:rsidRDefault="00532CED">
            <w:pPr>
              <w:jc w:val="center"/>
            </w:pPr>
            <w:r>
              <w:rPr>
                <w:color w:val="000000"/>
                <w:sz w:val="24"/>
              </w:rPr>
              <w:t>11</w:t>
            </w:r>
          </w:p>
        </w:tc>
        <w:tc>
          <w:tcPr>
            <w:tcW w:w="4320" w:type="dxa"/>
            <w:vAlign w:val="center"/>
          </w:tcPr>
          <w:p w:rsidR="00413707" w:rsidRDefault="00532CED">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2018-06-01</w:t>
            </w:r>
          </w:p>
        </w:tc>
      </w:tr>
      <w:tr w:rsidR="00413707">
        <w:tc>
          <w:tcPr>
            <w:tcW w:w="720" w:type="dxa"/>
            <w:vAlign w:val="center"/>
          </w:tcPr>
          <w:p w:rsidR="00413707" w:rsidRDefault="00532CED">
            <w:pPr>
              <w:jc w:val="center"/>
            </w:pPr>
            <w:r>
              <w:rPr>
                <w:color w:val="000000"/>
                <w:sz w:val="24"/>
              </w:rPr>
              <w:t>12</w:t>
            </w:r>
          </w:p>
        </w:tc>
        <w:tc>
          <w:tcPr>
            <w:tcW w:w="4320" w:type="dxa"/>
            <w:vAlign w:val="center"/>
          </w:tcPr>
          <w:p w:rsidR="00413707" w:rsidRDefault="00532CED">
            <w:pPr>
              <w:jc w:val="left"/>
            </w:pPr>
            <w:r>
              <w:rPr>
                <w:color w:val="000000"/>
                <w:sz w:val="24"/>
              </w:rPr>
              <w:t>交银施罗德基金管理有限公司关于旗下部分基金参加交通银行股份有限公司手机银行基金前端申购（含定期定额投</w:t>
            </w:r>
            <w:r>
              <w:rPr>
                <w:color w:val="000000"/>
                <w:sz w:val="24"/>
              </w:rPr>
              <w:lastRenderedPageBreak/>
              <w:t>资）费率优惠活动以及参加网上银行定期定额投资费率优惠活动的公告</w:t>
            </w:r>
          </w:p>
        </w:tc>
        <w:tc>
          <w:tcPr>
            <w:tcW w:w="2331" w:type="dxa"/>
            <w:vAlign w:val="center"/>
          </w:tcPr>
          <w:p w:rsidR="00413707" w:rsidRDefault="00532CED">
            <w:pPr>
              <w:jc w:val="center"/>
            </w:pPr>
            <w:r>
              <w:rPr>
                <w:color w:val="000000"/>
                <w:sz w:val="24"/>
              </w:rPr>
              <w:lastRenderedPageBreak/>
              <w:t>中国证券报、上海证券报、证券时报</w:t>
            </w:r>
          </w:p>
        </w:tc>
        <w:tc>
          <w:tcPr>
            <w:tcW w:w="1629" w:type="dxa"/>
            <w:vAlign w:val="center"/>
          </w:tcPr>
          <w:p w:rsidR="00413707" w:rsidRDefault="00532CED">
            <w:pPr>
              <w:jc w:val="center"/>
            </w:pPr>
            <w:r>
              <w:rPr>
                <w:color w:val="000000"/>
                <w:sz w:val="24"/>
              </w:rPr>
              <w:t>2018-06-30</w:t>
            </w:r>
          </w:p>
        </w:tc>
      </w:tr>
      <w:tr w:rsidR="00413707">
        <w:tc>
          <w:tcPr>
            <w:tcW w:w="720" w:type="dxa"/>
            <w:vAlign w:val="center"/>
          </w:tcPr>
          <w:p w:rsidR="00413707" w:rsidRDefault="00532CED">
            <w:pPr>
              <w:jc w:val="center"/>
            </w:pPr>
            <w:r>
              <w:rPr>
                <w:color w:val="000000"/>
                <w:sz w:val="24"/>
              </w:rPr>
              <w:t>13</w:t>
            </w:r>
          </w:p>
        </w:tc>
        <w:tc>
          <w:tcPr>
            <w:tcW w:w="4320" w:type="dxa"/>
            <w:vAlign w:val="center"/>
          </w:tcPr>
          <w:p w:rsidR="00413707" w:rsidRDefault="00532CED">
            <w:pPr>
              <w:jc w:val="left"/>
            </w:pPr>
            <w:r>
              <w:rPr>
                <w:color w:val="000000"/>
                <w:sz w:val="24"/>
              </w:rPr>
              <w:t>交银施罗德基金管理有限公司关于高级管理人员变更的公告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2018-06-30</w:t>
            </w:r>
          </w:p>
        </w:tc>
      </w:tr>
      <w:tr w:rsidR="00413707">
        <w:tc>
          <w:tcPr>
            <w:tcW w:w="720" w:type="dxa"/>
            <w:vAlign w:val="center"/>
          </w:tcPr>
          <w:p w:rsidR="00413707" w:rsidRDefault="00532CED">
            <w:pPr>
              <w:jc w:val="center"/>
            </w:pPr>
            <w:r>
              <w:rPr>
                <w:color w:val="000000"/>
                <w:sz w:val="24"/>
              </w:rPr>
              <w:t>14</w:t>
            </w:r>
          </w:p>
        </w:tc>
        <w:tc>
          <w:tcPr>
            <w:tcW w:w="4320" w:type="dxa"/>
            <w:vAlign w:val="center"/>
          </w:tcPr>
          <w:p w:rsidR="00413707" w:rsidRDefault="00532CED">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2018-07-09</w:t>
            </w:r>
          </w:p>
        </w:tc>
      </w:tr>
      <w:tr w:rsidR="00413707">
        <w:tc>
          <w:tcPr>
            <w:tcW w:w="720" w:type="dxa"/>
            <w:vAlign w:val="center"/>
          </w:tcPr>
          <w:p w:rsidR="00413707" w:rsidRDefault="00532CED">
            <w:pPr>
              <w:jc w:val="center"/>
            </w:pPr>
            <w:r>
              <w:rPr>
                <w:color w:val="000000"/>
                <w:sz w:val="24"/>
              </w:rPr>
              <w:t>15</w:t>
            </w:r>
          </w:p>
        </w:tc>
        <w:tc>
          <w:tcPr>
            <w:tcW w:w="4320" w:type="dxa"/>
            <w:vAlign w:val="center"/>
          </w:tcPr>
          <w:p w:rsidR="00413707" w:rsidRDefault="00532CED">
            <w:pPr>
              <w:jc w:val="left"/>
            </w:pPr>
            <w:r>
              <w:rPr>
                <w:color w:val="000000"/>
                <w:sz w:val="24"/>
              </w:rPr>
              <w:t>交银施罗德股息优化混合型证券投资基金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2018-07-18</w:t>
            </w:r>
          </w:p>
        </w:tc>
      </w:tr>
      <w:tr w:rsidR="00413707">
        <w:tc>
          <w:tcPr>
            <w:tcW w:w="720" w:type="dxa"/>
            <w:vAlign w:val="center"/>
          </w:tcPr>
          <w:p w:rsidR="00413707" w:rsidRDefault="00532CED">
            <w:pPr>
              <w:jc w:val="center"/>
            </w:pPr>
            <w:r>
              <w:rPr>
                <w:color w:val="000000"/>
                <w:sz w:val="24"/>
              </w:rPr>
              <w:t>16</w:t>
            </w:r>
          </w:p>
        </w:tc>
        <w:tc>
          <w:tcPr>
            <w:tcW w:w="4320" w:type="dxa"/>
            <w:vAlign w:val="center"/>
          </w:tcPr>
          <w:p w:rsidR="00413707" w:rsidRDefault="00532CED">
            <w:pPr>
              <w:jc w:val="left"/>
            </w:pPr>
            <w:r>
              <w:rPr>
                <w:color w:val="000000"/>
                <w:sz w:val="24"/>
              </w:rPr>
              <w:t>交银施罗德股息优化混合型证券投资基金</w:t>
            </w:r>
            <w:r>
              <w:rPr>
                <w:color w:val="000000"/>
                <w:sz w:val="24"/>
              </w:rPr>
              <w:t>2018</w:t>
            </w:r>
            <w:r>
              <w:rPr>
                <w:color w:val="000000"/>
                <w:sz w:val="24"/>
              </w:rPr>
              <w:t>年半年度报告摘要</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2018-08-25</w:t>
            </w:r>
          </w:p>
        </w:tc>
      </w:tr>
      <w:tr w:rsidR="00413707">
        <w:tc>
          <w:tcPr>
            <w:tcW w:w="720" w:type="dxa"/>
            <w:vAlign w:val="center"/>
          </w:tcPr>
          <w:p w:rsidR="00413707" w:rsidRDefault="00532CED">
            <w:pPr>
              <w:jc w:val="center"/>
            </w:pPr>
            <w:r>
              <w:rPr>
                <w:color w:val="000000"/>
                <w:sz w:val="24"/>
              </w:rPr>
              <w:t>17</w:t>
            </w:r>
          </w:p>
        </w:tc>
        <w:tc>
          <w:tcPr>
            <w:tcW w:w="4320" w:type="dxa"/>
            <w:vAlign w:val="center"/>
          </w:tcPr>
          <w:p w:rsidR="00413707" w:rsidRDefault="00532CED">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2018-09-03</w:t>
            </w:r>
          </w:p>
        </w:tc>
      </w:tr>
      <w:tr w:rsidR="00413707">
        <w:tc>
          <w:tcPr>
            <w:tcW w:w="720" w:type="dxa"/>
            <w:vAlign w:val="center"/>
          </w:tcPr>
          <w:p w:rsidR="00413707" w:rsidRDefault="00532CED">
            <w:pPr>
              <w:jc w:val="center"/>
            </w:pPr>
            <w:r>
              <w:rPr>
                <w:color w:val="000000"/>
                <w:sz w:val="24"/>
              </w:rPr>
              <w:t>18</w:t>
            </w:r>
          </w:p>
        </w:tc>
        <w:tc>
          <w:tcPr>
            <w:tcW w:w="4320" w:type="dxa"/>
            <w:vAlign w:val="center"/>
          </w:tcPr>
          <w:p w:rsidR="00413707" w:rsidRDefault="00532CED">
            <w:pPr>
              <w:jc w:val="left"/>
            </w:pPr>
            <w:r>
              <w:rPr>
                <w:color w:val="000000"/>
                <w:sz w:val="24"/>
              </w:rPr>
              <w:t>交银施罗德基金管理有限公司关于督察长任职的公告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2018-09-28</w:t>
            </w:r>
          </w:p>
        </w:tc>
      </w:tr>
      <w:tr w:rsidR="00413707">
        <w:tc>
          <w:tcPr>
            <w:tcW w:w="720" w:type="dxa"/>
            <w:vAlign w:val="center"/>
          </w:tcPr>
          <w:p w:rsidR="00413707" w:rsidRDefault="00532CED">
            <w:pPr>
              <w:jc w:val="center"/>
            </w:pPr>
            <w:r>
              <w:rPr>
                <w:color w:val="000000"/>
                <w:sz w:val="24"/>
              </w:rPr>
              <w:t>19</w:t>
            </w:r>
          </w:p>
        </w:tc>
        <w:tc>
          <w:tcPr>
            <w:tcW w:w="4320" w:type="dxa"/>
            <w:vAlign w:val="center"/>
          </w:tcPr>
          <w:p w:rsidR="00413707" w:rsidRDefault="00532CE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2018-09-29</w:t>
            </w:r>
          </w:p>
        </w:tc>
      </w:tr>
      <w:tr w:rsidR="00413707">
        <w:tc>
          <w:tcPr>
            <w:tcW w:w="720" w:type="dxa"/>
            <w:vAlign w:val="center"/>
          </w:tcPr>
          <w:p w:rsidR="00413707" w:rsidRDefault="00532CED">
            <w:pPr>
              <w:jc w:val="center"/>
            </w:pPr>
            <w:r>
              <w:rPr>
                <w:color w:val="000000"/>
                <w:sz w:val="24"/>
              </w:rPr>
              <w:t>20</w:t>
            </w:r>
          </w:p>
        </w:tc>
        <w:tc>
          <w:tcPr>
            <w:tcW w:w="4320" w:type="dxa"/>
            <w:vAlign w:val="center"/>
          </w:tcPr>
          <w:p w:rsidR="00413707" w:rsidRDefault="00532CED">
            <w:pPr>
              <w:jc w:val="left"/>
            </w:pPr>
            <w:r>
              <w:rPr>
                <w:color w:val="000000"/>
                <w:sz w:val="24"/>
              </w:rPr>
              <w:t>交银施罗德股息优化混合型证券投资基金（更新）招募说明书摘要（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2018-10-09</w:t>
            </w:r>
          </w:p>
        </w:tc>
      </w:tr>
      <w:tr w:rsidR="00413707">
        <w:tc>
          <w:tcPr>
            <w:tcW w:w="720" w:type="dxa"/>
            <w:vAlign w:val="center"/>
          </w:tcPr>
          <w:p w:rsidR="00413707" w:rsidRDefault="00532CED">
            <w:pPr>
              <w:jc w:val="center"/>
            </w:pPr>
            <w:r>
              <w:rPr>
                <w:color w:val="000000"/>
                <w:sz w:val="24"/>
              </w:rPr>
              <w:t>21</w:t>
            </w:r>
          </w:p>
        </w:tc>
        <w:tc>
          <w:tcPr>
            <w:tcW w:w="4320" w:type="dxa"/>
            <w:vAlign w:val="center"/>
          </w:tcPr>
          <w:p w:rsidR="00413707" w:rsidRDefault="00532CED">
            <w:pPr>
              <w:jc w:val="left"/>
            </w:pPr>
            <w:r>
              <w:rPr>
                <w:color w:val="000000"/>
                <w:sz w:val="24"/>
              </w:rPr>
              <w:t>交银施罗德基金管理有限公司董事变更公告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2018-10-20</w:t>
            </w:r>
          </w:p>
        </w:tc>
      </w:tr>
      <w:tr w:rsidR="00413707">
        <w:tc>
          <w:tcPr>
            <w:tcW w:w="720" w:type="dxa"/>
            <w:vAlign w:val="center"/>
          </w:tcPr>
          <w:p w:rsidR="00413707" w:rsidRDefault="00532CED">
            <w:pPr>
              <w:jc w:val="center"/>
            </w:pPr>
            <w:r>
              <w:rPr>
                <w:color w:val="000000"/>
                <w:sz w:val="24"/>
              </w:rPr>
              <w:t>22</w:t>
            </w:r>
          </w:p>
        </w:tc>
        <w:tc>
          <w:tcPr>
            <w:tcW w:w="4320" w:type="dxa"/>
            <w:vAlign w:val="center"/>
          </w:tcPr>
          <w:p w:rsidR="00413707" w:rsidRDefault="00532CED">
            <w:pPr>
              <w:jc w:val="left"/>
            </w:pPr>
            <w:r>
              <w:rPr>
                <w:color w:val="000000"/>
                <w:sz w:val="24"/>
              </w:rPr>
              <w:t>交银施罗德基金管理有限公司关于董事长（法定代表人）变更的公告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2018-10-20</w:t>
            </w:r>
          </w:p>
        </w:tc>
      </w:tr>
      <w:tr w:rsidR="00413707">
        <w:tc>
          <w:tcPr>
            <w:tcW w:w="720" w:type="dxa"/>
            <w:vAlign w:val="center"/>
          </w:tcPr>
          <w:p w:rsidR="00413707" w:rsidRDefault="00532CED">
            <w:pPr>
              <w:jc w:val="center"/>
            </w:pPr>
            <w:r>
              <w:rPr>
                <w:color w:val="000000"/>
                <w:sz w:val="24"/>
              </w:rPr>
              <w:t>23</w:t>
            </w:r>
          </w:p>
        </w:tc>
        <w:tc>
          <w:tcPr>
            <w:tcW w:w="4320" w:type="dxa"/>
            <w:vAlign w:val="center"/>
          </w:tcPr>
          <w:p w:rsidR="00413707" w:rsidRDefault="00532CED">
            <w:pPr>
              <w:jc w:val="left"/>
            </w:pPr>
            <w:r>
              <w:rPr>
                <w:color w:val="000000"/>
                <w:sz w:val="24"/>
              </w:rPr>
              <w:t>交银施罗德股息优化混合型证券投资基金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2018-10-26</w:t>
            </w:r>
          </w:p>
        </w:tc>
      </w:tr>
      <w:tr w:rsidR="00413707">
        <w:tc>
          <w:tcPr>
            <w:tcW w:w="720" w:type="dxa"/>
            <w:vAlign w:val="center"/>
          </w:tcPr>
          <w:p w:rsidR="00413707" w:rsidRDefault="00532CED">
            <w:pPr>
              <w:jc w:val="center"/>
            </w:pPr>
            <w:r>
              <w:rPr>
                <w:color w:val="000000"/>
                <w:sz w:val="24"/>
              </w:rPr>
              <w:t>24</w:t>
            </w:r>
          </w:p>
        </w:tc>
        <w:tc>
          <w:tcPr>
            <w:tcW w:w="4320" w:type="dxa"/>
            <w:vAlign w:val="center"/>
          </w:tcPr>
          <w:p w:rsidR="00413707" w:rsidRDefault="00532CED">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2018-12-17</w:t>
            </w:r>
          </w:p>
        </w:tc>
      </w:tr>
      <w:tr w:rsidR="00413707">
        <w:tc>
          <w:tcPr>
            <w:tcW w:w="720" w:type="dxa"/>
            <w:vAlign w:val="center"/>
          </w:tcPr>
          <w:p w:rsidR="00413707" w:rsidRDefault="00532CED">
            <w:pPr>
              <w:jc w:val="center"/>
            </w:pPr>
            <w:r>
              <w:rPr>
                <w:color w:val="000000"/>
                <w:sz w:val="24"/>
              </w:rPr>
              <w:t>25</w:t>
            </w:r>
          </w:p>
        </w:tc>
        <w:tc>
          <w:tcPr>
            <w:tcW w:w="4320" w:type="dxa"/>
            <w:vAlign w:val="center"/>
          </w:tcPr>
          <w:p w:rsidR="00413707" w:rsidRDefault="00532CED">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413707" w:rsidRDefault="00532CED">
            <w:pPr>
              <w:jc w:val="center"/>
            </w:pPr>
            <w:r>
              <w:rPr>
                <w:color w:val="000000"/>
                <w:sz w:val="24"/>
              </w:rPr>
              <w:t>中国证券报、上海证券报、证券时报</w:t>
            </w:r>
          </w:p>
        </w:tc>
        <w:tc>
          <w:tcPr>
            <w:tcW w:w="1629" w:type="dxa"/>
            <w:vAlign w:val="center"/>
          </w:tcPr>
          <w:p w:rsidR="00413707" w:rsidRDefault="00532CED">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3F513C" w:rsidRDefault="00410ACC" w:rsidP="00044AA8">
      <w:pPr>
        <w:pStyle w:val="1"/>
        <w:keepNext/>
        <w:keepLines/>
        <w:widowControl w:val="0"/>
        <w:spacing w:beforeLines="100" w:before="312" w:afterLines="100" w:after="312" w:line="360" w:lineRule="auto"/>
        <w:jc w:val="center"/>
        <w:rPr>
          <w:rFonts w:eastAsiaTheme="minorEastAsia"/>
          <w:b/>
          <w:bCs/>
          <w:szCs w:val="24"/>
          <w:lang w:val="en-US"/>
        </w:rPr>
      </w:pPr>
      <w:bookmarkStart w:id="307" w:name="_Toc374532345"/>
      <w:bookmarkStart w:id="308" w:name="_Toc4167251"/>
      <w:r w:rsidRPr="0004693B">
        <w:rPr>
          <w:rFonts w:hint="eastAsia"/>
          <w:b/>
          <w:bCs/>
          <w:color w:val="000000"/>
          <w:szCs w:val="24"/>
        </w:rPr>
        <w:lastRenderedPageBreak/>
        <w:t>§</w:t>
      </w:r>
      <w:r w:rsidR="00C557DF" w:rsidRPr="003F513C">
        <w:rPr>
          <w:rFonts w:eastAsiaTheme="minorEastAsia"/>
          <w:b/>
          <w:bCs/>
          <w:szCs w:val="24"/>
          <w:lang w:val="en-US"/>
        </w:rPr>
        <w:t xml:space="preserve">12  </w:t>
      </w:r>
      <w:r w:rsidR="00C557DF" w:rsidRPr="003F513C">
        <w:rPr>
          <w:rFonts w:eastAsiaTheme="minorEastAsia" w:hint="eastAsia"/>
          <w:b/>
          <w:bCs/>
          <w:szCs w:val="24"/>
          <w:lang w:val="en-US"/>
        </w:rPr>
        <w:t>影响投资者决策的其他重要信息</w:t>
      </w:r>
      <w:bookmarkEnd w:id="307"/>
      <w:bookmarkEnd w:id="308"/>
    </w:p>
    <w:p w:rsidR="00C557DF" w:rsidRPr="00FF5BB0" w:rsidRDefault="00C557DF" w:rsidP="00FF5BB0">
      <w:pPr>
        <w:pStyle w:val="20"/>
        <w:spacing w:before="29" w:after="0" w:line="288" w:lineRule="auto"/>
        <w:rPr>
          <w:rFonts w:ascii="Times New Roman" w:hAnsi="Times New Roman"/>
          <w:kern w:val="0"/>
          <w:szCs w:val="24"/>
        </w:rPr>
      </w:pPr>
      <w:bookmarkStart w:id="309" w:name="_Toc4167252"/>
      <w:r w:rsidRPr="00FF5BB0">
        <w:rPr>
          <w:rFonts w:ascii="Times New Roman" w:hAnsi="Times New Roman"/>
          <w:kern w:val="0"/>
          <w:szCs w:val="24"/>
        </w:rPr>
        <w:t xml:space="preserve">12.1 </w:t>
      </w:r>
      <w:r w:rsidRPr="00FF5BB0">
        <w:rPr>
          <w:rFonts w:ascii="Times New Roman" w:hAnsi="Times New Roman" w:hint="eastAsia"/>
          <w:kern w:val="0"/>
          <w:szCs w:val="24"/>
        </w:rPr>
        <w:t>影响投资者决策的其他重要信息</w:t>
      </w:r>
      <w:bookmarkEnd w:id="309"/>
    </w:p>
    <w:p w:rsidR="00413707" w:rsidRPr="003F513C" w:rsidRDefault="00532CED">
      <w:pPr>
        <w:spacing w:line="360" w:lineRule="auto"/>
        <w:ind w:firstLineChars="200" w:firstLine="480"/>
        <w:rPr>
          <w:rFonts w:ascii="宋体" w:hAnsi="宋体"/>
          <w:color w:val="000000"/>
          <w:sz w:val="24"/>
        </w:rPr>
      </w:pPr>
      <w:r w:rsidRPr="003F513C">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3F513C" w:rsidRDefault="00C557DF" w:rsidP="00C557DF">
      <w:pPr>
        <w:spacing w:line="360" w:lineRule="auto"/>
        <w:ind w:firstLineChars="200" w:firstLine="480"/>
        <w:rPr>
          <w:rFonts w:ascii="宋体" w:hAnsi="宋体"/>
          <w:color w:val="000000"/>
          <w:sz w:val="24"/>
        </w:rPr>
      </w:pPr>
      <w:r w:rsidRPr="003F513C">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3F513C">
        <w:rPr>
          <w:rFonts w:ascii="宋体" w:hAnsi="宋体"/>
          <w:color w:val="000000"/>
          <w:sz w:val="24"/>
        </w:rPr>
        <w:t>基金基金</w:t>
      </w:r>
      <w:proofErr w:type="gramEnd"/>
      <w:r w:rsidRPr="003F513C">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3F513C" w:rsidRDefault="00AF2491" w:rsidP="00E048F4">
      <w:pPr>
        <w:spacing w:line="360" w:lineRule="auto"/>
        <w:ind w:firstLineChars="200" w:firstLine="480"/>
        <w:rPr>
          <w:rFonts w:asciiTheme="minorEastAsia" w:eastAsiaTheme="minorEastAsia" w:hAnsiTheme="minorEastAsia"/>
          <w:sz w:val="24"/>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310" w:name="_Toc225500055"/>
      <w:bookmarkStart w:id="311" w:name="_Toc361324903"/>
      <w:bookmarkStart w:id="312" w:name="_Toc416725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10"/>
      <w:bookmarkEnd w:id="311"/>
      <w:bookmarkEnd w:id="31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13" w:name="_Toc361324904"/>
      <w:bookmarkStart w:id="314" w:name="_Toc416725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13"/>
      <w:bookmarkEnd w:id="314"/>
    </w:p>
    <w:p w:rsidR="00413707" w:rsidRDefault="00532CED">
      <w:pPr>
        <w:spacing w:before="29" w:line="288" w:lineRule="auto"/>
        <w:rPr>
          <w:color w:val="000000"/>
          <w:sz w:val="24"/>
        </w:rPr>
      </w:pPr>
      <w:r>
        <w:rPr>
          <w:color w:val="000000"/>
          <w:sz w:val="24"/>
        </w:rPr>
        <w:t>1</w:t>
      </w:r>
      <w:r>
        <w:rPr>
          <w:color w:val="000000"/>
          <w:sz w:val="24"/>
        </w:rPr>
        <w:t>、中国证监会准予交银施罗德股息优化混合型证券投资基金募集注册的文件；</w:t>
      </w:r>
      <w:r>
        <w:rPr>
          <w:color w:val="000000"/>
          <w:sz w:val="24"/>
        </w:rPr>
        <w:t xml:space="preserve"> </w:t>
      </w:r>
    </w:p>
    <w:p w:rsidR="00413707" w:rsidRDefault="00532CED">
      <w:pPr>
        <w:spacing w:before="29" w:line="288" w:lineRule="auto"/>
        <w:rPr>
          <w:color w:val="000000"/>
          <w:sz w:val="24"/>
        </w:rPr>
      </w:pPr>
      <w:r>
        <w:rPr>
          <w:color w:val="000000"/>
          <w:sz w:val="24"/>
        </w:rPr>
        <w:t>2</w:t>
      </w:r>
      <w:r>
        <w:rPr>
          <w:color w:val="000000"/>
          <w:sz w:val="24"/>
        </w:rPr>
        <w:t>、《交银施罗德股息优化混合型证券投资基金基金合同》；</w:t>
      </w:r>
      <w:r>
        <w:rPr>
          <w:color w:val="000000"/>
          <w:sz w:val="24"/>
        </w:rPr>
        <w:t xml:space="preserve"> </w:t>
      </w:r>
    </w:p>
    <w:p w:rsidR="00413707" w:rsidRDefault="00532CED">
      <w:pPr>
        <w:spacing w:before="29" w:line="288" w:lineRule="auto"/>
        <w:rPr>
          <w:color w:val="000000"/>
          <w:sz w:val="24"/>
        </w:rPr>
      </w:pPr>
      <w:r>
        <w:rPr>
          <w:color w:val="000000"/>
          <w:sz w:val="24"/>
        </w:rPr>
        <w:t>3</w:t>
      </w:r>
      <w:r>
        <w:rPr>
          <w:color w:val="000000"/>
          <w:sz w:val="24"/>
        </w:rPr>
        <w:t>、《交银施罗德股息优化混合型证券投资基金招募说明书》；</w:t>
      </w:r>
      <w:r>
        <w:rPr>
          <w:color w:val="000000"/>
          <w:sz w:val="24"/>
        </w:rPr>
        <w:t xml:space="preserve"> </w:t>
      </w:r>
    </w:p>
    <w:p w:rsidR="00413707" w:rsidRDefault="00532CED">
      <w:pPr>
        <w:spacing w:before="29" w:line="288" w:lineRule="auto"/>
        <w:rPr>
          <w:color w:val="000000"/>
          <w:sz w:val="24"/>
        </w:rPr>
      </w:pPr>
      <w:r>
        <w:rPr>
          <w:color w:val="000000"/>
          <w:sz w:val="24"/>
        </w:rPr>
        <w:t>4</w:t>
      </w:r>
      <w:r>
        <w:rPr>
          <w:color w:val="000000"/>
          <w:sz w:val="24"/>
        </w:rPr>
        <w:t>、《交银施罗德股息优化混合型证券投资基金托管协议》；</w:t>
      </w:r>
      <w:r>
        <w:rPr>
          <w:color w:val="000000"/>
          <w:sz w:val="24"/>
        </w:rPr>
        <w:t xml:space="preserve"> </w:t>
      </w:r>
    </w:p>
    <w:p w:rsidR="00413707" w:rsidRDefault="00532CED">
      <w:pPr>
        <w:spacing w:before="29" w:line="288" w:lineRule="auto"/>
        <w:rPr>
          <w:color w:val="000000"/>
          <w:sz w:val="24"/>
        </w:rPr>
      </w:pPr>
      <w:r>
        <w:rPr>
          <w:color w:val="000000"/>
          <w:sz w:val="24"/>
        </w:rPr>
        <w:t>5</w:t>
      </w:r>
      <w:r>
        <w:rPr>
          <w:color w:val="000000"/>
          <w:sz w:val="24"/>
        </w:rPr>
        <w:t>、关于申请募集注册交银施罗德股息优化混合型证券投资基金的法律意见书；</w:t>
      </w:r>
      <w:r>
        <w:rPr>
          <w:color w:val="000000"/>
          <w:sz w:val="24"/>
        </w:rPr>
        <w:t xml:space="preserve"> </w:t>
      </w:r>
    </w:p>
    <w:p w:rsidR="00413707" w:rsidRDefault="00532CED">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413707" w:rsidRDefault="00532CED">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、报告期内交银施罗德股息优化混合型证券投资基金在指定报刊上各项公告的原稿。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15" w:name="_Toc361324905"/>
      <w:bookmarkStart w:id="316" w:name="_Toc4167255"/>
      <w:r w:rsidRPr="00761CD0">
        <w:rPr>
          <w:rFonts w:ascii="Times New Roman" w:hAnsi="Times New Roman"/>
          <w:kern w:val="0"/>
          <w:szCs w:val="24"/>
        </w:rPr>
        <w:t>13.2</w:t>
      </w:r>
      <w:r w:rsidRPr="00761CD0">
        <w:rPr>
          <w:rFonts w:ascii="Times New Roman" w:hAnsi="Times New Roman" w:hint="eastAsia"/>
          <w:kern w:val="0"/>
          <w:szCs w:val="24"/>
        </w:rPr>
        <w:t>存放地点</w:t>
      </w:r>
      <w:bookmarkEnd w:id="315"/>
      <w:bookmarkEnd w:id="31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17" w:name="_Toc361324906"/>
      <w:bookmarkStart w:id="318" w:name="_Toc4167256"/>
      <w:r w:rsidRPr="00761CD0">
        <w:rPr>
          <w:rFonts w:ascii="Times New Roman" w:hAnsi="Times New Roman"/>
          <w:kern w:val="0"/>
          <w:szCs w:val="24"/>
        </w:rPr>
        <w:t>13.3</w:t>
      </w:r>
      <w:r w:rsidRPr="00761CD0">
        <w:rPr>
          <w:rFonts w:ascii="Times New Roman" w:hAnsi="Times New Roman" w:hint="eastAsia"/>
          <w:kern w:val="0"/>
          <w:szCs w:val="24"/>
        </w:rPr>
        <w:t>查阅方式</w:t>
      </w:r>
      <w:bookmarkEnd w:id="317"/>
      <w:bookmarkEnd w:id="318"/>
    </w:p>
    <w:p w:rsidR="00413707" w:rsidRDefault="00532CE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lastRenderedPageBreak/>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02" w:rsidRDefault="00066302">
      <w:r>
        <w:separator/>
      </w:r>
    </w:p>
  </w:endnote>
  <w:endnote w:type="continuationSeparator" w:id="0">
    <w:p w:rsidR="00066302" w:rsidRDefault="000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C8" w:rsidRDefault="00985FC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85FC8" w:rsidRDefault="00985FC8"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C8" w:rsidRDefault="00985FC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17B9">
      <w:rPr>
        <w:noProof/>
        <w:kern w:val="0"/>
        <w:szCs w:val="21"/>
      </w:rPr>
      <w:t>35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D17B9">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02" w:rsidRDefault="00066302">
      <w:r>
        <w:separator/>
      </w:r>
    </w:p>
  </w:footnote>
  <w:footnote w:type="continuationSeparator" w:id="0">
    <w:p w:rsidR="00066302" w:rsidRDefault="000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C8" w:rsidRPr="001528ED" w:rsidRDefault="00985FC8" w:rsidP="001528ED">
    <w:pPr>
      <w:spacing w:before="29" w:line="288" w:lineRule="auto"/>
      <w:jc w:val="right"/>
      <w:rPr>
        <w:rFonts w:eastAsiaTheme="minorEastAsia"/>
        <w:sz w:val="24"/>
      </w:rPr>
    </w:pPr>
    <w:r w:rsidRPr="00D3445F">
      <w:rPr>
        <w:rFonts w:eastAsiaTheme="minorEastAsia"/>
        <w:sz w:val="24"/>
      </w:rPr>
      <w:t>交银施罗德股息优化混合型证券投资基金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59C92F80"/>
    <w:multiLevelType w:val="hybridMultilevel"/>
    <w:tmpl w:val="30A6B234"/>
    <w:lvl w:ilvl="0" w:tplc="2EC0D3D4">
      <w:start w:val="1"/>
      <w:numFmt w:val="japaneseCounting"/>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83F6580"/>
    <w:multiLevelType w:val="hybridMultilevel"/>
    <w:tmpl w:val="79784F5C"/>
    <w:lvl w:ilvl="0" w:tplc="9E0A4FC0">
      <w:start w:val="4"/>
      <w:numFmt w:val="chineseCountingThousand"/>
      <w:lvlText w:val="%1、"/>
      <w:lvlJc w:val="left"/>
      <w:pPr>
        <w:ind w:left="159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66FC9"/>
    <w:multiLevelType w:val="hybridMultilevel"/>
    <w:tmpl w:val="9326AE1C"/>
    <w:lvl w:ilvl="0" w:tplc="B8AE71D6">
      <w:start w:val="1"/>
      <w:numFmt w:val="japaneseCounting"/>
      <w:lvlText w:val="(%1)"/>
      <w:lvlJc w:val="left"/>
      <w:pPr>
        <w:ind w:left="1069" w:hanging="360"/>
      </w:pPr>
      <w:rPr>
        <w:rFonts w:ascii="Georgia" w:eastAsia="宋体" w:hAnsi="Georgi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6"/>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5"/>
  </w:num>
  <w:num w:numId="15">
    <w:abstractNumId w:val="2"/>
  </w:num>
  <w:num w:numId="16">
    <w:abstractNumId w:val="12"/>
  </w:num>
  <w:num w:numId="17">
    <w:abstractNumId w:val="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D5F"/>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302"/>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2011"/>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C6C"/>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3CD"/>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344"/>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7B9"/>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D7EBC"/>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3CE8"/>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9C1"/>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140C"/>
    <w:rsid w:val="003F26B8"/>
    <w:rsid w:val="003F276B"/>
    <w:rsid w:val="003F3358"/>
    <w:rsid w:val="003F38DA"/>
    <w:rsid w:val="003F3B08"/>
    <w:rsid w:val="003F4241"/>
    <w:rsid w:val="003F4B8A"/>
    <w:rsid w:val="003F513C"/>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0ACC"/>
    <w:rsid w:val="004113B4"/>
    <w:rsid w:val="00413323"/>
    <w:rsid w:val="00413707"/>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86B"/>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8F"/>
    <w:rsid w:val="00511597"/>
    <w:rsid w:val="00511915"/>
    <w:rsid w:val="005120D8"/>
    <w:rsid w:val="005128C5"/>
    <w:rsid w:val="00512905"/>
    <w:rsid w:val="00512D8B"/>
    <w:rsid w:val="00512E85"/>
    <w:rsid w:val="0051346B"/>
    <w:rsid w:val="005136C7"/>
    <w:rsid w:val="005140E5"/>
    <w:rsid w:val="005145CA"/>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2CED"/>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008"/>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6FC"/>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19A2"/>
    <w:rsid w:val="006623E2"/>
    <w:rsid w:val="006624E3"/>
    <w:rsid w:val="006640F9"/>
    <w:rsid w:val="00664551"/>
    <w:rsid w:val="0066460E"/>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2EEA"/>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11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FCB"/>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459E"/>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3C7"/>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7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07C3"/>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6B3"/>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2A"/>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5FC8"/>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870"/>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6AB"/>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67D9B"/>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4E5"/>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4D2"/>
    <w:rsid w:val="00AB37D2"/>
    <w:rsid w:val="00AB3A7F"/>
    <w:rsid w:val="00AB473F"/>
    <w:rsid w:val="00AB4C91"/>
    <w:rsid w:val="00AB4E3B"/>
    <w:rsid w:val="00AB5381"/>
    <w:rsid w:val="00AB54C1"/>
    <w:rsid w:val="00AB5AB8"/>
    <w:rsid w:val="00AB6077"/>
    <w:rsid w:val="00AB688F"/>
    <w:rsid w:val="00AB75EA"/>
    <w:rsid w:val="00AB7AA2"/>
    <w:rsid w:val="00AC0459"/>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5A87"/>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976B0"/>
    <w:rsid w:val="00BA092E"/>
    <w:rsid w:val="00BA22A8"/>
    <w:rsid w:val="00BA299A"/>
    <w:rsid w:val="00BA309F"/>
    <w:rsid w:val="00BA3E48"/>
    <w:rsid w:val="00BA4905"/>
    <w:rsid w:val="00BA4BD3"/>
    <w:rsid w:val="00BA535D"/>
    <w:rsid w:val="00BA5AB6"/>
    <w:rsid w:val="00BA5F7E"/>
    <w:rsid w:val="00BA6808"/>
    <w:rsid w:val="00BA6E49"/>
    <w:rsid w:val="00BA79D4"/>
    <w:rsid w:val="00BA7B2C"/>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C7E5B"/>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0F4A"/>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6912"/>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85F"/>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04E"/>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3B5"/>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C7D"/>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1FB"/>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2C"/>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300F"/>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3C"/>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9BF"/>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0759"/>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5BB0"/>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BA7B2C"/>
    <w:pPr>
      <w:widowControl/>
      <w:ind w:left="720"/>
      <w:contextualSpacing/>
      <w:jc w:val="left"/>
    </w:pPr>
    <w:rPr>
      <w:kern w:val="0"/>
      <w:sz w:val="20"/>
      <w:szCs w:val="20"/>
      <w:lang w:val="en-GB"/>
    </w:rPr>
  </w:style>
  <w:style w:type="paragraph" w:styleId="23">
    <w:name w:val="Body Text 2"/>
    <w:basedOn w:val="a"/>
    <w:link w:val="2Char1"/>
    <w:uiPriority w:val="99"/>
    <w:semiHidden/>
    <w:unhideWhenUsed/>
    <w:rsid w:val="00E5352C"/>
    <w:pPr>
      <w:spacing w:after="120" w:line="480" w:lineRule="auto"/>
    </w:pPr>
  </w:style>
  <w:style w:type="character" w:customStyle="1" w:styleId="2Char1">
    <w:name w:val="正文文本 2 Char"/>
    <w:basedOn w:val="a1"/>
    <w:link w:val="23"/>
    <w:uiPriority w:val="99"/>
    <w:semiHidden/>
    <w:rsid w:val="00E5352C"/>
    <w:rPr>
      <w:kern w:val="2"/>
      <w:sz w:val="21"/>
      <w:szCs w:val="24"/>
    </w:rPr>
  </w:style>
  <w:style w:type="paragraph" w:styleId="afa">
    <w:name w:val="Revision"/>
    <w:hidden/>
    <w:uiPriority w:val="99"/>
    <w:semiHidden/>
    <w:rsid w:val="00AA14E5"/>
    <w:rPr>
      <w:kern w:val="2"/>
      <w:sz w:val="21"/>
      <w:szCs w:val="24"/>
    </w:rPr>
  </w:style>
  <w:style w:type="paragraph" w:styleId="40">
    <w:name w:val="toc 4"/>
    <w:basedOn w:val="a"/>
    <w:next w:val="a"/>
    <w:autoRedefine/>
    <w:uiPriority w:val="39"/>
    <w:unhideWhenUsed/>
    <w:rsid w:val="00FF5BB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F5BB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F5BB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F5BB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F5BB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F5BB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A035-E362-4D04-B3D1-4ECB524C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57</Pages>
  <Words>33496</Words>
  <Characters>16747</Characters>
  <Application>Microsoft Office Word</Application>
  <DocSecurity>0</DocSecurity>
  <Lines>139</Lines>
  <Paragraphs>100</Paragraphs>
  <ScaleCrop>false</ScaleCrop>
  <Company/>
  <LinksUpToDate>false</LinksUpToDate>
  <CharactersWithSpaces>50143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42</cp:revision>
  <cp:lastPrinted>2007-07-19T00:46:00Z</cp:lastPrinted>
  <dcterms:created xsi:type="dcterms:W3CDTF">2019-03-04T09:51:00Z</dcterms:created>
  <dcterms:modified xsi:type="dcterms:W3CDTF">2019-03-22T10:12:00Z</dcterms:modified>
</cp:coreProperties>
</file>