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交银施罗德荣鑫保本混合型证券投资基金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中国民生银行股份有限公司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中国民生银行股份有限公司</w:t>
      </w:r>
      <w:r w:rsidR="00D91873">
        <w:rPr>
          <w:color w:val="000000"/>
          <w:sz w:val="24"/>
        </w:rPr>
        <w:t>(</w:t>
      </w:r>
      <w:r w:rsidR="00D91873">
        <w:rPr>
          <w:rFonts w:hint="eastAsia"/>
          <w:color w:val="000000"/>
          <w:sz w:val="24"/>
        </w:rPr>
        <w:t>以下简称“</w:t>
      </w:r>
      <w:r w:rsidR="00D91873">
        <w:rPr>
          <w:color w:val="000000"/>
          <w:sz w:val="24"/>
        </w:rPr>
        <w:t>民生银行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交银荣鑫保本混合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519766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519766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3</w:t>
            </w:r>
            <w:r w:rsidRPr="00AF05D4">
              <w:rPr>
                <w:sz w:val="24"/>
              </w:rPr>
              <w:t>月</w:t>
            </w:r>
            <w:r w:rsidRPr="00AF05D4">
              <w:rPr>
                <w:sz w:val="24"/>
              </w:rPr>
              <w:t>25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中国民生银行股份有限公司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563,077,746.71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本基金通过运用投资组合保险技术，有效控制本金损失的风险，在追求保本周期到期时本金安全的基础上，力争实现基金资产的稳定增值。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本基金运用恒定比例组合保险（</w:t>
            </w:r>
            <w:r w:rsidRPr="00A57672">
              <w:rPr>
                <w:sz w:val="24"/>
              </w:rPr>
              <w:t>CPPI</w:t>
            </w:r>
            <w:r w:rsidRPr="00A57672">
              <w:rPr>
                <w:sz w:val="24"/>
              </w:rPr>
              <w:t>，</w:t>
            </w:r>
            <w:r w:rsidRPr="00A57672">
              <w:rPr>
                <w:sz w:val="24"/>
              </w:rPr>
              <w:t>Constant Proportion Portfolio Insurance</w:t>
            </w:r>
            <w:r w:rsidRPr="00A57672">
              <w:rPr>
                <w:sz w:val="24"/>
              </w:rPr>
              <w:t>）原理，动态调整固定收益类资产与权益类资产在基金组合中的投资比例，以确保本基金在保本周期到期时的本金安全，并实现基金资产在保本基础上的保值增值目的。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三年期银行定期存款税后收益率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本基金是一只保本混合型基金，在证券投资基金中属于低风险品种。其风险和预期收益低于股票型基金和非保本的混合型基金，高于货币市场基金和债券型基金。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中国民生银行股份有限公司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罗菲菲</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010-58560666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w:t>
            </w:r>
            <w:r w:rsidRPr="00A57672">
              <w:rPr>
                <w:color w:val="000000"/>
                <w:kern w:val="0"/>
                <w:sz w:val="24"/>
              </w:rPr>
              <w:lastRenderedPageBreak/>
              <w:t>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tgbfxjdzx@cmbc.com.cn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95568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010-58560798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3</w:t>
            </w:r>
            <w:r w:rsidRPr="00931B45">
              <w:rPr>
                <w:b/>
                <w:szCs w:val="21"/>
              </w:rPr>
              <w:t>月</w:t>
            </w:r>
            <w:r w:rsidRPr="00931B45">
              <w:rPr>
                <w:b/>
                <w:szCs w:val="21"/>
              </w:rPr>
              <w:t>25</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22,290,618.02</w:t>
            </w:r>
          </w:p>
        </w:tc>
        <w:tc>
          <w:tcPr>
            <w:tcW w:w="2268" w:type="dxa"/>
            <w:vAlign w:val="center"/>
          </w:tcPr>
          <w:p w:rsidR="00501A91" w:rsidRPr="00931B45" w:rsidRDefault="00501A91" w:rsidP="00D415F5">
            <w:pPr>
              <w:spacing w:before="29" w:line="288" w:lineRule="auto"/>
              <w:jc w:val="right"/>
              <w:rPr>
                <w:szCs w:val="21"/>
              </w:rPr>
            </w:pPr>
            <w:r w:rsidRPr="00931B45">
              <w:rPr>
                <w:szCs w:val="21"/>
              </w:rPr>
              <w:t>14,296,105.84</w:t>
            </w:r>
          </w:p>
        </w:tc>
        <w:tc>
          <w:tcPr>
            <w:tcW w:w="2194" w:type="dxa"/>
            <w:vAlign w:val="center"/>
          </w:tcPr>
          <w:p w:rsidR="00501A91" w:rsidRPr="00931B45" w:rsidRDefault="00501A91" w:rsidP="00D415F5">
            <w:pPr>
              <w:spacing w:before="29" w:line="288" w:lineRule="auto"/>
              <w:jc w:val="right"/>
              <w:rPr>
                <w:szCs w:val="21"/>
              </w:rPr>
            </w:pPr>
            <w:r w:rsidRPr="00931B45">
              <w:rPr>
                <w:szCs w:val="21"/>
              </w:rPr>
              <w:t>5,027,241.75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30,352,234.18</w:t>
            </w:r>
          </w:p>
        </w:tc>
        <w:tc>
          <w:tcPr>
            <w:tcW w:w="2268" w:type="dxa"/>
            <w:vAlign w:val="center"/>
          </w:tcPr>
          <w:p w:rsidR="00501A91" w:rsidRPr="00931B45" w:rsidRDefault="00501A91" w:rsidP="00D415F5">
            <w:pPr>
              <w:spacing w:before="29" w:line="288" w:lineRule="auto"/>
              <w:jc w:val="right"/>
              <w:rPr>
                <w:szCs w:val="21"/>
              </w:rPr>
            </w:pPr>
            <w:r w:rsidRPr="00931B45">
              <w:rPr>
                <w:szCs w:val="21"/>
              </w:rPr>
              <w:t>15,630,475.06</w:t>
            </w:r>
          </w:p>
        </w:tc>
        <w:tc>
          <w:tcPr>
            <w:tcW w:w="2194" w:type="dxa"/>
            <w:vAlign w:val="center"/>
          </w:tcPr>
          <w:p w:rsidR="00501A91" w:rsidRPr="00931B45" w:rsidRDefault="00501A91" w:rsidP="00D415F5">
            <w:pPr>
              <w:spacing w:before="29" w:line="288" w:lineRule="auto"/>
              <w:jc w:val="right"/>
              <w:rPr>
                <w:szCs w:val="21"/>
              </w:rPr>
            </w:pPr>
            <w:r w:rsidRPr="00931B45">
              <w:rPr>
                <w:szCs w:val="21"/>
              </w:rPr>
              <w:t>1,893,436.61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0.0506</w:t>
            </w:r>
          </w:p>
        </w:tc>
        <w:tc>
          <w:tcPr>
            <w:tcW w:w="2268" w:type="dxa"/>
            <w:vAlign w:val="center"/>
          </w:tcPr>
          <w:p w:rsidR="00501A91" w:rsidRPr="00931B45" w:rsidRDefault="00501A91" w:rsidP="00D415F5">
            <w:pPr>
              <w:spacing w:before="29" w:line="288" w:lineRule="auto"/>
              <w:jc w:val="right"/>
              <w:rPr>
                <w:szCs w:val="21"/>
              </w:rPr>
            </w:pPr>
            <w:r w:rsidRPr="00931B45">
              <w:rPr>
                <w:szCs w:val="21"/>
              </w:rPr>
              <w:t>0.0193</w:t>
            </w:r>
          </w:p>
        </w:tc>
        <w:tc>
          <w:tcPr>
            <w:tcW w:w="2194" w:type="dxa"/>
            <w:vAlign w:val="center"/>
          </w:tcPr>
          <w:p w:rsidR="00501A91" w:rsidRPr="00931B45" w:rsidRDefault="00501A91" w:rsidP="00D415F5">
            <w:pPr>
              <w:spacing w:before="29" w:line="288" w:lineRule="auto"/>
              <w:jc w:val="right"/>
              <w:rPr>
                <w:szCs w:val="21"/>
              </w:rPr>
            </w:pPr>
            <w:r w:rsidRPr="00931B45">
              <w:rPr>
                <w:szCs w:val="21"/>
              </w:rPr>
              <w:t>0.0020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4.80%</w:t>
            </w:r>
          </w:p>
        </w:tc>
        <w:tc>
          <w:tcPr>
            <w:tcW w:w="2268" w:type="dxa"/>
            <w:vAlign w:val="center"/>
          </w:tcPr>
          <w:p w:rsidR="00501A91" w:rsidRPr="00931B45" w:rsidRDefault="00501A91" w:rsidP="00D415F5">
            <w:pPr>
              <w:spacing w:before="29" w:line="288" w:lineRule="auto"/>
              <w:jc w:val="right"/>
              <w:rPr>
                <w:szCs w:val="21"/>
              </w:rPr>
            </w:pPr>
            <w:r w:rsidRPr="00931B45">
              <w:rPr>
                <w:szCs w:val="21"/>
              </w:rPr>
              <w:t>2.00%</w:t>
            </w:r>
          </w:p>
        </w:tc>
        <w:tc>
          <w:tcPr>
            <w:tcW w:w="2194" w:type="dxa"/>
            <w:vAlign w:val="center"/>
          </w:tcPr>
          <w:p w:rsidR="00501A91" w:rsidRPr="00931B45" w:rsidRDefault="00501A91" w:rsidP="00D415F5">
            <w:pPr>
              <w:spacing w:before="29" w:line="288" w:lineRule="auto"/>
              <w:jc w:val="right"/>
              <w:rPr>
                <w:szCs w:val="21"/>
              </w:rPr>
            </w:pPr>
            <w:r w:rsidRPr="00931B45">
              <w:rPr>
                <w:szCs w:val="21"/>
              </w:rPr>
              <w:t>0.10%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0.060</w:t>
            </w:r>
          </w:p>
        </w:tc>
        <w:tc>
          <w:tcPr>
            <w:tcW w:w="2268" w:type="dxa"/>
            <w:vAlign w:val="center"/>
          </w:tcPr>
          <w:p w:rsidR="00501A91" w:rsidRPr="00931B45" w:rsidRDefault="00501A91" w:rsidP="00D415F5">
            <w:pPr>
              <w:spacing w:before="29" w:line="288" w:lineRule="auto"/>
              <w:jc w:val="right"/>
              <w:rPr>
                <w:szCs w:val="21"/>
              </w:rPr>
            </w:pPr>
            <w:r w:rsidRPr="00931B45">
              <w:rPr>
                <w:szCs w:val="21"/>
              </w:rPr>
              <w:t>0.021</w:t>
            </w:r>
          </w:p>
        </w:tc>
        <w:tc>
          <w:tcPr>
            <w:tcW w:w="2194" w:type="dxa"/>
            <w:vAlign w:val="center"/>
          </w:tcPr>
          <w:p w:rsidR="00501A91" w:rsidRPr="00931B45" w:rsidRDefault="00501A91" w:rsidP="00D415F5">
            <w:pPr>
              <w:spacing w:before="29" w:line="288" w:lineRule="auto"/>
              <w:jc w:val="right"/>
              <w:rPr>
                <w:szCs w:val="21"/>
              </w:rPr>
            </w:pPr>
            <w:r w:rsidRPr="00931B45">
              <w:rPr>
                <w:szCs w:val="21"/>
              </w:rPr>
              <w:t>0.001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602,640,845.33</w:t>
            </w:r>
          </w:p>
        </w:tc>
        <w:tc>
          <w:tcPr>
            <w:tcW w:w="2268" w:type="dxa"/>
            <w:vAlign w:val="center"/>
          </w:tcPr>
          <w:p w:rsidR="00501A91" w:rsidRPr="00931B45" w:rsidRDefault="00501A91" w:rsidP="00D415F5">
            <w:pPr>
              <w:spacing w:before="29" w:line="288" w:lineRule="auto"/>
              <w:jc w:val="right"/>
              <w:rPr>
                <w:szCs w:val="21"/>
              </w:rPr>
            </w:pPr>
            <w:r w:rsidRPr="00931B45">
              <w:rPr>
                <w:szCs w:val="21"/>
              </w:rPr>
              <w:t>703,983,617.23</w:t>
            </w:r>
          </w:p>
        </w:tc>
        <w:tc>
          <w:tcPr>
            <w:tcW w:w="2194" w:type="dxa"/>
            <w:vAlign w:val="center"/>
          </w:tcPr>
          <w:p w:rsidR="00501A91" w:rsidRPr="00931B45" w:rsidRDefault="00501A91" w:rsidP="00D415F5">
            <w:pPr>
              <w:spacing w:before="29" w:line="288" w:lineRule="auto"/>
              <w:jc w:val="right"/>
              <w:rPr>
                <w:szCs w:val="21"/>
              </w:rPr>
            </w:pPr>
            <w:r w:rsidRPr="00931B45">
              <w:rPr>
                <w:szCs w:val="21"/>
              </w:rPr>
              <w:t>928,468,032.05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1.070</w:t>
            </w:r>
          </w:p>
        </w:tc>
        <w:tc>
          <w:tcPr>
            <w:tcW w:w="2268" w:type="dxa"/>
            <w:vAlign w:val="center"/>
          </w:tcPr>
          <w:p w:rsidR="00501A91" w:rsidRPr="00931B45" w:rsidRDefault="00501A91" w:rsidP="00D415F5">
            <w:pPr>
              <w:spacing w:before="29" w:line="288" w:lineRule="auto"/>
              <w:jc w:val="right"/>
              <w:rPr>
                <w:szCs w:val="21"/>
              </w:rPr>
            </w:pPr>
            <w:r w:rsidRPr="00931B45">
              <w:rPr>
                <w:szCs w:val="21"/>
              </w:rPr>
              <w:t>1.021</w:t>
            </w:r>
          </w:p>
        </w:tc>
        <w:tc>
          <w:tcPr>
            <w:tcW w:w="2194" w:type="dxa"/>
            <w:vAlign w:val="center"/>
          </w:tcPr>
          <w:p w:rsidR="00501A91" w:rsidRPr="00931B45" w:rsidRDefault="00501A91" w:rsidP="00D415F5">
            <w:pPr>
              <w:spacing w:before="29" w:line="288" w:lineRule="auto"/>
              <w:jc w:val="right"/>
              <w:rPr>
                <w:szCs w:val="21"/>
              </w:rPr>
            </w:pPr>
            <w:r w:rsidRPr="00931B45">
              <w:rPr>
                <w:szCs w:val="21"/>
              </w:rPr>
              <w:t>1.001</w:t>
            </w:r>
          </w:p>
        </w:tc>
      </w:tr>
    </w:tbl>
    <w:p w:rsidR="00295532" w:rsidRDefault="0068313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295532" w:rsidRDefault="0068313B">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295532">
        <w:tc>
          <w:tcPr>
            <w:tcW w:w="1286" w:type="dxa"/>
            <w:vAlign w:val="center"/>
          </w:tcPr>
          <w:p w:rsidR="00295532" w:rsidRDefault="0068313B">
            <w:pPr>
              <w:jc w:val="left"/>
            </w:pPr>
            <w:r>
              <w:rPr>
                <w:color w:val="000000"/>
                <w:sz w:val="24"/>
              </w:rPr>
              <w:t>过去三个月</w:t>
            </w:r>
          </w:p>
        </w:tc>
        <w:tc>
          <w:tcPr>
            <w:tcW w:w="1286" w:type="dxa"/>
            <w:vAlign w:val="center"/>
          </w:tcPr>
          <w:p w:rsidR="00295532" w:rsidRDefault="0068313B">
            <w:pPr>
              <w:jc w:val="center"/>
            </w:pPr>
            <w:r>
              <w:rPr>
                <w:color w:val="000000"/>
                <w:sz w:val="24"/>
              </w:rPr>
              <w:t>0.47%</w:t>
            </w:r>
          </w:p>
        </w:tc>
        <w:tc>
          <w:tcPr>
            <w:tcW w:w="1286" w:type="dxa"/>
            <w:vAlign w:val="center"/>
          </w:tcPr>
          <w:p w:rsidR="00295532" w:rsidRDefault="0068313B">
            <w:pPr>
              <w:jc w:val="center"/>
            </w:pPr>
            <w:r>
              <w:rPr>
                <w:color w:val="000000"/>
                <w:sz w:val="24"/>
              </w:rPr>
              <w:t>0.04%</w:t>
            </w:r>
          </w:p>
        </w:tc>
        <w:tc>
          <w:tcPr>
            <w:tcW w:w="1285" w:type="dxa"/>
            <w:vAlign w:val="center"/>
          </w:tcPr>
          <w:p w:rsidR="00295532" w:rsidRDefault="0068313B">
            <w:pPr>
              <w:jc w:val="center"/>
            </w:pPr>
            <w:r>
              <w:rPr>
                <w:color w:val="000000"/>
                <w:sz w:val="24"/>
              </w:rPr>
              <w:t>0.70%</w:t>
            </w:r>
          </w:p>
        </w:tc>
        <w:tc>
          <w:tcPr>
            <w:tcW w:w="1285" w:type="dxa"/>
            <w:vAlign w:val="center"/>
          </w:tcPr>
          <w:p w:rsidR="00295532" w:rsidRDefault="0068313B">
            <w:pPr>
              <w:jc w:val="center"/>
            </w:pPr>
            <w:r>
              <w:rPr>
                <w:color w:val="000000"/>
                <w:sz w:val="24"/>
              </w:rPr>
              <w:t>0.01%</w:t>
            </w:r>
          </w:p>
        </w:tc>
        <w:tc>
          <w:tcPr>
            <w:tcW w:w="1285" w:type="dxa"/>
            <w:vAlign w:val="center"/>
          </w:tcPr>
          <w:p w:rsidR="00295532" w:rsidRDefault="0068313B">
            <w:pPr>
              <w:jc w:val="center"/>
            </w:pPr>
            <w:r>
              <w:rPr>
                <w:color w:val="000000"/>
                <w:sz w:val="24"/>
              </w:rPr>
              <w:t>-0.23%</w:t>
            </w:r>
          </w:p>
        </w:tc>
        <w:tc>
          <w:tcPr>
            <w:tcW w:w="1285" w:type="dxa"/>
            <w:vAlign w:val="center"/>
          </w:tcPr>
          <w:p w:rsidR="00295532" w:rsidRDefault="0068313B">
            <w:pPr>
              <w:jc w:val="center"/>
            </w:pPr>
            <w:r>
              <w:rPr>
                <w:color w:val="000000"/>
                <w:sz w:val="24"/>
              </w:rPr>
              <w:t>0.03%</w:t>
            </w:r>
          </w:p>
        </w:tc>
      </w:tr>
      <w:tr w:rsidR="00295532">
        <w:tc>
          <w:tcPr>
            <w:tcW w:w="1286" w:type="dxa"/>
            <w:vAlign w:val="center"/>
          </w:tcPr>
          <w:p w:rsidR="00295532" w:rsidRDefault="0068313B">
            <w:pPr>
              <w:jc w:val="left"/>
            </w:pPr>
            <w:r>
              <w:rPr>
                <w:color w:val="000000"/>
                <w:sz w:val="24"/>
              </w:rPr>
              <w:t>过去六个月</w:t>
            </w:r>
          </w:p>
        </w:tc>
        <w:tc>
          <w:tcPr>
            <w:tcW w:w="1286" w:type="dxa"/>
            <w:vAlign w:val="center"/>
          </w:tcPr>
          <w:p w:rsidR="00295532" w:rsidRDefault="0068313B">
            <w:pPr>
              <w:jc w:val="center"/>
            </w:pPr>
            <w:r>
              <w:rPr>
                <w:color w:val="000000"/>
                <w:sz w:val="24"/>
              </w:rPr>
              <w:t>2.00%</w:t>
            </w:r>
          </w:p>
        </w:tc>
        <w:tc>
          <w:tcPr>
            <w:tcW w:w="1286" w:type="dxa"/>
            <w:vAlign w:val="center"/>
          </w:tcPr>
          <w:p w:rsidR="00295532" w:rsidRDefault="0068313B">
            <w:pPr>
              <w:jc w:val="center"/>
            </w:pPr>
            <w:r>
              <w:rPr>
                <w:color w:val="000000"/>
                <w:sz w:val="24"/>
              </w:rPr>
              <w:t>0.06%</w:t>
            </w:r>
          </w:p>
        </w:tc>
        <w:tc>
          <w:tcPr>
            <w:tcW w:w="1285" w:type="dxa"/>
            <w:vAlign w:val="center"/>
          </w:tcPr>
          <w:p w:rsidR="00295532" w:rsidRDefault="0068313B">
            <w:pPr>
              <w:jc w:val="center"/>
            </w:pPr>
            <w:r>
              <w:rPr>
                <w:color w:val="000000"/>
                <w:sz w:val="24"/>
              </w:rPr>
              <w:t>1.41%</w:t>
            </w:r>
          </w:p>
        </w:tc>
        <w:tc>
          <w:tcPr>
            <w:tcW w:w="1285" w:type="dxa"/>
            <w:vAlign w:val="center"/>
          </w:tcPr>
          <w:p w:rsidR="00295532" w:rsidRDefault="0068313B">
            <w:pPr>
              <w:jc w:val="center"/>
            </w:pPr>
            <w:r>
              <w:rPr>
                <w:color w:val="000000"/>
                <w:sz w:val="24"/>
              </w:rPr>
              <w:t>0.01%</w:t>
            </w:r>
          </w:p>
        </w:tc>
        <w:tc>
          <w:tcPr>
            <w:tcW w:w="1285" w:type="dxa"/>
            <w:vAlign w:val="center"/>
          </w:tcPr>
          <w:p w:rsidR="00295532" w:rsidRDefault="0068313B">
            <w:pPr>
              <w:jc w:val="center"/>
            </w:pPr>
            <w:r>
              <w:rPr>
                <w:color w:val="000000"/>
                <w:sz w:val="24"/>
              </w:rPr>
              <w:t>0.59%</w:t>
            </w:r>
          </w:p>
        </w:tc>
        <w:tc>
          <w:tcPr>
            <w:tcW w:w="1285" w:type="dxa"/>
            <w:vAlign w:val="center"/>
          </w:tcPr>
          <w:p w:rsidR="00295532" w:rsidRDefault="0068313B">
            <w:pPr>
              <w:jc w:val="center"/>
            </w:pPr>
            <w:r>
              <w:rPr>
                <w:color w:val="000000"/>
                <w:sz w:val="24"/>
              </w:rPr>
              <w:t>0.05%</w:t>
            </w:r>
          </w:p>
        </w:tc>
      </w:tr>
      <w:tr w:rsidR="00295532">
        <w:tc>
          <w:tcPr>
            <w:tcW w:w="1286" w:type="dxa"/>
            <w:vAlign w:val="center"/>
          </w:tcPr>
          <w:p w:rsidR="00295532" w:rsidRDefault="0068313B">
            <w:pPr>
              <w:jc w:val="left"/>
            </w:pPr>
            <w:r>
              <w:rPr>
                <w:color w:val="000000"/>
                <w:sz w:val="24"/>
              </w:rPr>
              <w:t>过去一年</w:t>
            </w:r>
          </w:p>
        </w:tc>
        <w:tc>
          <w:tcPr>
            <w:tcW w:w="1286" w:type="dxa"/>
            <w:vAlign w:val="center"/>
          </w:tcPr>
          <w:p w:rsidR="00295532" w:rsidRDefault="0068313B">
            <w:pPr>
              <w:jc w:val="center"/>
            </w:pPr>
            <w:r>
              <w:rPr>
                <w:color w:val="000000"/>
                <w:sz w:val="24"/>
              </w:rPr>
              <w:t>4.80%</w:t>
            </w:r>
          </w:p>
        </w:tc>
        <w:tc>
          <w:tcPr>
            <w:tcW w:w="1286" w:type="dxa"/>
            <w:vAlign w:val="center"/>
          </w:tcPr>
          <w:p w:rsidR="00295532" w:rsidRDefault="0068313B">
            <w:pPr>
              <w:jc w:val="center"/>
            </w:pPr>
            <w:r>
              <w:rPr>
                <w:color w:val="000000"/>
                <w:sz w:val="24"/>
              </w:rPr>
              <w:t>0.07%</w:t>
            </w:r>
          </w:p>
        </w:tc>
        <w:tc>
          <w:tcPr>
            <w:tcW w:w="1285" w:type="dxa"/>
            <w:vAlign w:val="center"/>
          </w:tcPr>
          <w:p w:rsidR="00295532" w:rsidRDefault="0068313B">
            <w:pPr>
              <w:jc w:val="center"/>
            </w:pPr>
            <w:r>
              <w:rPr>
                <w:color w:val="000000"/>
                <w:sz w:val="24"/>
              </w:rPr>
              <w:t>2.79%</w:t>
            </w:r>
          </w:p>
        </w:tc>
        <w:tc>
          <w:tcPr>
            <w:tcW w:w="1285" w:type="dxa"/>
            <w:vAlign w:val="center"/>
          </w:tcPr>
          <w:p w:rsidR="00295532" w:rsidRDefault="0068313B">
            <w:pPr>
              <w:jc w:val="center"/>
            </w:pPr>
            <w:r>
              <w:rPr>
                <w:color w:val="000000"/>
                <w:sz w:val="24"/>
              </w:rPr>
              <w:t>0.01%</w:t>
            </w:r>
          </w:p>
        </w:tc>
        <w:tc>
          <w:tcPr>
            <w:tcW w:w="1285" w:type="dxa"/>
            <w:vAlign w:val="center"/>
          </w:tcPr>
          <w:p w:rsidR="00295532" w:rsidRDefault="0068313B">
            <w:pPr>
              <w:jc w:val="center"/>
            </w:pPr>
            <w:r>
              <w:rPr>
                <w:color w:val="000000"/>
                <w:sz w:val="24"/>
              </w:rPr>
              <w:t>2.01%</w:t>
            </w:r>
          </w:p>
        </w:tc>
        <w:tc>
          <w:tcPr>
            <w:tcW w:w="1285" w:type="dxa"/>
            <w:vAlign w:val="center"/>
          </w:tcPr>
          <w:p w:rsidR="00295532" w:rsidRDefault="0068313B">
            <w:pPr>
              <w:jc w:val="center"/>
            </w:pPr>
            <w:r>
              <w:rPr>
                <w:color w:val="000000"/>
                <w:sz w:val="24"/>
              </w:rPr>
              <w:t>0.06%</w:t>
            </w:r>
          </w:p>
        </w:tc>
      </w:tr>
      <w:tr w:rsidR="00295532">
        <w:tc>
          <w:tcPr>
            <w:tcW w:w="1286" w:type="dxa"/>
            <w:vAlign w:val="center"/>
          </w:tcPr>
          <w:p w:rsidR="00295532" w:rsidRDefault="0068313B">
            <w:pPr>
              <w:jc w:val="left"/>
            </w:pPr>
            <w:r>
              <w:rPr>
                <w:color w:val="000000"/>
                <w:sz w:val="24"/>
              </w:rPr>
              <w:t>自基金合同生效起至今</w:t>
            </w:r>
          </w:p>
        </w:tc>
        <w:tc>
          <w:tcPr>
            <w:tcW w:w="1286" w:type="dxa"/>
            <w:vAlign w:val="center"/>
          </w:tcPr>
          <w:p w:rsidR="00295532" w:rsidRDefault="0068313B">
            <w:pPr>
              <w:jc w:val="center"/>
            </w:pPr>
            <w:r>
              <w:rPr>
                <w:color w:val="000000"/>
                <w:sz w:val="24"/>
              </w:rPr>
              <w:t>7.00%</w:t>
            </w:r>
          </w:p>
        </w:tc>
        <w:tc>
          <w:tcPr>
            <w:tcW w:w="1286" w:type="dxa"/>
            <w:vAlign w:val="center"/>
          </w:tcPr>
          <w:p w:rsidR="00295532" w:rsidRDefault="0068313B">
            <w:pPr>
              <w:jc w:val="center"/>
            </w:pPr>
            <w:r>
              <w:rPr>
                <w:color w:val="000000"/>
                <w:sz w:val="24"/>
              </w:rPr>
              <w:t>0.07%</w:t>
            </w:r>
          </w:p>
        </w:tc>
        <w:tc>
          <w:tcPr>
            <w:tcW w:w="1285" w:type="dxa"/>
            <w:vAlign w:val="center"/>
          </w:tcPr>
          <w:p w:rsidR="00295532" w:rsidRDefault="0068313B">
            <w:pPr>
              <w:jc w:val="center"/>
            </w:pPr>
            <w:r>
              <w:rPr>
                <w:color w:val="000000"/>
                <w:sz w:val="24"/>
              </w:rPr>
              <w:t>7.73%</w:t>
            </w:r>
          </w:p>
        </w:tc>
        <w:tc>
          <w:tcPr>
            <w:tcW w:w="1285" w:type="dxa"/>
            <w:vAlign w:val="center"/>
          </w:tcPr>
          <w:p w:rsidR="00295532" w:rsidRDefault="0068313B">
            <w:pPr>
              <w:jc w:val="center"/>
            </w:pPr>
            <w:r>
              <w:rPr>
                <w:color w:val="000000"/>
                <w:sz w:val="24"/>
              </w:rPr>
              <w:t>0.01%</w:t>
            </w:r>
          </w:p>
        </w:tc>
        <w:tc>
          <w:tcPr>
            <w:tcW w:w="1285" w:type="dxa"/>
            <w:vAlign w:val="center"/>
          </w:tcPr>
          <w:p w:rsidR="00295532" w:rsidRDefault="0068313B">
            <w:pPr>
              <w:jc w:val="center"/>
            </w:pPr>
            <w:r>
              <w:rPr>
                <w:color w:val="000000"/>
                <w:sz w:val="24"/>
              </w:rPr>
              <w:t>-0.73%</w:t>
            </w:r>
          </w:p>
        </w:tc>
        <w:tc>
          <w:tcPr>
            <w:tcW w:w="1285" w:type="dxa"/>
            <w:vAlign w:val="center"/>
          </w:tcPr>
          <w:p w:rsidR="00295532" w:rsidRDefault="0068313B">
            <w:pPr>
              <w:jc w:val="center"/>
            </w:pPr>
            <w:r>
              <w:rPr>
                <w:color w:val="000000"/>
                <w:sz w:val="24"/>
              </w:rPr>
              <w:t>0.06%</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注：本基金的业绩比较基准为三年期银行定期存款税后收益率。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3</w:t>
      </w:r>
      <w:r w:rsidRPr="00B05374">
        <w:rPr>
          <w:kern w:val="0"/>
          <w:sz w:val="24"/>
        </w:rPr>
        <w:t>月</w:t>
      </w:r>
      <w:r w:rsidRPr="00B05374">
        <w:rPr>
          <w:kern w:val="0"/>
          <w:sz w:val="24"/>
        </w:rPr>
        <w:t>25</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295532">
        <w:tc>
          <w:tcPr>
            <w:tcW w:w="1499" w:type="dxa"/>
            <w:vAlign w:val="center"/>
          </w:tcPr>
          <w:p w:rsidR="00295532" w:rsidRDefault="0068313B">
            <w:pPr>
              <w:jc w:val="center"/>
            </w:pPr>
            <w:r>
              <w:rPr>
                <w:color w:val="000000"/>
                <w:sz w:val="24"/>
              </w:rPr>
              <w:t>2018</w:t>
            </w:r>
            <w:r>
              <w:rPr>
                <w:color w:val="000000"/>
                <w:sz w:val="24"/>
              </w:rPr>
              <w:t>年</w:t>
            </w:r>
          </w:p>
        </w:tc>
        <w:tc>
          <w:tcPr>
            <w:tcW w:w="1336" w:type="dxa"/>
            <w:vAlign w:val="center"/>
          </w:tcPr>
          <w:p w:rsidR="00295532" w:rsidRDefault="0068313B">
            <w:pPr>
              <w:jc w:val="right"/>
            </w:pPr>
            <w:r>
              <w:rPr>
                <w:color w:val="000000"/>
                <w:sz w:val="24"/>
              </w:rPr>
              <w:t>-</w:t>
            </w:r>
          </w:p>
        </w:tc>
        <w:tc>
          <w:tcPr>
            <w:tcW w:w="1663" w:type="dxa"/>
            <w:vAlign w:val="center"/>
          </w:tcPr>
          <w:p w:rsidR="00295532" w:rsidRDefault="0068313B">
            <w:pPr>
              <w:jc w:val="right"/>
            </w:pPr>
            <w:r>
              <w:rPr>
                <w:color w:val="000000"/>
                <w:sz w:val="24"/>
              </w:rPr>
              <w:t>-</w:t>
            </w:r>
          </w:p>
        </w:tc>
        <w:tc>
          <w:tcPr>
            <w:tcW w:w="1739" w:type="dxa"/>
            <w:vAlign w:val="center"/>
          </w:tcPr>
          <w:p w:rsidR="00295532" w:rsidRDefault="0068313B">
            <w:pPr>
              <w:jc w:val="right"/>
            </w:pPr>
            <w:r>
              <w:rPr>
                <w:color w:val="000000"/>
                <w:sz w:val="24"/>
              </w:rPr>
              <w:t>-</w:t>
            </w:r>
          </w:p>
        </w:tc>
        <w:tc>
          <w:tcPr>
            <w:tcW w:w="1701" w:type="dxa"/>
            <w:vAlign w:val="center"/>
          </w:tcPr>
          <w:p w:rsidR="00295532" w:rsidRDefault="0068313B">
            <w:pPr>
              <w:jc w:val="right"/>
            </w:pPr>
            <w:r>
              <w:rPr>
                <w:color w:val="000000"/>
                <w:sz w:val="24"/>
              </w:rPr>
              <w:t>-</w:t>
            </w:r>
          </w:p>
        </w:tc>
        <w:tc>
          <w:tcPr>
            <w:tcW w:w="1060" w:type="dxa"/>
            <w:vAlign w:val="center"/>
          </w:tcPr>
          <w:p w:rsidR="00295532" w:rsidRDefault="0068313B">
            <w:pPr>
              <w:jc w:val="left"/>
            </w:pPr>
            <w:r>
              <w:rPr>
                <w:color w:val="000000"/>
                <w:sz w:val="24"/>
              </w:rPr>
              <w:t>-</w:t>
            </w:r>
          </w:p>
        </w:tc>
      </w:tr>
      <w:tr w:rsidR="00295532">
        <w:tc>
          <w:tcPr>
            <w:tcW w:w="1499" w:type="dxa"/>
            <w:vAlign w:val="center"/>
          </w:tcPr>
          <w:p w:rsidR="00295532" w:rsidRDefault="0068313B">
            <w:pPr>
              <w:jc w:val="center"/>
            </w:pPr>
            <w:r>
              <w:rPr>
                <w:color w:val="000000"/>
                <w:sz w:val="24"/>
              </w:rPr>
              <w:t>2017</w:t>
            </w:r>
            <w:r>
              <w:rPr>
                <w:color w:val="000000"/>
                <w:sz w:val="24"/>
              </w:rPr>
              <w:t>年</w:t>
            </w:r>
          </w:p>
        </w:tc>
        <w:tc>
          <w:tcPr>
            <w:tcW w:w="1336" w:type="dxa"/>
            <w:vAlign w:val="center"/>
          </w:tcPr>
          <w:p w:rsidR="00295532" w:rsidRDefault="0068313B">
            <w:pPr>
              <w:jc w:val="right"/>
            </w:pPr>
            <w:r>
              <w:rPr>
                <w:color w:val="000000"/>
                <w:sz w:val="24"/>
              </w:rPr>
              <w:t>-</w:t>
            </w:r>
          </w:p>
        </w:tc>
        <w:tc>
          <w:tcPr>
            <w:tcW w:w="1663" w:type="dxa"/>
            <w:vAlign w:val="center"/>
          </w:tcPr>
          <w:p w:rsidR="00295532" w:rsidRDefault="0068313B">
            <w:pPr>
              <w:jc w:val="right"/>
            </w:pPr>
            <w:r>
              <w:rPr>
                <w:color w:val="000000"/>
                <w:sz w:val="24"/>
              </w:rPr>
              <w:t>-</w:t>
            </w:r>
          </w:p>
        </w:tc>
        <w:tc>
          <w:tcPr>
            <w:tcW w:w="1739" w:type="dxa"/>
            <w:vAlign w:val="center"/>
          </w:tcPr>
          <w:p w:rsidR="00295532" w:rsidRDefault="0068313B">
            <w:pPr>
              <w:jc w:val="right"/>
            </w:pPr>
            <w:r>
              <w:rPr>
                <w:color w:val="000000"/>
                <w:sz w:val="24"/>
              </w:rPr>
              <w:t>-</w:t>
            </w:r>
          </w:p>
        </w:tc>
        <w:tc>
          <w:tcPr>
            <w:tcW w:w="1701" w:type="dxa"/>
            <w:vAlign w:val="center"/>
          </w:tcPr>
          <w:p w:rsidR="00295532" w:rsidRDefault="0068313B">
            <w:pPr>
              <w:jc w:val="right"/>
            </w:pPr>
            <w:r>
              <w:rPr>
                <w:color w:val="000000"/>
                <w:sz w:val="24"/>
              </w:rPr>
              <w:t>-</w:t>
            </w:r>
          </w:p>
        </w:tc>
        <w:tc>
          <w:tcPr>
            <w:tcW w:w="1060" w:type="dxa"/>
            <w:vAlign w:val="center"/>
          </w:tcPr>
          <w:p w:rsidR="00295532" w:rsidRDefault="0068313B">
            <w:pPr>
              <w:jc w:val="left"/>
            </w:pPr>
            <w:r>
              <w:rPr>
                <w:color w:val="000000"/>
                <w:sz w:val="24"/>
              </w:rPr>
              <w:t>-</w:t>
            </w:r>
          </w:p>
        </w:tc>
      </w:tr>
      <w:tr w:rsidR="00295532">
        <w:tc>
          <w:tcPr>
            <w:tcW w:w="1499" w:type="dxa"/>
            <w:vAlign w:val="center"/>
          </w:tcPr>
          <w:p w:rsidR="00295532" w:rsidRDefault="0068313B">
            <w:pPr>
              <w:jc w:val="center"/>
            </w:pPr>
            <w:r>
              <w:rPr>
                <w:color w:val="000000"/>
                <w:sz w:val="24"/>
              </w:rPr>
              <w:t>2016</w:t>
            </w:r>
            <w:r>
              <w:rPr>
                <w:color w:val="000000"/>
                <w:sz w:val="24"/>
              </w:rPr>
              <w:t>年</w:t>
            </w:r>
          </w:p>
        </w:tc>
        <w:tc>
          <w:tcPr>
            <w:tcW w:w="1336" w:type="dxa"/>
            <w:vAlign w:val="center"/>
          </w:tcPr>
          <w:p w:rsidR="00295532" w:rsidRDefault="0068313B">
            <w:pPr>
              <w:jc w:val="right"/>
            </w:pPr>
            <w:r>
              <w:rPr>
                <w:color w:val="000000"/>
                <w:sz w:val="24"/>
              </w:rPr>
              <w:t>-</w:t>
            </w:r>
          </w:p>
        </w:tc>
        <w:tc>
          <w:tcPr>
            <w:tcW w:w="1663" w:type="dxa"/>
            <w:vAlign w:val="center"/>
          </w:tcPr>
          <w:p w:rsidR="00295532" w:rsidRDefault="0068313B">
            <w:pPr>
              <w:jc w:val="right"/>
            </w:pPr>
            <w:r>
              <w:rPr>
                <w:color w:val="000000"/>
                <w:sz w:val="24"/>
              </w:rPr>
              <w:t>-</w:t>
            </w:r>
          </w:p>
        </w:tc>
        <w:tc>
          <w:tcPr>
            <w:tcW w:w="1739" w:type="dxa"/>
            <w:vAlign w:val="center"/>
          </w:tcPr>
          <w:p w:rsidR="00295532" w:rsidRDefault="0068313B">
            <w:pPr>
              <w:jc w:val="right"/>
            </w:pPr>
            <w:r>
              <w:rPr>
                <w:color w:val="000000"/>
                <w:sz w:val="24"/>
              </w:rPr>
              <w:t>-</w:t>
            </w:r>
          </w:p>
        </w:tc>
        <w:tc>
          <w:tcPr>
            <w:tcW w:w="1701" w:type="dxa"/>
            <w:vAlign w:val="center"/>
          </w:tcPr>
          <w:p w:rsidR="00295532" w:rsidRDefault="0068313B">
            <w:pPr>
              <w:jc w:val="right"/>
            </w:pPr>
            <w:r>
              <w:rPr>
                <w:color w:val="000000"/>
                <w:sz w:val="24"/>
              </w:rPr>
              <w:t>-</w:t>
            </w:r>
          </w:p>
        </w:tc>
        <w:tc>
          <w:tcPr>
            <w:tcW w:w="1060" w:type="dxa"/>
            <w:vAlign w:val="center"/>
          </w:tcPr>
          <w:p w:rsidR="00295532" w:rsidRDefault="0068313B">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295532" w:rsidRDefault="0068313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295532">
        <w:tc>
          <w:tcPr>
            <w:tcW w:w="1499" w:type="dxa"/>
            <w:vAlign w:val="center"/>
          </w:tcPr>
          <w:p w:rsidR="00295532" w:rsidRDefault="0068313B">
            <w:pPr>
              <w:jc w:val="center"/>
            </w:pPr>
            <w:r>
              <w:rPr>
                <w:color w:val="000000"/>
                <w:sz w:val="24"/>
              </w:rPr>
              <w:t>于海颖</w:t>
            </w:r>
          </w:p>
        </w:tc>
        <w:tc>
          <w:tcPr>
            <w:tcW w:w="1499" w:type="dxa"/>
            <w:vAlign w:val="center"/>
          </w:tcPr>
          <w:p w:rsidR="00295532" w:rsidRDefault="0068313B">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500" w:type="dxa"/>
            <w:vAlign w:val="center"/>
          </w:tcPr>
          <w:p w:rsidR="00295532" w:rsidRDefault="0068313B">
            <w:pPr>
              <w:jc w:val="center"/>
            </w:pPr>
            <w:r>
              <w:rPr>
                <w:color w:val="000000"/>
                <w:sz w:val="24"/>
              </w:rPr>
              <w:t>2017-06-10</w:t>
            </w:r>
          </w:p>
        </w:tc>
        <w:tc>
          <w:tcPr>
            <w:tcW w:w="1500" w:type="dxa"/>
            <w:vAlign w:val="center"/>
          </w:tcPr>
          <w:p w:rsidR="00295532" w:rsidRDefault="0068313B">
            <w:pPr>
              <w:jc w:val="center"/>
            </w:pPr>
            <w:r>
              <w:rPr>
                <w:color w:val="000000"/>
                <w:sz w:val="24"/>
              </w:rPr>
              <w:t>-</w:t>
            </w:r>
          </w:p>
        </w:tc>
        <w:tc>
          <w:tcPr>
            <w:tcW w:w="1090" w:type="dxa"/>
            <w:vAlign w:val="center"/>
          </w:tcPr>
          <w:p w:rsidR="00295532" w:rsidRDefault="0068313B">
            <w:pPr>
              <w:jc w:val="center"/>
            </w:pPr>
            <w:r>
              <w:rPr>
                <w:color w:val="000000"/>
                <w:sz w:val="24"/>
              </w:rPr>
              <w:t>12</w:t>
            </w:r>
            <w:r>
              <w:rPr>
                <w:color w:val="000000"/>
                <w:sz w:val="24"/>
              </w:rPr>
              <w:t>年</w:t>
            </w:r>
          </w:p>
        </w:tc>
        <w:tc>
          <w:tcPr>
            <w:tcW w:w="1910" w:type="dxa"/>
            <w:vAlign w:val="center"/>
          </w:tcPr>
          <w:p w:rsidR="00295532" w:rsidRDefault="0068313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w:t>
            </w:r>
            <w:r>
              <w:rPr>
                <w:color w:val="000000"/>
                <w:sz w:val="24"/>
              </w:rPr>
              <w:t>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lastRenderedPageBreak/>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295532">
        <w:tc>
          <w:tcPr>
            <w:tcW w:w="1499" w:type="dxa"/>
            <w:vAlign w:val="center"/>
          </w:tcPr>
          <w:p w:rsidR="00295532" w:rsidRDefault="0068313B">
            <w:pPr>
              <w:jc w:val="center"/>
            </w:pPr>
            <w:r>
              <w:rPr>
                <w:color w:val="000000"/>
                <w:sz w:val="24"/>
              </w:rPr>
              <w:lastRenderedPageBreak/>
              <w:t>王艺伟</w:t>
            </w:r>
          </w:p>
        </w:tc>
        <w:tc>
          <w:tcPr>
            <w:tcW w:w="1499" w:type="dxa"/>
            <w:vAlign w:val="center"/>
          </w:tcPr>
          <w:p w:rsidR="00295532" w:rsidRDefault="0068313B">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、交银双利债券、交银双轮动债券、交银荣祥保本混合、交银定期支付月月丰债券、交银增强收益债券、交银强化回报债券、交银裕通纯债债券、交银荣鑫保本混合、交银安心收益债券的基金经理</w:t>
            </w:r>
          </w:p>
        </w:tc>
        <w:tc>
          <w:tcPr>
            <w:tcW w:w="1500" w:type="dxa"/>
            <w:vAlign w:val="center"/>
          </w:tcPr>
          <w:p w:rsidR="00295532" w:rsidRDefault="0068313B">
            <w:pPr>
              <w:jc w:val="center"/>
            </w:pPr>
            <w:r>
              <w:rPr>
                <w:color w:val="000000"/>
                <w:sz w:val="24"/>
              </w:rPr>
              <w:t>2017-05-24</w:t>
            </w:r>
          </w:p>
        </w:tc>
        <w:tc>
          <w:tcPr>
            <w:tcW w:w="1500" w:type="dxa"/>
            <w:vAlign w:val="center"/>
          </w:tcPr>
          <w:p w:rsidR="00295532" w:rsidRDefault="0068313B">
            <w:pPr>
              <w:jc w:val="center"/>
            </w:pPr>
            <w:r>
              <w:rPr>
                <w:color w:val="000000"/>
                <w:sz w:val="24"/>
              </w:rPr>
              <w:t>-</w:t>
            </w:r>
          </w:p>
        </w:tc>
        <w:tc>
          <w:tcPr>
            <w:tcW w:w="1090" w:type="dxa"/>
            <w:vAlign w:val="center"/>
          </w:tcPr>
          <w:p w:rsidR="00295532" w:rsidRDefault="0068313B">
            <w:pPr>
              <w:jc w:val="center"/>
            </w:pPr>
            <w:r>
              <w:rPr>
                <w:color w:val="000000"/>
                <w:sz w:val="24"/>
              </w:rPr>
              <w:t>6</w:t>
            </w:r>
            <w:r>
              <w:rPr>
                <w:color w:val="000000"/>
                <w:sz w:val="24"/>
              </w:rPr>
              <w:t>年</w:t>
            </w:r>
          </w:p>
        </w:tc>
        <w:tc>
          <w:tcPr>
            <w:tcW w:w="1910" w:type="dxa"/>
            <w:vAlign w:val="center"/>
          </w:tcPr>
          <w:p w:rsidR="00295532" w:rsidRDefault="0068313B">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295532" w:rsidRDefault="0068313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（如适用）之日为准。</w:t>
      </w:r>
    </w:p>
    <w:p w:rsidR="00295532" w:rsidRDefault="0068313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295532" w:rsidRDefault="0068313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95532" w:rsidRDefault="0068313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95532" w:rsidRDefault="0068313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w:t>
      </w:r>
      <w:r>
        <w:rPr>
          <w:color w:val="000000"/>
          <w:sz w:val="24"/>
        </w:rPr>
        <w:lastRenderedPageBreak/>
        <w:t>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95532" w:rsidRDefault="0068313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95532" w:rsidRDefault="0068313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295532" w:rsidRDefault="0068313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95532" w:rsidRDefault="0068313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w:t>
      </w:r>
      <w:r>
        <w:rPr>
          <w:color w:val="000000"/>
          <w:sz w:val="24"/>
        </w:rPr>
        <w:t>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95532" w:rsidRDefault="0068313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w:t>
      </w:r>
      <w:r>
        <w:rPr>
          <w:color w:val="000000"/>
          <w:sz w:val="24"/>
        </w:rPr>
        <w:t>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w:t>
      </w:r>
      <w:r w:rsidRPr="0013437B">
        <w:rPr>
          <w:color w:val="000000"/>
          <w:sz w:val="24"/>
        </w:rPr>
        <w:lastRenderedPageBreak/>
        <w:t>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295532" w:rsidRDefault="0068313B">
      <w:pPr>
        <w:spacing w:before="29" w:line="288" w:lineRule="auto"/>
        <w:ind w:firstLineChars="200" w:firstLine="480"/>
        <w:rPr>
          <w:color w:val="000000"/>
          <w:sz w:val="24"/>
        </w:rPr>
      </w:pPr>
      <w:r>
        <w:rPr>
          <w:color w:val="000000"/>
          <w:sz w:val="24"/>
        </w:rPr>
        <w:t>整体来看，</w:t>
      </w:r>
      <w:r>
        <w:rPr>
          <w:color w:val="000000"/>
          <w:sz w:val="24"/>
        </w:rPr>
        <w:t>2018</w:t>
      </w:r>
      <w:r>
        <w:rPr>
          <w:color w:val="00000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color w:val="000000"/>
          <w:sz w:val="24"/>
        </w:rPr>
        <w:t>2018</w:t>
      </w:r>
      <w:r>
        <w:rPr>
          <w:color w:val="000000"/>
          <w:sz w:val="24"/>
        </w:rPr>
        <w:t>年全年债券市场呈现收益率下行的趋势，但收益率下行过程中，市场也经历了两次较为明显的调整。</w:t>
      </w:r>
      <w:r>
        <w:rPr>
          <w:color w:val="000000"/>
          <w:sz w:val="24"/>
        </w:rPr>
        <w:t>2018</w:t>
      </w:r>
      <w:r>
        <w:rPr>
          <w:color w:val="000000"/>
          <w:sz w:val="24"/>
        </w:rPr>
        <w:t>年五月的调整主</w:t>
      </w:r>
      <w:r>
        <w:rPr>
          <w:color w:val="000000"/>
          <w:sz w:val="24"/>
        </w:rPr>
        <w:t>要来自资金面紧张、信用违约频发以及对稳增长的担忧。</w:t>
      </w:r>
      <w:r>
        <w:rPr>
          <w:color w:val="000000"/>
          <w:sz w:val="24"/>
        </w:rPr>
        <w:t>2018</w:t>
      </w:r>
      <w:r>
        <w:rPr>
          <w:color w:val="000000"/>
          <w:sz w:val="24"/>
        </w:rPr>
        <w:t>年八、九月的调整主要来自对信用扩张、通胀预期、地方债供给增加以及央行收紧资金面的担忧。</w:t>
      </w:r>
    </w:p>
    <w:p w:rsidR="00295532" w:rsidRDefault="0068313B">
      <w:pPr>
        <w:spacing w:before="29" w:line="288" w:lineRule="auto"/>
        <w:ind w:firstLineChars="200" w:firstLine="480"/>
        <w:rPr>
          <w:color w:val="000000"/>
          <w:sz w:val="24"/>
        </w:rPr>
      </w:pPr>
      <w:r>
        <w:rPr>
          <w:color w:val="000000"/>
          <w:sz w:val="24"/>
        </w:rPr>
        <w:t>权益市场方面，在经济基本面下行、金融去杠杆以及中美贸易争端三重因素影响下，权益市场普遍面临业绩估值下调的困境，上证综指年跌幅</w:t>
      </w:r>
      <w:r>
        <w:rPr>
          <w:color w:val="000000"/>
          <w:sz w:val="24"/>
        </w:rPr>
        <w:t>24.59%</w:t>
      </w:r>
      <w:r>
        <w:rPr>
          <w:color w:val="000000"/>
          <w:sz w:val="24"/>
        </w:rPr>
        <w:t>，创业板指年跌幅</w:t>
      </w:r>
      <w:r>
        <w:rPr>
          <w:color w:val="000000"/>
          <w:sz w:val="24"/>
        </w:rPr>
        <w:t>28.65%</w:t>
      </w:r>
      <w:r>
        <w:rPr>
          <w:color w:val="000000"/>
          <w:sz w:val="24"/>
        </w:rPr>
        <w:t>。全年看，防御性较强的消费及银行跌幅相对较小，但随着经济增速下滑，消费行业在</w:t>
      </w:r>
      <w:r>
        <w:rPr>
          <w:color w:val="000000"/>
          <w:sz w:val="24"/>
        </w:rPr>
        <w:t>2018</w:t>
      </w:r>
      <w:r>
        <w:rPr>
          <w:color w:val="000000"/>
          <w:sz w:val="24"/>
        </w:rPr>
        <w:t>年三季度起的表现也逐步走疲，而电子、有色等在</w:t>
      </w:r>
      <w:r>
        <w:rPr>
          <w:color w:val="000000"/>
          <w:sz w:val="24"/>
        </w:rPr>
        <w:t>2017</w:t>
      </w:r>
      <w:r>
        <w:rPr>
          <w:color w:val="000000"/>
          <w:sz w:val="24"/>
        </w:rPr>
        <w:t>年相对强势的行业表现较差。</w:t>
      </w:r>
    </w:p>
    <w:p w:rsidR="001A59F9" w:rsidRPr="0013437B" w:rsidRDefault="001A59F9" w:rsidP="0013437B">
      <w:pPr>
        <w:spacing w:before="29" w:line="288" w:lineRule="auto"/>
        <w:ind w:firstLineChars="200" w:firstLine="480"/>
        <w:rPr>
          <w:color w:val="000000"/>
          <w:sz w:val="24"/>
        </w:rPr>
      </w:pPr>
      <w:r w:rsidRPr="0013437B">
        <w:rPr>
          <w:color w:val="000000"/>
          <w:sz w:val="24"/>
        </w:rPr>
        <w:t>组合操作层面，本基金在</w:t>
      </w:r>
      <w:r w:rsidRPr="0013437B">
        <w:rPr>
          <w:color w:val="000000"/>
          <w:sz w:val="24"/>
        </w:rPr>
        <w:t>CPPI</w:t>
      </w:r>
      <w:r w:rsidRPr="0013437B">
        <w:rPr>
          <w:color w:val="000000"/>
          <w:sz w:val="24"/>
        </w:rPr>
        <w:t>管理框架的基础上继续积累组合安全垫，并控制组合回撤。考虑到流动性宽松较为确定，组合维持高杠杆策略，并在</w:t>
      </w:r>
      <w:r w:rsidRPr="0013437B">
        <w:rPr>
          <w:color w:val="000000"/>
          <w:sz w:val="24"/>
        </w:rPr>
        <w:t>2018</w:t>
      </w:r>
      <w:r w:rsidRPr="0013437B">
        <w:rPr>
          <w:color w:val="000000"/>
          <w:sz w:val="24"/>
        </w:rPr>
        <w:t>年前三个季度择机将部分短久期资产置换为保本周期范围内和保本剩余期限相匹配的久期较长的优质资产，以提升组合静态。</w:t>
      </w:r>
      <w:r w:rsidRPr="0013437B">
        <w:rPr>
          <w:color w:val="000000"/>
          <w:sz w:val="24"/>
        </w:rPr>
        <w:t>2018</w:t>
      </w:r>
      <w:r w:rsidRPr="0013437B">
        <w:rPr>
          <w:color w:val="000000"/>
          <w:sz w:val="24"/>
        </w:rPr>
        <w:t>年四季度由于保本周期即将到期，组合资产期限与保本周期较为匹配，因此不再进行置换操作。在权益和转债配置方面，组合在</w:t>
      </w:r>
      <w:r w:rsidRPr="0013437B">
        <w:rPr>
          <w:color w:val="000000"/>
          <w:sz w:val="24"/>
        </w:rPr>
        <w:t>2018</w:t>
      </w:r>
      <w:r w:rsidRPr="0013437B">
        <w:rPr>
          <w:color w:val="000000"/>
          <w:sz w:val="24"/>
        </w:rPr>
        <w:t>年一、二季度维持偏低仓位，三季度起权益和转债基本维持零仓位，以控制回撤风险。</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w:t>
      </w:r>
      <w:r w:rsidRPr="0013437B">
        <w:rPr>
          <w:color w:val="000000"/>
          <w:sz w:val="24"/>
        </w:rPr>
        <w:lastRenderedPageBreak/>
        <w:t>的时滞可能会比以往更长，当前期限虽有收窄但仍处于高位，预计长端利率仍有一定下行空间。但是利率的下行节奏可能不如</w:t>
      </w:r>
      <w:r w:rsidRPr="0013437B">
        <w:rPr>
          <w:color w:val="000000"/>
          <w:sz w:val="24"/>
        </w:rPr>
        <w:t>2018</w:t>
      </w:r>
      <w:r w:rsidRPr="0013437B">
        <w:rPr>
          <w:color w:val="000000"/>
          <w:sz w:val="24"/>
        </w:rPr>
        <w:t>年那么顺畅，关注逆周期调节政策可能会导致社融同比阶段性企稳，猪价油价超预期上涨可能会对通胀预期产生扰动。从操作层面上，我们预期资金面相对充裕的格局并未改变，保本组合将延续杠杆策略，并保证组合久期与保本周期基本匹配，赚取稳定收益，同时由于本组合保本周期将于</w:t>
      </w:r>
      <w:r w:rsidRPr="0013437B">
        <w:rPr>
          <w:color w:val="000000"/>
          <w:sz w:val="24"/>
        </w:rPr>
        <w:t>2019</w:t>
      </w:r>
      <w:r w:rsidRPr="0013437B">
        <w:rPr>
          <w:color w:val="000000"/>
          <w:sz w:val="24"/>
        </w:rPr>
        <w:t>年一季度到期，届时组合会择机降低杠杆水平，根据规模的变动情况动态的进行组合的调整，并按照转型后的基金合同进行组合的操作和配置。</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295532" w:rsidRDefault="0068313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w:t>
      </w:r>
      <w:r>
        <w:rPr>
          <w:color w:val="000000"/>
          <w:sz w:val="24"/>
        </w:rPr>
        <w:t>会，估值委员会成员由研究部、基金运营部、风险管理部等人员和固定收益人员及基金经理组成。</w:t>
      </w:r>
    </w:p>
    <w:p w:rsidR="00295532" w:rsidRDefault="0068313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本报告期内，中国民生银行股份有限公司在本基金的托管过程中，严格遵守《证券</w:t>
      </w:r>
      <w:r w:rsidRPr="0013437B">
        <w:rPr>
          <w:color w:val="000000"/>
          <w:sz w:val="24"/>
        </w:rPr>
        <w:lastRenderedPageBreak/>
        <w:t>投资基金法》及其他法律法规和基金合同、托管协议的有关规定，依法安全保管了基金财产，不存在损害基金份额持有人利益的行为，完全尽职尽责地履行了基金托管人应尽的义务。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295532" w:rsidRDefault="0068313B">
      <w:pPr>
        <w:spacing w:before="29" w:line="288" w:lineRule="auto"/>
        <w:ind w:firstLineChars="200" w:firstLine="480"/>
        <w:rPr>
          <w:color w:val="000000"/>
          <w:sz w:val="24"/>
        </w:rPr>
      </w:pPr>
      <w:r>
        <w:rPr>
          <w:color w:val="000000"/>
          <w:sz w:val="24"/>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本报告期内，本基金未进行利润分配。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本托管人复核审查的本报告中的财务指标、净值表现、财务会计报告、投资组合报告等内容真实、准确和完整。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交银施罗德荣鑫保本混合型证券投资基金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21575</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交银施罗德荣鑫保本混合型证券投资基金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1,115,841.87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1,746,992.33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lastRenderedPageBreak/>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12,157,253.34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8,746,876.39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3,348.01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13,144.15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909,280,020.00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970,061,321.30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909,280,020.00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970,061,321.30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32,119,085.92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19,267,168.33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1,782.18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954,677,331.32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999,835,502.50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350,659,335.51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294,217,283.67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153,337.80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233,404.56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291.09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146,866.07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614,004.92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727,884.35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102,334.14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121,314.04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9,376.56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18,562.92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23,864.38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244,641.59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144,778.61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229,300.00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241,791.05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352,036,485.99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295,851,885.27</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563,077,746.71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689,816,851.23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39,563,098.62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14,166,766.00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602,640,845.33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703,983,617.23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954,677,331.32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999,835,502.50</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1.070</w:t>
      </w:r>
      <w:r w:rsidR="001A59F9" w:rsidRPr="00AA0214">
        <w:rPr>
          <w:kern w:val="0"/>
          <w:sz w:val="24"/>
        </w:rPr>
        <w:t>元，基金份额总额</w:t>
      </w:r>
      <w:r w:rsidR="001A59F9" w:rsidRPr="00AA0214">
        <w:rPr>
          <w:kern w:val="0"/>
          <w:sz w:val="24"/>
        </w:rPr>
        <w:t>563,077,746.71</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交银施罗德荣鑫保本混合型证券投资基金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51,199,986.15</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39,031,135.11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42,782,472.50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42,535,463.38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197,278.25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200,412.25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42,585,194.25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41,260,334.23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1,074,716.90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-94,547.93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-5,846,940.42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-1,223,075.64</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-94,547.93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-4,644,230.15</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20,365.37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8,061,616.16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1,334,369.22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450,445.42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1,008,242.93</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20,847,751.97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23,400,660.05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7,564,245.71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9,859,424.88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1,260,707.61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1,643,237.45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5,854.53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112,321.37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11,711,639.99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11,495,874.74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11,711,639.99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11,495,874.74</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34,642.41</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270,661.72</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289,801.61</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30,352,234.18</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15,630,475.06</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30,352,234.18</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15,630,475.06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交银施罗德荣鑫保本混合型证券投资基金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689,816,851.23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14,166,766.00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703,983,617.23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30,352,234.18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30,352,234.18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w:t>
            </w:r>
            <w:r w:rsidRPr="00D34C2B">
              <w:rPr>
                <w:rFonts w:hint="eastAsia"/>
                <w:color w:val="000000"/>
                <w:sz w:val="24"/>
              </w:rPr>
              <w:lastRenderedPageBreak/>
              <w:t>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-126,739,104.52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-4,955,901.56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-131,695,006.08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620,990.32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35,014.28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656,004.60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-127,360,094.84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-4,990,915.84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-132,351,010.68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563,077,746.71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39,563,098.62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602,640,845.33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927,224,727.22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1,243,304.83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928,468,032.05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15,630,475.06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15,630,475.06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-237,407,875.99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-2,707,013.89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-240,114,889.88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251,335.75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1,639.17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252,974.92</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-237,659,211.74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-2,708,653.06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-240,367,864.80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689,816,851.23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14,166,766.00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703,983,617.23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lastRenderedPageBreak/>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295532" w:rsidRDefault="0068313B">
      <w:pPr>
        <w:spacing w:before="29" w:line="288" w:lineRule="auto"/>
        <w:ind w:firstLineChars="200" w:firstLine="480"/>
        <w:rPr>
          <w:color w:val="000000"/>
          <w:sz w:val="24"/>
        </w:rPr>
      </w:pPr>
      <w:r>
        <w:rPr>
          <w:color w:val="000000"/>
          <w:sz w:val="24"/>
        </w:rPr>
        <w:t>交银施罗德荣鑫保本混合型证券投资基金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[2016]449</w:t>
      </w:r>
      <w:r>
        <w:rPr>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Pr>
          <w:color w:val="000000"/>
          <w:sz w:val="24"/>
        </w:rPr>
        <w:t>988,871,434.55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325</w:t>
      </w:r>
      <w:r>
        <w:rPr>
          <w:color w:val="000000"/>
          <w:sz w:val="24"/>
        </w:rPr>
        <w:t>号验资报告予以验证。经向中国证监会备案，《交银施罗德荣鑫保本混合型证券投资基金基金合同》于</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日正式生效，基金合同生效日的基金份额总额为</w:t>
      </w:r>
      <w:r>
        <w:rPr>
          <w:color w:val="000000"/>
          <w:sz w:val="24"/>
        </w:rPr>
        <w:t>988,953,938.88</w:t>
      </w:r>
      <w:r>
        <w:rPr>
          <w:color w:val="000000"/>
          <w:sz w:val="24"/>
        </w:rPr>
        <w:t>份基金份额，其中认购资金利息折合</w:t>
      </w:r>
      <w:r>
        <w:rPr>
          <w:color w:val="000000"/>
          <w:sz w:val="24"/>
        </w:rPr>
        <w:t>82,504.33</w:t>
      </w:r>
      <w:r>
        <w:rPr>
          <w:color w:val="000000"/>
          <w:sz w:val="24"/>
        </w:rPr>
        <w:t>份基金份额。本基金的基金管理人为交银施罗德基金管理有限公司，基金托管人为中国民生银行股份有限公司，基金保证人为中国投融资担保股份有限公司。</w:t>
      </w:r>
    </w:p>
    <w:p w:rsidR="00295532" w:rsidRDefault="0068313B">
      <w:pPr>
        <w:spacing w:before="29" w:line="288" w:lineRule="auto"/>
        <w:ind w:firstLineChars="200" w:firstLine="480"/>
        <w:rPr>
          <w:color w:val="000000"/>
          <w:sz w:val="24"/>
        </w:rPr>
      </w:pPr>
      <w:r>
        <w:rPr>
          <w:color w:val="000000"/>
          <w:sz w:val="24"/>
        </w:rPr>
        <w:t>根据《交银施罗德荣鑫保本混合型证券投资基金基金合同》的有关约定，本基金的保本周期为三年。本基金第一个保本周期自本基金基金合同生效日起至三个</w:t>
      </w:r>
      <w:r>
        <w:rPr>
          <w:color w:val="000000"/>
          <w:sz w:val="24"/>
        </w:rPr>
        <w:t>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。但在保本周期内，如本基金份额累计净值收益率连续</w:t>
      </w:r>
      <w:r>
        <w:rPr>
          <w:color w:val="000000"/>
          <w:sz w:val="24"/>
        </w:rPr>
        <w:t>15</w:t>
      </w:r>
      <w:r>
        <w:rPr>
          <w:color w:val="000000"/>
          <w:sz w:val="24"/>
        </w:rPr>
        <w:t>个工作日达到或超过当期保本周期预设的目标收益率，则基金管理人将在基金份额累计净值收益率连续达到或超过预设的目标收益率的第</w:t>
      </w:r>
      <w:r>
        <w:rPr>
          <w:color w:val="000000"/>
          <w:sz w:val="24"/>
        </w:rPr>
        <w:t>15</w:t>
      </w:r>
      <w:r>
        <w:rPr>
          <w:color w:val="000000"/>
          <w:sz w:val="24"/>
        </w:rPr>
        <w:t>个工作日当日起</w:t>
      </w:r>
      <w:r>
        <w:rPr>
          <w:color w:val="000000"/>
          <w:sz w:val="24"/>
        </w:rPr>
        <w:t>10</w:t>
      </w:r>
      <w:r>
        <w:rPr>
          <w:color w:val="000000"/>
          <w:sz w:val="24"/>
        </w:rPr>
        <w:t>个工作日内公告本基金当期保本周期提前到期，并进入到期期间（提前到期日距离满足提前到期条件之日起不超过</w:t>
      </w:r>
      <w:r>
        <w:rPr>
          <w:color w:val="000000"/>
          <w:sz w:val="24"/>
        </w:rPr>
        <w:t>20</w:t>
      </w:r>
      <w:r>
        <w:rPr>
          <w:color w:val="000000"/>
          <w:sz w:val="24"/>
        </w:rPr>
        <w:t>个工作日，且不得晚于非提前到期情形下的保本周期到期日）。本基金第一个保本周期由中国投融资担保有限公司作为担保人，为本基金第一个保本周期的保本</w:t>
      </w:r>
      <w:r>
        <w:rPr>
          <w:color w:val="000000"/>
          <w:sz w:val="24"/>
        </w:rPr>
        <w:t>提供不可撤销的连带责任保证。</w:t>
      </w:r>
    </w:p>
    <w:p w:rsidR="00295532" w:rsidRDefault="0068313B">
      <w:pPr>
        <w:spacing w:before="29" w:line="288" w:lineRule="auto"/>
        <w:ind w:firstLineChars="200" w:firstLine="480"/>
        <w:rPr>
          <w:color w:val="000000"/>
          <w:sz w:val="24"/>
        </w:rPr>
      </w:pPr>
      <w:r>
        <w:rPr>
          <w:color w:val="000000"/>
          <w:sz w:val="24"/>
        </w:rPr>
        <w:t>本基金目前处于第一个保本周期，根据《交银施罗德荣鑫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w:t>
      </w:r>
      <w:r>
        <w:rPr>
          <w:color w:val="000000"/>
          <w:sz w:val="24"/>
        </w:rPr>
        <w:t>保本条款。</w:t>
      </w:r>
    </w:p>
    <w:p w:rsidR="00295532" w:rsidRDefault="0068313B">
      <w:pPr>
        <w:spacing w:before="29" w:line="288" w:lineRule="auto"/>
        <w:ind w:firstLineChars="200" w:firstLine="480"/>
        <w:rPr>
          <w:color w:val="000000"/>
          <w:sz w:val="24"/>
        </w:rPr>
      </w:pPr>
      <w:r>
        <w:rPr>
          <w:color w:val="000000"/>
          <w:sz w:val="24"/>
        </w:rPr>
        <w:t>根据《中华人民共和国证券投资基金法》和《交银施罗德荣鑫保本混合型证券投资基金基金合同》的有关规定，本基金的投资范围为具有良好流动性的金融工具，包括国内依法发行上市的股票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、债券、中期票据、货币市场工具、银行存款、权证、资产支持证券、股指期货以及法律法规或中国证监会允许基金投资的其他金融工具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。本基金将按照恒定比例组合保险机制将资产配置于稳健资产和风险资产。本基金的基金资产包括稳健资产和风险资产，稳健资产为国内依法发行交</w:t>
      </w:r>
      <w:r>
        <w:rPr>
          <w:color w:val="000000"/>
          <w:sz w:val="24"/>
        </w:rPr>
        <w:t>易的债券、货币市场工具和银行存款等，其中债券包括国债、金融债、央行票据、地方政府债券、企业债券、公司债券、中期票</w:t>
      </w:r>
      <w:r>
        <w:rPr>
          <w:color w:val="000000"/>
          <w:sz w:val="24"/>
        </w:rPr>
        <w:lastRenderedPageBreak/>
        <w:t>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w:t>
      </w:r>
      <w:r>
        <w:rPr>
          <w:color w:val="000000"/>
          <w:sz w:val="24"/>
        </w:rPr>
        <w:t>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日，本基金的保本期安排列示如下：</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保本期到期日</w:t>
      </w:r>
      <w:r>
        <w:rPr>
          <w:color w:val="000000"/>
          <w:sz w:val="24"/>
        </w:rPr>
        <w:t xml:space="preserve">  </w:t>
      </w:r>
      <w:r>
        <w:rPr>
          <w:color w:val="000000"/>
          <w:sz w:val="24"/>
        </w:rPr>
        <w:t>保本份额数</w:t>
      </w:r>
      <w:r>
        <w:rPr>
          <w:color w:val="000000"/>
          <w:sz w:val="24"/>
        </w:rPr>
        <w:t xml:space="preserve">  </w:t>
      </w:r>
      <w:r>
        <w:rPr>
          <w:color w:val="000000"/>
          <w:sz w:val="24"/>
        </w:rPr>
        <w:t>最大保本线</w:t>
      </w:r>
      <w:r>
        <w:rPr>
          <w:color w:val="000000"/>
          <w:sz w:val="24"/>
        </w:rPr>
        <w:t xml:space="preserve">  </w:t>
      </w:r>
      <w:r>
        <w:rPr>
          <w:color w:val="000000"/>
          <w:sz w:val="24"/>
        </w:rPr>
        <w:t>截止</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日基金份额净值</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2019</w:t>
      </w:r>
      <w:r>
        <w:rPr>
          <w:color w:val="000000"/>
          <w:sz w:val="24"/>
        </w:rPr>
        <w:t>年</w:t>
      </w:r>
      <w:r>
        <w:rPr>
          <w:color w:val="000000"/>
          <w:sz w:val="24"/>
        </w:rPr>
        <w:t>3</w:t>
      </w:r>
      <w:r>
        <w:rPr>
          <w:color w:val="000000"/>
          <w:sz w:val="24"/>
        </w:rPr>
        <w:t>月</w:t>
      </w:r>
      <w:r>
        <w:rPr>
          <w:color w:val="000000"/>
          <w:sz w:val="24"/>
        </w:rPr>
        <w:t>25</w:t>
      </w:r>
      <w:r>
        <w:rPr>
          <w:color w:val="000000"/>
          <w:sz w:val="24"/>
        </w:rPr>
        <w:t>日</w:t>
      </w:r>
      <w:r>
        <w:rPr>
          <w:color w:val="000000"/>
          <w:sz w:val="24"/>
        </w:rPr>
        <w:t xml:space="preserve">  562,523,775.71   1.000  1.070</w:t>
      </w:r>
    </w:p>
    <w:p w:rsidR="00295532" w:rsidRDefault="00295532">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295532" w:rsidRDefault="0068313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颁布的《证券投资基金会计核算业务指引》、《交银施罗德荣鑫保本混合型证券投资基金基金合同》和在财务报表附注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295532" w:rsidRDefault="00295532">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295532" w:rsidRDefault="0068313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w:t>
      </w:r>
      <w:r>
        <w:rPr>
          <w:color w:val="000000"/>
          <w:sz w:val="24"/>
        </w:rPr>
        <w:t>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95532" w:rsidRDefault="0068313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295532" w:rsidRDefault="00295532">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295532">
        <w:tc>
          <w:tcPr>
            <w:tcW w:w="5220" w:type="dxa"/>
            <w:vAlign w:val="center"/>
          </w:tcPr>
          <w:p w:rsidR="00295532" w:rsidRDefault="0068313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95532" w:rsidRDefault="0068313B">
            <w:pPr>
              <w:jc w:val="center"/>
            </w:pPr>
            <w:r>
              <w:rPr>
                <w:color w:val="000000"/>
                <w:sz w:val="24"/>
              </w:rPr>
              <w:t>基金管理人、基金销售机构</w:t>
            </w:r>
          </w:p>
        </w:tc>
      </w:tr>
      <w:tr w:rsidR="00295532">
        <w:tc>
          <w:tcPr>
            <w:tcW w:w="5220" w:type="dxa"/>
            <w:vAlign w:val="center"/>
          </w:tcPr>
          <w:p w:rsidR="00295532" w:rsidRDefault="0068313B">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80" w:type="dxa"/>
            <w:vAlign w:val="center"/>
          </w:tcPr>
          <w:p w:rsidR="00295532" w:rsidRDefault="0068313B">
            <w:pPr>
              <w:jc w:val="center"/>
            </w:pPr>
            <w:r>
              <w:rPr>
                <w:color w:val="000000"/>
                <w:sz w:val="24"/>
              </w:rPr>
              <w:t>基金托管人、基金销售机构</w:t>
            </w:r>
          </w:p>
        </w:tc>
      </w:tr>
      <w:tr w:rsidR="00295532">
        <w:tc>
          <w:tcPr>
            <w:tcW w:w="5220" w:type="dxa"/>
            <w:vAlign w:val="center"/>
          </w:tcPr>
          <w:p w:rsidR="00295532" w:rsidRDefault="0068313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95532" w:rsidRDefault="0068313B">
            <w:pPr>
              <w:jc w:val="center"/>
            </w:pPr>
            <w:r>
              <w:rPr>
                <w:color w:val="000000"/>
                <w:sz w:val="24"/>
              </w:rPr>
              <w:t>基金管理人的股东、基金销售机构</w:t>
            </w:r>
          </w:p>
        </w:tc>
      </w:tr>
      <w:tr w:rsidR="00295532">
        <w:tc>
          <w:tcPr>
            <w:tcW w:w="5220" w:type="dxa"/>
            <w:vAlign w:val="center"/>
          </w:tcPr>
          <w:p w:rsidR="00295532" w:rsidRDefault="0068313B">
            <w:pPr>
              <w:jc w:val="left"/>
            </w:pPr>
            <w:r>
              <w:rPr>
                <w:color w:val="000000"/>
                <w:sz w:val="24"/>
              </w:rPr>
              <w:t>施罗德投资管理有限公司</w:t>
            </w:r>
          </w:p>
        </w:tc>
        <w:tc>
          <w:tcPr>
            <w:tcW w:w="3780" w:type="dxa"/>
            <w:vAlign w:val="center"/>
          </w:tcPr>
          <w:p w:rsidR="00295532" w:rsidRDefault="0068313B">
            <w:pPr>
              <w:jc w:val="center"/>
            </w:pPr>
            <w:r>
              <w:rPr>
                <w:color w:val="000000"/>
                <w:sz w:val="24"/>
              </w:rPr>
              <w:t>基金管理人的股东</w:t>
            </w:r>
          </w:p>
        </w:tc>
      </w:tr>
      <w:tr w:rsidR="00295532">
        <w:tc>
          <w:tcPr>
            <w:tcW w:w="5220" w:type="dxa"/>
            <w:vAlign w:val="center"/>
          </w:tcPr>
          <w:p w:rsidR="00295532" w:rsidRDefault="0068313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95532" w:rsidRDefault="0068313B">
            <w:pPr>
              <w:jc w:val="center"/>
            </w:pPr>
            <w:r>
              <w:rPr>
                <w:color w:val="000000"/>
                <w:sz w:val="24"/>
              </w:rPr>
              <w:t>基金管理人的股东</w:t>
            </w:r>
          </w:p>
        </w:tc>
      </w:tr>
      <w:tr w:rsidR="00295532">
        <w:tc>
          <w:tcPr>
            <w:tcW w:w="5220" w:type="dxa"/>
            <w:vAlign w:val="center"/>
          </w:tcPr>
          <w:p w:rsidR="00295532" w:rsidRDefault="0068313B">
            <w:pPr>
              <w:jc w:val="left"/>
            </w:pPr>
            <w:r>
              <w:rPr>
                <w:color w:val="000000"/>
                <w:sz w:val="24"/>
              </w:rPr>
              <w:t>交银施罗德资产管理有限公司</w:t>
            </w:r>
          </w:p>
        </w:tc>
        <w:tc>
          <w:tcPr>
            <w:tcW w:w="3780" w:type="dxa"/>
            <w:vAlign w:val="center"/>
          </w:tcPr>
          <w:p w:rsidR="00295532" w:rsidRDefault="0068313B">
            <w:pPr>
              <w:jc w:val="center"/>
            </w:pPr>
            <w:r>
              <w:rPr>
                <w:color w:val="000000"/>
                <w:sz w:val="24"/>
              </w:rPr>
              <w:t>基金管理人的子公司</w:t>
            </w:r>
          </w:p>
        </w:tc>
      </w:tr>
      <w:tr w:rsidR="00295532">
        <w:tc>
          <w:tcPr>
            <w:tcW w:w="5220" w:type="dxa"/>
            <w:vAlign w:val="center"/>
          </w:tcPr>
          <w:p w:rsidR="00295532" w:rsidRDefault="0068313B">
            <w:pPr>
              <w:jc w:val="left"/>
            </w:pPr>
            <w:r>
              <w:rPr>
                <w:color w:val="000000"/>
                <w:sz w:val="24"/>
              </w:rPr>
              <w:t>上海直源投资管理有限公司</w:t>
            </w:r>
          </w:p>
        </w:tc>
        <w:tc>
          <w:tcPr>
            <w:tcW w:w="3780" w:type="dxa"/>
            <w:vAlign w:val="center"/>
          </w:tcPr>
          <w:p w:rsidR="00295532" w:rsidRDefault="0068313B">
            <w:pPr>
              <w:jc w:val="center"/>
            </w:pPr>
            <w:r>
              <w:rPr>
                <w:color w:val="000000"/>
                <w:sz w:val="24"/>
              </w:rPr>
              <w:t>受基金管理人控制的公司</w:t>
            </w:r>
          </w:p>
        </w:tc>
      </w:tr>
      <w:tr w:rsidR="00295532">
        <w:tc>
          <w:tcPr>
            <w:tcW w:w="5220" w:type="dxa"/>
            <w:vAlign w:val="center"/>
          </w:tcPr>
          <w:p w:rsidR="00295532" w:rsidRDefault="0068313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295532" w:rsidRDefault="0068313B">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7,564,245.71</w:t>
            </w:r>
          </w:p>
        </w:tc>
        <w:tc>
          <w:tcPr>
            <w:tcW w:w="2657" w:type="dxa"/>
            <w:vAlign w:val="center"/>
          </w:tcPr>
          <w:p w:rsidR="001A59F9" w:rsidRPr="00924183" w:rsidRDefault="001A59F9" w:rsidP="00924183">
            <w:pPr>
              <w:spacing w:before="29" w:line="288" w:lineRule="auto"/>
              <w:jc w:val="right"/>
              <w:rPr>
                <w:sz w:val="24"/>
              </w:rPr>
            </w:pPr>
            <w:r w:rsidRPr="00924183">
              <w:rPr>
                <w:sz w:val="24"/>
              </w:rPr>
              <w:t>9,859,424.88</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1,994,886.40</w:t>
            </w:r>
          </w:p>
        </w:tc>
        <w:tc>
          <w:tcPr>
            <w:tcW w:w="2657" w:type="dxa"/>
            <w:vAlign w:val="center"/>
          </w:tcPr>
          <w:p w:rsidR="001A59F9" w:rsidRPr="00924183" w:rsidRDefault="001A59F9" w:rsidP="00924183">
            <w:pPr>
              <w:spacing w:before="29" w:line="288" w:lineRule="auto"/>
              <w:jc w:val="right"/>
              <w:rPr>
                <w:sz w:val="24"/>
              </w:rPr>
            </w:pPr>
            <w:r w:rsidRPr="00924183">
              <w:rPr>
                <w:sz w:val="24"/>
              </w:rPr>
              <w:t>2,995,249.32</w:t>
            </w:r>
          </w:p>
        </w:tc>
      </w:tr>
    </w:tbl>
    <w:p w:rsidR="00295532" w:rsidRDefault="0068313B">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×1.20%÷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1,260,707.61</w:t>
            </w:r>
          </w:p>
        </w:tc>
        <w:tc>
          <w:tcPr>
            <w:tcW w:w="2657" w:type="dxa"/>
            <w:vAlign w:val="center"/>
          </w:tcPr>
          <w:p w:rsidR="001A59F9" w:rsidRPr="00243BD8" w:rsidRDefault="001A59F9" w:rsidP="00243BD8">
            <w:pPr>
              <w:spacing w:before="29" w:line="288" w:lineRule="auto"/>
              <w:jc w:val="right"/>
              <w:rPr>
                <w:sz w:val="24"/>
              </w:rPr>
            </w:pPr>
            <w:r w:rsidRPr="00243BD8">
              <w:rPr>
                <w:sz w:val="24"/>
              </w:rPr>
              <w:t>1,643,237.45</w:t>
            </w:r>
          </w:p>
        </w:tc>
      </w:tr>
    </w:tbl>
    <w:p w:rsidR="00295532" w:rsidRDefault="0068313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5F72CF" w:rsidRDefault="003828F5"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3828F5" w:rsidRPr="00D564C7" w:rsidRDefault="003828F5" w:rsidP="002C6C89">
            <w:pPr>
              <w:autoSpaceDE w:val="0"/>
              <w:autoSpaceDN w:val="0"/>
              <w:spacing w:before="29" w:line="288" w:lineRule="auto"/>
              <w:jc w:val="center"/>
              <w:textAlignment w:val="bottom"/>
              <w:rPr>
                <w:rFonts w:asciiTheme="minorEastAsia" w:eastAsiaTheme="minorEastAsia" w:hAnsiTheme="minorEastAsia"/>
                <w:bCs/>
                <w:color w:val="000000"/>
                <w:szCs w:val="21"/>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295532">
        <w:tc>
          <w:tcPr>
            <w:tcW w:w="1422" w:type="dxa"/>
            <w:vAlign w:val="center"/>
          </w:tcPr>
          <w:p w:rsidR="00295532" w:rsidRDefault="0068313B">
            <w:pPr>
              <w:jc w:val="left"/>
            </w:pPr>
            <w:r>
              <w:rPr>
                <w:bCs/>
                <w:color w:val="000000"/>
                <w:sz w:val="24"/>
              </w:rPr>
              <w:t>中国民生银行</w:t>
            </w:r>
          </w:p>
        </w:tc>
        <w:tc>
          <w:tcPr>
            <w:tcW w:w="1818" w:type="dxa"/>
            <w:vAlign w:val="center"/>
          </w:tcPr>
          <w:p w:rsidR="00295532" w:rsidRDefault="0068313B">
            <w:pPr>
              <w:jc w:val="right"/>
            </w:pPr>
            <w:r>
              <w:rPr>
                <w:bCs/>
                <w:color w:val="000000"/>
                <w:sz w:val="24"/>
              </w:rPr>
              <w:t>-</w:t>
            </w:r>
          </w:p>
        </w:tc>
        <w:tc>
          <w:tcPr>
            <w:tcW w:w="1260" w:type="dxa"/>
            <w:vAlign w:val="center"/>
          </w:tcPr>
          <w:p w:rsidR="00295532" w:rsidRDefault="0068313B">
            <w:pPr>
              <w:jc w:val="right"/>
            </w:pPr>
            <w:r>
              <w:rPr>
                <w:bCs/>
                <w:color w:val="000000"/>
                <w:sz w:val="24"/>
              </w:rPr>
              <w:t>-</w:t>
            </w:r>
          </w:p>
        </w:tc>
        <w:tc>
          <w:tcPr>
            <w:tcW w:w="1260" w:type="dxa"/>
            <w:vAlign w:val="center"/>
          </w:tcPr>
          <w:p w:rsidR="00295532" w:rsidRDefault="0068313B">
            <w:pPr>
              <w:jc w:val="right"/>
            </w:pPr>
            <w:r>
              <w:rPr>
                <w:bCs/>
                <w:color w:val="000000"/>
                <w:sz w:val="24"/>
              </w:rPr>
              <w:t>-</w:t>
            </w:r>
          </w:p>
        </w:tc>
        <w:tc>
          <w:tcPr>
            <w:tcW w:w="1080" w:type="dxa"/>
            <w:vAlign w:val="center"/>
          </w:tcPr>
          <w:p w:rsidR="00295532" w:rsidRDefault="0068313B">
            <w:pPr>
              <w:jc w:val="right"/>
            </w:pPr>
            <w:r>
              <w:rPr>
                <w:bCs/>
                <w:color w:val="000000"/>
                <w:sz w:val="24"/>
              </w:rPr>
              <w:t>-</w:t>
            </w:r>
          </w:p>
        </w:tc>
        <w:tc>
          <w:tcPr>
            <w:tcW w:w="1512" w:type="dxa"/>
            <w:vAlign w:val="center"/>
          </w:tcPr>
          <w:p w:rsidR="00295532" w:rsidRDefault="0068313B">
            <w:pPr>
              <w:jc w:val="right"/>
            </w:pPr>
            <w:r>
              <w:rPr>
                <w:bCs/>
                <w:color w:val="000000"/>
                <w:sz w:val="24"/>
              </w:rPr>
              <w:t>1,627,470,000.00</w:t>
            </w:r>
          </w:p>
        </w:tc>
        <w:tc>
          <w:tcPr>
            <w:tcW w:w="1083" w:type="dxa"/>
            <w:vAlign w:val="center"/>
          </w:tcPr>
          <w:p w:rsidR="00295532" w:rsidRDefault="0068313B">
            <w:pPr>
              <w:jc w:val="right"/>
            </w:pPr>
            <w:r>
              <w:rPr>
                <w:bCs/>
                <w:color w:val="000000"/>
                <w:sz w:val="24"/>
              </w:rPr>
              <w:t>596,847.82</w:t>
            </w:r>
          </w:p>
        </w:tc>
      </w:tr>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3828F5" w:rsidRPr="002C6C89" w:rsidRDefault="003828F5"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w:t>
            </w:r>
            <w:r w:rsidRPr="002C6C89">
              <w:rPr>
                <w:rFonts w:hint="eastAsia"/>
                <w:bCs/>
                <w:color w:val="000000"/>
                <w:sz w:val="24"/>
              </w:rPr>
              <w:lastRenderedPageBreak/>
              <w:t>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295532">
        <w:tc>
          <w:tcPr>
            <w:tcW w:w="1422" w:type="dxa"/>
            <w:vAlign w:val="center"/>
          </w:tcPr>
          <w:p w:rsidR="00295532" w:rsidRDefault="0068313B">
            <w:pPr>
              <w:jc w:val="left"/>
            </w:pPr>
            <w:r>
              <w:rPr>
                <w:bCs/>
                <w:color w:val="000000"/>
                <w:sz w:val="24"/>
              </w:rPr>
              <w:t>中国民生银行</w:t>
            </w:r>
          </w:p>
        </w:tc>
        <w:tc>
          <w:tcPr>
            <w:tcW w:w="1818" w:type="dxa"/>
            <w:vAlign w:val="center"/>
          </w:tcPr>
          <w:p w:rsidR="00295532" w:rsidRDefault="0068313B">
            <w:pPr>
              <w:jc w:val="right"/>
            </w:pPr>
            <w:r>
              <w:rPr>
                <w:bCs/>
                <w:color w:val="000000"/>
                <w:sz w:val="24"/>
              </w:rPr>
              <w:t>-</w:t>
            </w:r>
          </w:p>
        </w:tc>
        <w:tc>
          <w:tcPr>
            <w:tcW w:w="1260" w:type="dxa"/>
            <w:vAlign w:val="center"/>
          </w:tcPr>
          <w:p w:rsidR="00295532" w:rsidRDefault="0068313B">
            <w:pPr>
              <w:jc w:val="right"/>
            </w:pPr>
            <w:r>
              <w:rPr>
                <w:bCs/>
                <w:color w:val="000000"/>
                <w:sz w:val="24"/>
              </w:rPr>
              <w:t>-</w:t>
            </w:r>
          </w:p>
        </w:tc>
        <w:tc>
          <w:tcPr>
            <w:tcW w:w="1260" w:type="dxa"/>
            <w:vAlign w:val="center"/>
          </w:tcPr>
          <w:p w:rsidR="00295532" w:rsidRDefault="0068313B">
            <w:pPr>
              <w:jc w:val="right"/>
            </w:pPr>
            <w:r>
              <w:rPr>
                <w:bCs/>
                <w:color w:val="000000"/>
                <w:sz w:val="24"/>
              </w:rPr>
              <w:t>-</w:t>
            </w:r>
          </w:p>
        </w:tc>
        <w:tc>
          <w:tcPr>
            <w:tcW w:w="1080" w:type="dxa"/>
            <w:vAlign w:val="center"/>
          </w:tcPr>
          <w:p w:rsidR="00295532" w:rsidRDefault="0068313B">
            <w:pPr>
              <w:jc w:val="right"/>
            </w:pPr>
            <w:r>
              <w:rPr>
                <w:bCs/>
                <w:color w:val="000000"/>
                <w:sz w:val="24"/>
              </w:rPr>
              <w:t>-</w:t>
            </w:r>
          </w:p>
        </w:tc>
        <w:tc>
          <w:tcPr>
            <w:tcW w:w="1512" w:type="dxa"/>
            <w:vAlign w:val="center"/>
          </w:tcPr>
          <w:p w:rsidR="00295532" w:rsidRDefault="0068313B">
            <w:pPr>
              <w:jc w:val="right"/>
            </w:pPr>
            <w:r>
              <w:rPr>
                <w:bCs/>
                <w:color w:val="000000"/>
                <w:sz w:val="24"/>
              </w:rPr>
              <w:t>643,350,000.00</w:t>
            </w:r>
          </w:p>
        </w:tc>
        <w:tc>
          <w:tcPr>
            <w:tcW w:w="1083" w:type="dxa"/>
            <w:vAlign w:val="center"/>
          </w:tcPr>
          <w:p w:rsidR="00295532" w:rsidRDefault="0068313B">
            <w:pPr>
              <w:jc w:val="right"/>
            </w:pPr>
            <w:r>
              <w:rPr>
                <w:bCs/>
                <w:color w:val="000000"/>
                <w:sz w:val="24"/>
              </w:rPr>
              <w:t>82,869.82</w:t>
            </w:r>
          </w:p>
        </w:tc>
      </w:tr>
    </w:tbl>
    <w:p w:rsidR="003E1E98" w:rsidRDefault="003E1E98" w:rsidP="005F72CF">
      <w:pPr>
        <w:autoSpaceDE w:val="0"/>
        <w:autoSpaceDN w:val="0"/>
        <w:adjustRightInd w:val="0"/>
        <w:spacing w:before="29" w:line="288" w:lineRule="auto"/>
        <w:ind w:left="15"/>
        <w:jc w:val="right"/>
        <w:rPr>
          <w:color w:val="000000"/>
          <w:sz w:val="24"/>
        </w:rPr>
      </w:pP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295532">
        <w:tc>
          <w:tcPr>
            <w:tcW w:w="1701" w:type="dxa"/>
            <w:vAlign w:val="center"/>
          </w:tcPr>
          <w:p w:rsidR="00295532" w:rsidRDefault="0068313B">
            <w:pPr>
              <w:jc w:val="left"/>
            </w:pPr>
            <w:r>
              <w:rPr>
                <w:color w:val="000000"/>
                <w:szCs w:val="21"/>
              </w:rPr>
              <w:t>中国民生银行</w:t>
            </w:r>
          </w:p>
        </w:tc>
        <w:tc>
          <w:tcPr>
            <w:tcW w:w="1985" w:type="dxa"/>
            <w:vAlign w:val="center"/>
          </w:tcPr>
          <w:p w:rsidR="00295532" w:rsidRDefault="0068313B">
            <w:pPr>
              <w:jc w:val="right"/>
            </w:pPr>
            <w:r>
              <w:rPr>
                <w:color w:val="000000"/>
                <w:szCs w:val="21"/>
              </w:rPr>
              <w:t>1,115,841.87</w:t>
            </w:r>
          </w:p>
        </w:tc>
        <w:tc>
          <w:tcPr>
            <w:tcW w:w="1701" w:type="dxa"/>
            <w:vAlign w:val="center"/>
          </w:tcPr>
          <w:p w:rsidR="00295532" w:rsidRDefault="0068313B">
            <w:pPr>
              <w:jc w:val="right"/>
            </w:pPr>
            <w:r>
              <w:rPr>
                <w:color w:val="000000"/>
                <w:szCs w:val="21"/>
              </w:rPr>
              <w:t>21,338.11</w:t>
            </w:r>
          </w:p>
        </w:tc>
        <w:tc>
          <w:tcPr>
            <w:tcW w:w="1843" w:type="dxa"/>
            <w:vAlign w:val="center"/>
          </w:tcPr>
          <w:p w:rsidR="00295532" w:rsidRDefault="0068313B">
            <w:pPr>
              <w:jc w:val="right"/>
            </w:pPr>
            <w:r>
              <w:rPr>
                <w:color w:val="000000"/>
                <w:szCs w:val="21"/>
              </w:rPr>
              <w:t>1,746,992.33</w:t>
            </w:r>
          </w:p>
        </w:tc>
        <w:tc>
          <w:tcPr>
            <w:tcW w:w="1768" w:type="dxa"/>
            <w:vAlign w:val="center"/>
          </w:tcPr>
          <w:p w:rsidR="00295532" w:rsidRDefault="0068313B">
            <w:pPr>
              <w:jc w:val="right"/>
            </w:pPr>
            <w:r>
              <w:rPr>
                <w:color w:val="000000"/>
                <w:szCs w:val="21"/>
              </w:rPr>
              <w:t>99,617.01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本基金本报告期末无因认购新发</w:t>
      </w:r>
      <w:r w:rsidRPr="00C840DF">
        <w:rPr>
          <w:kern w:val="0"/>
          <w:sz w:val="24"/>
        </w:rPr>
        <w:t>/</w:t>
      </w:r>
      <w:r w:rsidRPr="00C840DF">
        <w:rPr>
          <w:kern w:val="0"/>
          <w:sz w:val="24"/>
        </w:rPr>
        <w:t>增发证券而于期末持有的流通受限证券。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2018</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w:t>
      </w:r>
      <w:r w:rsidRPr="001A2A8C">
        <w:rPr>
          <w:color w:val="000000"/>
          <w:sz w:val="24"/>
        </w:rPr>
        <w:lastRenderedPageBreak/>
        <w:t>卖出回购证券款余额</w:t>
      </w:r>
      <w:r w:rsidRPr="001A2A8C">
        <w:rPr>
          <w:color w:val="000000"/>
          <w:sz w:val="24"/>
        </w:rPr>
        <w:t>229,659,335.51</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295532">
        <w:tc>
          <w:tcPr>
            <w:tcW w:w="1500" w:type="dxa"/>
            <w:vAlign w:val="center"/>
          </w:tcPr>
          <w:p w:rsidR="00295532" w:rsidRDefault="0068313B">
            <w:pPr>
              <w:jc w:val="center"/>
            </w:pPr>
            <w:r>
              <w:rPr>
                <w:color w:val="000000"/>
                <w:kern w:val="0"/>
                <w:sz w:val="24"/>
              </w:rPr>
              <w:t>111812079</w:t>
            </w:r>
          </w:p>
        </w:tc>
        <w:tc>
          <w:tcPr>
            <w:tcW w:w="1500" w:type="dxa"/>
            <w:vAlign w:val="center"/>
          </w:tcPr>
          <w:p w:rsidR="00295532" w:rsidRDefault="0068313B">
            <w:pPr>
              <w:jc w:val="center"/>
            </w:pPr>
            <w:r>
              <w:rPr>
                <w:color w:val="000000"/>
                <w:kern w:val="0"/>
                <w:sz w:val="24"/>
              </w:rPr>
              <w:t>18</w:t>
            </w:r>
            <w:r>
              <w:rPr>
                <w:color w:val="000000"/>
                <w:kern w:val="0"/>
                <w:sz w:val="24"/>
              </w:rPr>
              <w:t>北京银行</w:t>
            </w:r>
            <w:r>
              <w:rPr>
                <w:color w:val="000000"/>
                <w:kern w:val="0"/>
                <w:sz w:val="24"/>
              </w:rPr>
              <w:t>CD079</w:t>
            </w:r>
          </w:p>
        </w:tc>
        <w:tc>
          <w:tcPr>
            <w:tcW w:w="1500" w:type="dxa"/>
            <w:vAlign w:val="center"/>
          </w:tcPr>
          <w:p w:rsidR="00295532" w:rsidRDefault="0068313B">
            <w:pPr>
              <w:jc w:val="center"/>
            </w:pPr>
            <w:r>
              <w:rPr>
                <w:color w:val="000000"/>
                <w:kern w:val="0"/>
                <w:sz w:val="24"/>
              </w:rPr>
              <w:t>2019-01-07</w:t>
            </w:r>
          </w:p>
        </w:tc>
        <w:tc>
          <w:tcPr>
            <w:tcW w:w="1260" w:type="dxa"/>
            <w:vAlign w:val="center"/>
          </w:tcPr>
          <w:p w:rsidR="00295532" w:rsidRDefault="0068313B">
            <w:pPr>
              <w:jc w:val="right"/>
            </w:pPr>
            <w:r>
              <w:rPr>
                <w:color w:val="000000"/>
                <w:kern w:val="0"/>
                <w:sz w:val="24"/>
              </w:rPr>
              <w:t>95.55</w:t>
            </w:r>
          </w:p>
        </w:tc>
        <w:tc>
          <w:tcPr>
            <w:tcW w:w="1440" w:type="dxa"/>
            <w:vAlign w:val="center"/>
          </w:tcPr>
          <w:p w:rsidR="00295532" w:rsidRDefault="0068313B">
            <w:pPr>
              <w:jc w:val="right"/>
            </w:pPr>
            <w:r>
              <w:rPr>
                <w:color w:val="000000"/>
                <w:kern w:val="0"/>
                <w:sz w:val="24"/>
              </w:rPr>
              <w:t>480,000</w:t>
            </w:r>
          </w:p>
        </w:tc>
        <w:tc>
          <w:tcPr>
            <w:tcW w:w="1836" w:type="dxa"/>
            <w:vAlign w:val="center"/>
          </w:tcPr>
          <w:p w:rsidR="00295532" w:rsidRDefault="0068313B">
            <w:pPr>
              <w:jc w:val="right"/>
            </w:pPr>
            <w:r>
              <w:rPr>
                <w:color w:val="000000"/>
                <w:kern w:val="0"/>
                <w:sz w:val="24"/>
              </w:rPr>
              <w:t>45,864,000.00</w:t>
            </w:r>
          </w:p>
        </w:tc>
      </w:tr>
      <w:tr w:rsidR="00295532">
        <w:tc>
          <w:tcPr>
            <w:tcW w:w="1500" w:type="dxa"/>
            <w:vAlign w:val="center"/>
          </w:tcPr>
          <w:p w:rsidR="00295532" w:rsidRDefault="0068313B">
            <w:pPr>
              <w:jc w:val="center"/>
            </w:pPr>
            <w:r>
              <w:rPr>
                <w:color w:val="000000"/>
                <w:kern w:val="0"/>
                <w:sz w:val="24"/>
              </w:rPr>
              <w:t>111892516</w:t>
            </w:r>
          </w:p>
        </w:tc>
        <w:tc>
          <w:tcPr>
            <w:tcW w:w="1500" w:type="dxa"/>
            <w:vAlign w:val="center"/>
          </w:tcPr>
          <w:p w:rsidR="00295532" w:rsidRDefault="0068313B">
            <w:pPr>
              <w:jc w:val="center"/>
            </w:pPr>
            <w:r>
              <w:rPr>
                <w:color w:val="000000"/>
                <w:kern w:val="0"/>
                <w:sz w:val="24"/>
              </w:rPr>
              <w:t>18</w:t>
            </w:r>
            <w:r>
              <w:rPr>
                <w:color w:val="000000"/>
                <w:kern w:val="0"/>
                <w:sz w:val="24"/>
              </w:rPr>
              <w:t>南京银行</w:t>
            </w:r>
            <w:r>
              <w:rPr>
                <w:color w:val="000000"/>
                <w:kern w:val="0"/>
                <w:sz w:val="24"/>
              </w:rPr>
              <w:t>CD031</w:t>
            </w:r>
          </w:p>
        </w:tc>
        <w:tc>
          <w:tcPr>
            <w:tcW w:w="1500" w:type="dxa"/>
            <w:vAlign w:val="center"/>
          </w:tcPr>
          <w:p w:rsidR="00295532" w:rsidRDefault="0068313B">
            <w:pPr>
              <w:jc w:val="center"/>
            </w:pPr>
            <w:r>
              <w:rPr>
                <w:color w:val="000000"/>
                <w:kern w:val="0"/>
                <w:sz w:val="24"/>
              </w:rPr>
              <w:t>2019-01-09</w:t>
            </w:r>
          </w:p>
        </w:tc>
        <w:tc>
          <w:tcPr>
            <w:tcW w:w="1260" w:type="dxa"/>
            <w:vAlign w:val="center"/>
          </w:tcPr>
          <w:p w:rsidR="00295532" w:rsidRDefault="0068313B">
            <w:pPr>
              <w:jc w:val="right"/>
            </w:pPr>
            <w:r>
              <w:rPr>
                <w:color w:val="000000"/>
                <w:kern w:val="0"/>
                <w:sz w:val="24"/>
              </w:rPr>
              <w:t>95.44</w:t>
            </w:r>
          </w:p>
        </w:tc>
        <w:tc>
          <w:tcPr>
            <w:tcW w:w="1440" w:type="dxa"/>
            <w:vAlign w:val="center"/>
          </w:tcPr>
          <w:p w:rsidR="00295532" w:rsidRDefault="0068313B">
            <w:pPr>
              <w:jc w:val="right"/>
            </w:pPr>
            <w:r>
              <w:rPr>
                <w:color w:val="000000"/>
                <w:kern w:val="0"/>
                <w:sz w:val="24"/>
              </w:rPr>
              <w:t>500,000</w:t>
            </w:r>
          </w:p>
        </w:tc>
        <w:tc>
          <w:tcPr>
            <w:tcW w:w="1836" w:type="dxa"/>
            <w:vAlign w:val="center"/>
          </w:tcPr>
          <w:p w:rsidR="00295532" w:rsidRDefault="0068313B">
            <w:pPr>
              <w:jc w:val="right"/>
            </w:pPr>
            <w:r>
              <w:rPr>
                <w:color w:val="000000"/>
                <w:kern w:val="0"/>
                <w:sz w:val="24"/>
              </w:rPr>
              <w:t>47,720,000.00</w:t>
            </w:r>
          </w:p>
        </w:tc>
      </w:tr>
      <w:tr w:rsidR="00295532">
        <w:tc>
          <w:tcPr>
            <w:tcW w:w="1500" w:type="dxa"/>
            <w:vAlign w:val="center"/>
          </w:tcPr>
          <w:p w:rsidR="00295532" w:rsidRDefault="0068313B">
            <w:pPr>
              <w:jc w:val="center"/>
            </w:pPr>
            <w:r>
              <w:rPr>
                <w:color w:val="000000"/>
                <w:kern w:val="0"/>
                <w:sz w:val="24"/>
              </w:rPr>
              <w:t>111892919</w:t>
            </w:r>
          </w:p>
        </w:tc>
        <w:tc>
          <w:tcPr>
            <w:tcW w:w="1500" w:type="dxa"/>
            <w:vAlign w:val="center"/>
          </w:tcPr>
          <w:p w:rsidR="00295532" w:rsidRDefault="0068313B">
            <w:pPr>
              <w:jc w:val="center"/>
            </w:pPr>
            <w:r>
              <w:rPr>
                <w:color w:val="000000"/>
                <w:kern w:val="0"/>
                <w:sz w:val="24"/>
              </w:rPr>
              <w:t>18</w:t>
            </w:r>
            <w:r>
              <w:rPr>
                <w:color w:val="000000"/>
                <w:kern w:val="0"/>
                <w:sz w:val="24"/>
              </w:rPr>
              <w:t>杭州银行</w:t>
            </w:r>
            <w:r>
              <w:rPr>
                <w:color w:val="000000"/>
                <w:kern w:val="0"/>
                <w:sz w:val="24"/>
              </w:rPr>
              <w:t>CD009</w:t>
            </w:r>
          </w:p>
        </w:tc>
        <w:tc>
          <w:tcPr>
            <w:tcW w:w="1500" w:type="dxa"/>
            <w:vAlign w:val="center"/>
          </w:tcPr>
          <w:p w:rsidR="00295532" w:rsidRDefault="0068313B">
            <w:pPr>
              <w:jc w:val="center"/>
            </w:pPr>
            <w:r>
              <w:rPr>
                <w:color w:val="000000"/>
                <w:kern w:val="0"/>
                <w:sz w:val="24"/>
              </w:rPr>
              <w:t>2019-01-07</w:t>
            </w:r>
          </w:p>
        </w:tc>
        <w:tc>
          <w:tcPr>
            <w:tcW w:w="1260" w:type="dxa"/>
            <w:vAlign w:val="center"/>
          </w:tcPr>
          <w:p w:rsidR="00295532" w:rsidRDefault="0068313B">
            <w:pPr>
              <w:jc w:val="right"/>
            </w:pPr>
            <w:r>
              <w:rPr>
                <w:color w:val="000000"/>
                <w:kern w:val="0"/>
                <w:sz w:val="24"/>
              </w:rPr>
              <w:t>95.49</w:t>
            </w:r>
          </w:p>
        </w:tc>
        <w:tc>
          <w:tcPr>
            <w:tcW w:w="1440" w:type="dxa"/>
            <w:vAlign w:val="center"/>
          </w:tcPr>
          <w:p w:rsidR="00295532" w:rsidRDefault="0068313B">
            <w:pPr>
              <w:jc w:val="right"/>
            </w:pPr>
            <w:r>
              <w:rPr>
                <w:color w:val="000000"/>
                <w:kern w:val="0"/>
                <w:sz w:val="24"/>
              </w:rPr>
              <w:t>1,000,000</w:t>
            </w:r>
          </w:p>
        </w:tc>
        <w:tc>
          <w:tcPr>
            <w:tcW w:w="1836" w:type="dxa"/>
            <w:vAlign w:val="center"/>
          </w:tcPr>
          <w:p w:rsidR="00295532" w:rsidRDefault="0068313B">
            <w:pPr>
              <w:jc w:val="right"/>
            </w:pPr>
            <w:r>
              <w:rPr>
                <w:color w:val="000000"/>
                <w:kern w:val="0"/>
                <w:sz w:val="24"/>
              </w:rPr>
              <w:t>95,490,000.00</w:t>
            </w:r>
          </w:p>
        </w:tc>
      </w:tr>
      <w:tr w:rsidR="00295532">
        <w:tc>
          <w:tcPr>
            <w:tcW w:w="1500" w:type="dxa"/>
            <w:vAlign w:val="center"/>
          </w:tcPr>
          <w:p w:rsidR="00295532" w:rsidRDefault="0068313B">
            <w:pPr>
              <w:jc w:val="center"/>
            </w:pPr>
            <w:r>
              <w:rPr>
                <w:color w:val="000000"/>
                <w:kern w:val="0"/>
                <w:sz w:val="24"/>
              </w:rPr>
              <w:t>111812082</w:t>
            </w:r>
          </w:p>
        </w:tc>
        <w:tc>
          <w:tcPr>
            <w:tcW w:w="1500" w:type="dxa"/>
            <w:vAlign w:val="center"/>
          </w:tcPr>
          <w:p w:rsidR="00295532" w:rsidRDefault="0068313B">
            <w:pPr>
              <w:jc w:val="center"/>
            </w:pPr>
            <w:r>
              <w:rPr>
                <w:color w:val="000000"/>
                <w:kern w:val="0"/>
                <w:sz w:val="24"/>
              </w:rPr>
              <w:t>18</w:t>
            </w:r>
            <w:r>
              <w:rPr>
                <w:color w:val="000000"/>
                <w:kern w:val="0"/>
                <w:sz w:val="24"/>
              </w:rPr>
              <w:t>北京银行</w:t>
            </w:r>
            <w:r>
              <w:rPr>
                <w:color w:val="000000"/>
                <w:kern w:val="0"/>
                <w:sz w:val="24"/>
              </w:rPr>
              <w:t>CD082</w:t>
            </w:r>
          </w:p>
        </w:tc>
        <w:tc>
          <w:tcPr>
            <w:tcW w:w="1500" w:type="dxa"/>
            <w:vAlign w:val="center"/>
          </w:tcPr>
          <w:p w:rsidR="00295532" w:rsidRDefault="0068313B">
            <w:pPr>
              <w:jc w:val="center"/>
            </w:pPr>
            <w:r>
              <w:rPr>
                <w:color w:val="000000"/>
                <w:kern w:val="0"/>
                <w:sz w:val="24"/>
              </w:rPr>
              <w:t>2019-01-07</w:t>
            </w:r>
          </w:p>
        </w:tc>
        <w:tc>
          <w:tcPr>
            <w:tcW w:w="1260" w:type="dxa"/>
            <w:vAlign w:val="center"/>
          </w:tcPr>
          <w:p w:rsidR="00295532" w:rsidRDefault="0068313B">
            <w:pPr>
              <w:jc w:val="right"/>
            </w:pPr>
            <w:r>
              <w:rPr>
                <w:color w:val="000000"/>
                <w:kern w:val="0"/>
                <w:sz w:val="24"/>
              </w:rPr>
              <w:t>95.56</w:t>
            </w:r>
          </w:p>
        </w:tc>
        <w:tc>
          <w:tcPr>
            <w:tcW w:w="1440" w:type="dxa"/>
            <w:vAlign w:val="center"/>
          </w:tcPr>
          <w:p w:rsidR="00295532" w:rsidRDefault="0068313B">
            <w:pPr>
              <w:jc w:val="right"/>
            </w:pPr>
            <w:r>
              <w:rPr>
                <w:color w:val="000000"/>
                <w:kern w:val="0"/>
                <w:sz w:val="24"/>
              </w:rPr>
              <w:t>500,000</w:t>
            </w:r>
          </w:p>
        </w:tc>
        <w:tc>
          <w:tcPr>
            <w:tcW w:w="1836" w:type="dxa"/>
            <w:vAlign w:val="center"/>
          </w:tcPr>
          <w:p w:rsidR="00295532" w:rsidRDefault="0068313B">
            <w:pPr>
              <w:jc w:val="right"/>
            </w:pPr>
            <w:r>
              <w:rPr>
                <w:color w:val="000000"/>
                <w:kern w:val="0"/>
                <w:sz w:val="24"/>
              </w:rPr>
              <w:t>47,780,000.00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2,480,000</w:t>
            </w:r>
          </w:p>
        </w:tc>
        <w:tc>
          <w:tcPr>
            <w:tcW w:w="1836" w:type="dxa"/>
            <w:vAlign w:val="center"/>
          </w:tcPr>
          <w:p w:rsidR="001A59F9" w:rsidRPr="00E20B2A" w:rsidRDefault="001A59F9" w:rsidP="00E20B2A">
            <w:pPr>
              <w:spacing w:before="29" w:line="288" w:lineRule="auto"/>
              <w:jc w:val="right"/>
              <w:rPr>
                <w:sz w:val="24"/>
              </w:rPr>
            </w:pPr>
            <w:r w:rsidRPr="00E20B2A">
              <w:rPr>
                <w:sz w:val="24"/>
              </w:rPr>
              <w:t>236,854,000.00</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2018</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121,000,000.00</w:t>
      </w:r>
      <w:r w:rsidRPr="0004616F">
        <w:rPr>
          <w:color w:val="000000"/>
          <w:sz w:val="24"/>
        </w:rPr>
        <w:t>元，截至</w:t>
      </w:r>
      <w:r w:rsidRPr="0004616F">
        <w:rPr>
          <w:color w:val="000000"/>
          <w:sz w:val="24"/>
        </w:rPr>
        <w:t>2019</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295532" w:rsidRDefault="0068313B">
      <w:pPr>
        <w:spacing w:before="29" w:line="288" w:lineRule="auto"/>
        <w:ind w:firstLineChars="200" w:firstLine="480"/>
        <w:rPr>
          <w:color w:val="000000"/>
          <w:sz w:val="24"/>
        </w:rPr>
      </w:pPr>
      <w:r>
        <w:rPr>
          <w:color w:val="000000"/>
          <w:sz w:val="24"/>
        </w:rPr>
        <w:t xml:space="preserve">(1) </w:t>
      </w:r>
      <w:r>
        <w:rPr>
          <w:color w:val="000000"/>
          <w:sz w:val="24"/>
        </w:rPr>
        <w:t>公允价值</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95532" w:rsidRDefault="0068313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第一层次：相同资产或负债在活跃市场上未经</w:t>
      </w:r>
      <w:r>
        <w:rPr>
          <w:color w:val="000000"/>
          <w:sz w:val="24"/>
        </w:rPr>
        <w:t>调整的报价。</w:t>
      </w:r>
    </w:p>
    <w:p w:rsidR="00295532" w:rsidRDefault="0068313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95532" w:rsidRDefault="0068313B">
      <w:pPr>
        <w:spacing w:before="29" w:line="288" w:lineRule="auto"/>
        <w:ind w:firstLineChars="200" w:firstLine="480"/>
        <w:rPr>
          <w:color w:val="000000"/>
          <w:sz w:val="24"/>
        </w:rPr>
      </w:pPr>
      <w:r>
        <w:rPr>
          <w:color w:val="000000"/>
          <w:sz w:val="24"/>
        </w:rPr>
        <w:t>第三层次：相关资产或负债的不可观察输入值。</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95532" w:rsidRDefault="0068313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95532" w:rsidRDefault="0068313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909,280,020.00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4,643,421.30</w:t>
      </w:r>
      <w:r>
        <w:rPr>
          <w:color w:val="000000"/>
          <w:sz w:val="24"/>
        </w:rPr>
        <w:t>元，第二层次</w:t>
      </w:r>
      <w:r>
        <w:rPr>
          <w:color w:val="000000"/>
          <w:sz w:val="24"/>
        </w:rPr>
        <w:t>965,417,900.00</w:t>
      </w:r>
      <w:r>
        <w:rPr>
          <w:color w:val="000000"/>
          <w:sz w:val="24"/>
        </w:rPr>
        <w:t>元，无第三层次</w:t>
      </w:r>
      <w:r>
        <w:rPr>
          <w:color w:val="000000"/>
          <w:sz w:val="24"/>
        </w:rPr>
        <w:t>)</w:t>
      </w:r>
      <w:r>
        <w:rPr>
          <w:color w:val="000000"/>
          <w:sz w:val="24"/>
        </w:rPr>
        <w:t>。</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95532" w:rsidRDefault="0068313B">
      <w:pPr>
        <w:spacing w:before="29" w:line="288" w:lineRule="auto"/>
        <w:ind w:firstLineChars="200" w:firstLine="480"/>
        <w:rPr>
          <w:color w:val="000000"/>
          <w:sz w:val="24"/>
        </w:rPr>
      </w:pPr>
      <w:r>
        <w:rPr>
          <w:color w:val="000000"/>
          <w:sz w:val="24"/>
        </w:rPr>
        <w:lastRenderedPageBreak/>
        <w:t>本基金以导致各层次之间转换的事项发生日为确认各层次之间转换的时点。</w:t>
      </w:r>
    </w:p>
    <w:p w:rsidR="00295532" w:rsidRDefault="0068313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95532" w:rsidRDefault="0068313B">
      <w:pPr>
        <w:spacing w:before="29" w:line="288" w:lineRule="auto"/>
        <w:ind w:firstLineChars="200" w:firstLine="480"/>
        <w:rPr>
          <w:color w:val="000000"/>
          <w:sz w:val="24"/>
        </w:rPr>
      </w:pPr>
      <w:r>
        <w:rPr>
          <w:color w:val="000000"/>
          <w:sz w:val="24"/>
        </w:rPr>
        <w:t>无。</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 xml:space="preserve">(c) </w:t>
      </w:r>
      <w:r>
        <w:rPr>
          <w:color w:val="000000"/>
          <w:sz w:val="24"/>
        </w:rPr>
        <w:t>非持续的以公允</w:t>
      </w:r>
      <w:r>
        <w:rPr>
          <w:color w:val="000000"/>
          <w:sz w:val="24"/>
        </w:rPr>
        <w:t>价值计量的金融工具</w:t>
      </w:r>
    </w:p>
    <w:p w:rsidR="00295532" w:rsidRDefault="0068313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95532" w:rsidRDefault="00295532">
      <w:pPr>
        <w:spacing w:before="29" w:line="288" w:lineRule="auto"/>
        <w:ind w:firstLineChars="200" w:firstLine="480"/>
        <w:rPr>
          <w:color w:val="000000"/>
          <w:sz w:val="24"/>
        </w:rPr>
      </w:pPr>
    </w:p>
    <w:p w:rsidR="00295532" w:rsidRDefault="0068313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95532" w:rsidRDefault="0068313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95532" w:rsidRDefault="00295532">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909,280,020.00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95.24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909,280,020.00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95.24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lastRenderedPageBreak/>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13,273,095.21</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1.39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32,124,216.11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3.36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954,677,331.32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16A50">
      <w:pPr>
        <w:tabs>
          <w:tab w:val="left" w:pos="426"/>
        </w:tabs>
        <w:spacing w:line="360" w:lineRule="auto"/>
        <w:jc w:val="left"/>
        <w:rPr>
          <w:kern w:val="0"/>
          <w:sz w:val="24"/>
        </w:rPr>
      </w:pPr>
      <w:r w:rsidRPr="00A20DFB">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30,634,200.00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30,634,200.00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145,264,820.00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24.10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20,138,000.00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3.34</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121,243,000.00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20.12</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592,000,000.00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98.23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909,280,020.00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150.88</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295532">
        <w:tc>
          <w:tcPr>
            <w:tcW w:w="1499" w:type="dxa"/>
            <w:vAlign w:val="center"/>
          </w:tcPr>
          <w:p w:rsidR="00295532" w:rsidRDefault="0068313B">
            <w:pPr>
              <w:jc w:val="center"/>
            </w:pPr>
            <w:r>
              <w:rPr>
                <w:color w:val="000000"/>
                <w:sz w:val="24"/>
              </w:rPr>
              <w:t>1</w:t>
            </w:r>
          </w:p>
        </w:tc>
        <w:tc>
          <w:tcPr>
            <w:tcW w:w="1499" w:type="dxa"/>
            <w:vAlign w:val="center"/>
          </w:tcPr>
          <w:p w:rsidR="00295532" w:rsidRDefault="0068313B">
            <w:pPr>
              <w:jc w:val="center"/>
            </w:pPr>
            <w:r>
              <w:rPr>
                <w:color w:val="000000"/>
                <w:sz w:val="24"/>
              </w:rPr>
              <w:t>111814038</w:t>
            </w:r>
          </w:p>
        </w:tc>
        <w:tc>
          <w:tcPr>
            <w:tcW w:w="1500" w:type="dxa"/>
            <w:vAlign w:val="center"/>
          </w:tcPr>
          <w:p w:rsidR="00295532" w:rsidRDefault="0068313B">
            <w:pPr>
              <w:jc w:val="center"/>
            </w:pPr>
            <w:r>
              <w:rPr>
                <w:color w:val="000000"/>
                <w:sz w:val="24"/>
              </w:rPr>
              <w:t>18</w:t>
            </w:r>
            <w:r>
              <w:rPr>
                <w:color w:val="000000"/>
                <w:sz w:val="24"/>
              </w:rPr>
              <w:t>江苏银行</w:t>
            </w:r>
            <w:r>
              <w:rPr>
                <w:color w:val="000000"/>
                <w:sz w:val="24"/>
              </w:rPr>
              <w:t>CD038</w:t>
            </w:r>
          </w:p>
        </w:tc>
        <w:tc>
          <w:tcPr>
            <w:tcW w:w="1500" w:type="dxa"/>
            <w:vAlign w:val="center"/>
          </w:tcPr>
          <w:p w:rsidR="00295532" w:rsidRDefault="0068313B">
            <w:pPr>
              <w:jc w:val="right"/>
            </w:pPr>
            <w:r>
              <w:rPr>
                <w:color w:val="000000"/>
                <w:sz w:val="24"/>
              </w:rPr>
              <w:t>1,000,000</w:t>
            </w:r>
          </w:p>
        </w:tc>
        <w:tc>
          <w:tcPr>
            <w:tcW w:w="1500" w:type="dxa"/>
            <w:vAlign w:val="center"/>
          </w:tcPr>
          <w:p w:rsidR="00295532" w:rsidRDefault="0068313B">
            <w:pPr>
              <w:jc w:val="right"/>
            </w:pPr>
            <w:r>
              <w:rPr>
                <w:color w:val="000000"/>
                <w:sz w:val="24"/>
              </w:rPr>
              <w:t>95,500,000.00</w:t>
            </w:r>
          </w:p>
        </w:tc>
        <w:tc>
          <w:tcPr>
            <w:tcW w:w="1500" w:type="dxa"/>
            <w:vAlign w:val="center"/>
          </w:tcPr>
          <w:p w:rsidR="00295532" w:rsidRDefault="0068313B">
            <w:pPr>
              <w:jc w:val="right"/>
            </w:pPr>
            <w:r>
              <w:rPr>
                <w:color w:val="000000"/>
                <w:sz w:val="24"/>
              </w:rPr>
              <w:t>15.85</w:t>
            </w:r>
          </w:p>
        </w:tc>
      </w:tr>
      <w:tr w:rsidR="00295532">
        <w:tc>
          <w:tcPr>
            <w:tcW w:w="1499" w:type="dxa"/>
            <w:vAlign w:val="center"/>
          </w:tcPr>
          <w:p w:rsidR="00295532" w:rsidRDefault="0068313B">
            <w:pPr>
              <w:jc w:val="center"/>
            </w:pPr>
            <w:r>
              <w:rPr>
                <w:color w:val="000000"/>
                <w:sz w:val="24"/>
              </w:rPr>
              <w:t>2</w:t>
            </w:r>
          </w:p>
        </w:tc>
        <w:tc>
          <w:tcPr>
            <w:tcW w:w="1499" w:type="dxa"/>
            <w:vAlign w:val="center"/>
          </w:tcPr>
          <w:p w:rsidR="00295532" w:rsidRDefault="0068313B">
            <w:pPr>
              <w:jc w:val="center"/>
            </w:pPr>
            <w:r>
              <w:rPr>
                <w:color w:val="000000"/>
                <w:sz w:val="24"/>
              </w:rPr>
              <w:t>111892819</w:t>
            </w:r>
          </w:p>
        </w:tc>
        <w:tc>
          <w:tcPr>
            <w:tcW w:w="1500" w:type="dxa"/>
            <w:vAlign w:val="center"/>
          </w:tcPr>
          <w:p w:rsidR="00295532" w:rsidRDefault="0068313B">
            <w:pPr>
              <w:jc w:val="center"/>
            </w:pPr>
            <w:r>
              <w:rPr>
                <w:color w:val="000000"/>
                <w:sz w:val="24"/>
              </w:rPr>
              <w:t>18</w:t>
            </w:r>
            <w:r>
              <w:rPr>
                <w:color w:val="000000"/>
                <w:sz w:val="24"/>
              </w:rPr>
              <w:t>徽商银行</w:t>
            </w:r>
            <w:r>
              <w:rPr>
                <w:color w:val="000000"/>
                <w:sz w:val="24"/>
              </w:rPr>
              <w:t>CD033</w:t>
            </w:r>
          </w:p>
        </w:tc>
        <w:tc>
          <w:tcPr>
            <w:tcW w:w="1500" w:type="dxa"/>
            <w:vAlign w:val="center"/>
          </w:tcPr>
          <w:p w:rsidR="00295532" w:rsidRDefault="0068313B">
            <w:pPr>
              <w:jc w:val="right"/>
            </w:pPr>
            <w:r>
              <w:rPr>
                <w:color w:val="000000"/>
                <w:sz w:val="24"/>
              </w:rPr>
              <w:t>1,000,000</w:t>
            </w:r>
          </w:p>
        </w:tc>
        <w:tc>
          <w:tcPr>
            <w:tcW w:w="1500" w:type="dxa"/>
            <w:vAlign w:val="center"/>
          </w:tcPr>
          <w:p w:rsidR="00295532" w:rsidRDefault="0068313B">
            <w:pPr>
              <w:jc w:val="right"/>
            </w:pPr>
            <w:r>
              <w:rPr>
                <w:color w:val="000000"/>
                <w:sz w:val="24"/>
              </w:rPr>
              <w:t>95,490,000.00</w:t>
            </w:r>
          </w:p>
        </w:tc>
        <w:tc>
          <w:tcPr>
            <w:tcW w:w="1500" w:type="dxa"/>
            <w:vAlign w:val="center"/>
          </w:tcPr>
          <w:p w:rsidR="00295532" w:rsidRDefault="0068313B">
            <w:pPr>
              <w:jc w:val="right"/>
            </w:pPr>
            <w:r>
              <w:rPr>
                <w:color w:val="000000"/>
                <w:sz w:val="24"/>
              </w:rPr>
              <w:t>15.85</w:t>
            </w:r>
          </w:p>
        </w:tc>
      </w:tr>
      <w:tr w:rsidR="00295532">
        <w:tc>
          <w:tcPr>
            <w:tcW w:w="1499" w:type="dxa"/>
            <w:vAlign w:val="center"/>
          </w:tcPr>
          <w:p w:rsidR="00295532" w:rsidRDefault="0068313B">
            <w:pPr>
              <w:jc w:val="center"/>
            </w:pPr>
            <w:r>
              <w:rPr>
                <w:color w:val="000000"/>
                <w:sz w:val="24"/>
              </w:rPr>
              <w:t>3</w:t>
            </w:r>
          </w:p>
        </w:tc>
        <w:tc>
          <w:tcPr>
            <w:tcW w:w="1499" w:type="dxa"/>
            <w:vAlign w:val="center"/>
          </w:tcPr>
          <w:p w:rsidR="00295532" w:rsidRDefault="0068313B">
            <w:pPr>
              <w:jc w:val="center"/>
            </w:pPr>
            <w:r>
              <w:rPr>
                <w:color w:val="000000"/>
                <w:sz w:val="24"/>
              </w:rPr>
              <w:t>111892919</w:t>
            </w:r>
          </w:p>
        </w:tc>
        <w:tc>
          <w:tcPr>
            <w:tcW w:w="1500" w:type="dxa"/>
            <w:vAlign w:val="center"/>
          </w:tcPr>
          <w:p w:rsidR="00295532" w:rsidRDefault="0068313B">
            <w:pPr>
              <w:jc w:val="center"/>
            </w:pPr>
            <w:r>
              <w:rPr>
                <w:color w:val="000000"/>
                <w:sz w:val="24"/>
              </w:rPr>
              <w:t>18</w:t>
            </w:r>
            <w:r>
              <w:rPr>
                <w:color w:val="000000"/>
                <w:sz w:val="24"/>
              </w:rPr>
              <w:t>杭州银行</w:t>
            </w:r>
            <w:r>
              <w:rPr>
                <w:color w:val="000000"/>
                <w:sz w:val="24"/>
              </w:rPr>
              <w:t>CD009</w:t>
            </w:r>
          </w:p>
        </w:tc>
        <w:tc>
          <w:tcPr>
            <w:tcW w:w="1500" w:type="dxa"/>
            <w:vAlign w:val="center"/>
          </w:tcPr>
          <w:p w:rsidR="00295532" w:rsidRDefault="0068313B">
            <w:pPr>
              <w:jc w:val="right"/>
            </w:pPr>
            <w:r>
              <w:rPr>
                <w:color w:val="000000"/>
                <w:sz w:val="24"/>
              </w:rPr>
              <w:t>1,000,000</w:t>
            </w:r>
          </w:p>
        </w:tc>
        <w:tc>
          <w:tcPr>
            <w:tcW w:w="1500" w:type="dxa"/>
            <w:vAlign w:val="center"/>
          </w:tcPr>
          <w:p w:rsidR="00295532" w:rsidRDefault="0068313B">
            <w:pPr>
              <w:jc w:val="right"/>
            </w:pPr>
            <w:r>
              <w:rPr>
                <w:color w:val="000000"/>
                <w:sz w:val="24"/>
              </w:rPr>
              <w:t>95,490,000.00</w:t>
            </w:r>
          </w:p>
        </w:tc>
        <w:tc>
          <w:tcPr>
            <w:tcW w:w="1500" w:type="dxa"/>
            <w:vAlign w:val="center"/>
          </w:tcPr>
          <w:p w:rsidR="00295532" w:rsidRDefault="0068313B">
            <w:pPr>
              <w:jc w:val="right"/>
            </w:pPr>
            <w:r>
              <w:rPr>
                <w:color w:val="000000"/>
                <w:sz w:val="24"/>
              </w:rPr>
              <w:t>15.85</w:t>
            </w:r>
          </w:p>
        </w:tc>
      </w:tr>
      <w:tr w:rsidR="00295532">
        <w:tc>
          <w:tcPr>
            <w:tcW w:w="1499" w:type="dxa"/>
            <w:vAlign w:val="center"/>
          </w:tcPr>
          <w:p w:rsidR="00295532" w:rsidRDefault="0068313B">
            <w:pPr>
              <w:jc w:val="center"/>
            </w:pPr>
            <w:r>
              <w:rPr>
                <w:color w:val="000000"/>
                <w:sz w:val="24"/>
              </w:rPr>
              <w:t>4</w:t>
            </w:r>
          </w:p>
        </w:tc>
        <w:tc>
          <w:tcPr>
            <w:tcW w:w="1499" w:type="dxa"/>
            <w:vAlign w:val="center"/>
          </w:tcPr>
          <w:p w:rsidR="00295532" w:rsidRDefault="0068313B">
            <w:pPr>
              <w:jc w:val="center"/>
            </w:pPr>
            <w:r>
              <w:rPr>
                <w:color w:val="000000"/>
                <w:sz w:val="24"/>
              </w:rPr>
              <w:t>111892033</w:t>
            </w:r>
          </w:p>
        </w:tc>
        <w:tc>
          <w:tcPr>
            <w:tcW w:w="1500" w:type="dxa"/>
            <w:vAlign w:val="center"/>
          </w:tcPr>
          <w:p w:rsidR="00295532" w:rsidRDefault="0068313B">
            <w:pPr>
              <w:jc w:val="center"/>
            </w:pPr>
            <w:r>
              <w:rPr>
                <w:color w:val="000000"/>
                <w:sz w:val="24"/>
              </w:rPr>
              <w:t>18</w:t>
            </w:r>
            <w:r>
              <w:rPr>
                <w:color w:val="000000"/>
                <w:sz w:val="24"/>
              </w:rPr>
              <w:t>宁波银行</w:t>
            </w:r>
            <w:r>
              <w:rPr>
                <w:color w:val="000000"/>
                <w:sz w:val="24"/>
              </w:rPr>
              <w:t>CD032</w:t>
            </w:r>
          </w:p>
        </w:tc>
        <w:tc>
          <w:tcPr>
            <w:tcW w:w="1500" w:type="dxa"/>
            <w:vAlign w:val="center"/>
          </w:tcPr>
          <w:p w:rsidR="00295532" w:rsidRDefault="0068313B">
            <w:pPr>
              <w:jc w:val="right"/>
            </w:pPr>
            <w:r>
              <w:rPr>
                <w:color w:val="000000"/>
                <w:sz w:val="24"/>
              </w:rPr>
              <w:t>1,000,000</w:t>
            </w:r>
          </w:p>
        </w:tc>
        <w:tc>
          <w:tcPr>
            <w:tcW w:w="1500" w:type="dxa"/>
            <w:vAlign w:val="center"/>
          </w:tcPr>
          <w:p w:rsidR="00295532" w:rsidRDefault="0068313B">
            <w:pPr>
              <w:jc w:val="right"/>
            </w:pPr>
            <w:r>
              <w:rPr>
                <w:color w:val="000000"/>
                <w:sz w:val="24"/>
              </w:rPr>
              <w:t>95,450,000.00</w:t>
            </w:r>
          </w:p>
        </w:tc>
        <w:tc>
          <w:tcPr>
            <w:tcW w:w="1500" w:type="dxa"/>
            <w:vAlign w:val="center"/>
          </w:tcPr>
          <w:p w:rsidR="00295532" w:rsidRDefault="0068313B">
            <w:pPr>
              <w:jc w:val="right"/>
            </w:pPr>
            <w:r>
              <w:rPr>
                <w:color w:val="000000"/>
                <w:sz w:val="24"/>
              </w:rPr>
              <w:t>15.84</w:t>
            </w:r>
          </w:p>
        </w:tc>
      </w:tr>
      <w:tr w:rsidR="00295532">
        <w:tc>
          <w:tcPr>
            <w:tcW w:w="1499" w:type="dxa"/>
            <w:vAlign w:val="center"/>
          </w:tcPr>
          <w:p w:rsidR="00295532" w:rsidRDefault="0068313B">
            <w:pPr>
              <w:jc w:val="center"/>
            </w:pPr>
            <w:r>
              <w:rPr>
                <w:color w:val="000000"/>
                <w:sz w:val="24"/>
              </w:rPr>
              <w:t>5</w:t>
            </w:r>
          </w:p>
        </w:tc>
        <w:tc>
          <w:tcPr>
            <w:tcW w:w="1499" w:type="dxa"/>
            <w:vAlign w:val="center"/>
          </w:tcPr>
          <w:p w:rsidR="00295532" w:rsidRDefault="0068313B">
            <w:pPr>
              <w:jc w:val="center"/>
            </w:pPr>
            <w:r>
              <w:rPr>
                <w:color w:val="000000"/>
                <w:sz w:val="24"/>
              </w:rPr>
              <w:t>136133</w:t>
            </w:r>
          </w:p>
        </w:tc>
        <w:tc>
          <w:tcPr>
            <w:tcW w:w="1500" w:type="dxa"/>
            <w:vAlign w:val="center"/>
          </w:tcPr>
          <w:p w:rsidR="00295532" w:rsidRDefault="0068313B">
            <w:pPr>
              <w:jc w:val="center"/>
            </w:pPr>
            <w:r>
              <w:rPr>
                <w:color w:val="000000"/>
                <w:sz w:val="24"/>
              </w:rPr>
              <w:t>16</w:t>
            </w:r>
            <w:r>
              <w:rPr>
                <w:color w:val="000000"/>
                <w:sz w:val="24"/>
              </w:rPr>
              <w:t>国电</w:t>
            </w:r>
            <w:r>
              <w:rPr>
                <w:color w:val="000000"/>
                <w:sz w:val="24"/>
              </w:rPr>
              <w:t>01</w:t>
            </w:r>
          </w:p>
        </w:tc>
        <w:tc>
          <w:tcPr>
            <w:tcW w:w="1500" w:type="dxa"/>
            <w:vAlign w:val="center"/>
          </w:tcPr>
          <w:p w:rsidR="00295532" w:rsidRDefault="0068313B">
            <w:pPr>
              <w:jc w:val="right"/>
            </w:pPr>
            <w:r>
              <w:rPr>
                <w:color w:val="000000"/>
                <w:sz w:val="24"/>
              </w:rPr>
              <w:t>530,000</w:t>
            </w:r>
          </w:p>
        </w:tc>
        <w:tc>
          <w:tcPr>
            <w:tcW w:w="1500" w:type="dxa"/>
            <w:vAlign w:val="center"/>
          </w:tcPr>
          <w:p w:rsidR="00295532" w:rsidRDefault="0068313B">
            <w:pPr>
              <w:jc w:val="right"/>
            </w:pPr>
            <w:r>
              <w:rPr>
                <w:color w:val="000000"/>
                <w:sz w:val="24"/>
              </w:rPr>
              <w:t>52,973,500.00</w:t>
            </w:r>
          </w:p>
        </w:tc>
        <w:tc>
          <w:tcPr>
            <w:tcW w:w="1500" w:type="dxa"/>
            <w:vAlign w:val="center"/>
          </w:tcPr>
          <w:p w:rsidR="00295532" w:rsidRDefault="0068313B">
            <w:pPr>
              <w:jc w:val="right"/>
            </w:pPr>
            <w:r>
              <w:rPr>
                <w:color w:val="000000"/>
                <w:sz w:val="24"/>
              </w:rPr>
              <w:t>8.79</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lastRenderedPageBreak/>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报告期内本基金投资的前十名证券的发行主体除</w:t>
      </w:r>
      <w:r w:rsidRPr="00463BF5">
        <w:rPr>
          <w:color w:val="000000"/>
          <w:sz w:val="24"/>
        </w:rPr>
        <w:t>18</w:t>
      </w:r>
      <w:r w:rsidRPr="00463BF5">
        <w:rPr>
          <w:color w:val="000000"/>
          <w:sz w:val="24"/>
        </w:rPr>
        <w:t>南京银行</w:t>
      </w:r>
      <w:r w:rsidRPr="00463BF5">
        <w:rPr>
          <w:color w:val="000000"/>
          <w:sz w:val="24"/>
        </w:rPr>
        <w:t>CD027</w:t>
      </w:r>
      <w:r w:rsidRPr="00463BF5">
        <w:rPr>
          <w:color w:val="000000"/>
          <w:sz w:val="24"/>
        </w:rPr>
        <w:t>（证券代码：</w:t>
      </w:r>
      <w:r w:rsidRPr="00463BF5">
        <w:rPr>
          <w:color w:val="000000"/>
          <w:sz w:val="24"/>
        </w:rPr>
        <w:t>111892301</w:t>
      </w:r>
      <w:r w:rsidRPr="00463BF5">
        <w:rPr>
          <w:color w:val="000000"/>
          <w:sz w:val="24"/>
        </w:rPr>
        <w:t>）外，未出现被监管部门立案调查，或在报告编制日前一年内受到公开谴责、处罚的情形。</w:t>
      </w:r>
    </w:p>
    <w:p w:rsidR="00295532" w:rsidRDefault="0068313B">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CD027</w:t>
      </w:r>
      <w:r>
        <w:rPr>
          <w:color w:val="000000"/>
          <w:sz w:val="24"/>
        </w:rPr>
        <w:t>（证券代码：</w:t>
      </w:r>
      <w:r>
        <w:rPr>
          <w:color w:val="000000"/>
          <w:sz w:val="24"/>
        </w:rPr>
        <w:t>111892301</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号），对镇江分行违规办理票据业务违反审慎经营原则的行为罚款</w:t>
      </w:r>
      <w:r>
        <w:rPr>
          <w:color w:val="000000"/>
          <w:sz w:val="24"/>
        </w:rPr>
        <w:t xml:space="preserve"> 3230 </w:t>
      </w:r>
      <w:r>
        <w:rPr>
          <w:color w:val="000000"/>
          <w:sz w:val="24"/>
        </w:rPr>
        <w:t>万元人民币。</w:t>
      </w:r>
    </w:p>
    <w:p w:rsidR="00295532" w:rsidRDefault="0068313B">
      <w:pPr>
        <w:spacing w:before="29" w:line="288" w:lineRule="auto"/>
        <w:rPr>
          <w:color w:val="000000"/>
          <w:sz w:val="24"/>
        </w:rPr>
      </w:pPr>
      <w:r>
        <w:rPr>
          <w:color w:val="000000"/>
          <w:sz w:val="24"/>
        </w:rPr>
        <w:t>本基金管理人对该证券投资决策程</w:t>
      </w:r>
      <w:r>
        <w:rPr>
          <w:color w:val="000000"/>
          <w:sz w:val="24"/>
        </w:rPr>
        <w:t>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3,348.01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32,119,085.92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1,782.18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32,124,216.11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68313B" w:rsidRPr="004B25B0" w:rsidTr="0068313B">
        <w:tc>
          <w:tcPr>
            <w:tcW w:w="964" w:type="pct"/>
            <w:vMerge w:val="restart"/>
            <w:tcBorders>
              <w:top w:val="single" w:sz="8" w:space="0" w:color="000000"/>
              <w:left w:val="single" w:sz="8" w:space="0" w:color="000000"/>
              <w:right w:val="single" w:sz="8" w:space="0" w:color="000000"/>
            </w:tcBorders>
            <w:vAlign w:val="center"/>
          </w:tcPr>
          <w:p w:rsidR="00295532" w:rsidRDefault="0068313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68313B" w:rsidRPr="004B25B0" w:rsidTr="0068313B">
        <w:tc>
          <w:tcPr>
            <w:tcW w:w="964" w:type="pct"/>
            <w:vMerge/>
            <w:tcBorders>
              <w:left w:val="single" w:sz="8" w:space="0" w:color="000000"/>
              <w:right w:val="single" w:sz="8" w:space="0" w:color="000000"/>
            </w:tcBorders>
          </w:tcPr>
          <w:p w:rsidR="00295532" w:rsidRDefault="0029553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68313B" w:rsidRPr="004B25B0" w:rsidTr="0068313B">
        <w:tc>
          <w:tcPr>
            <w:tcW w:w="964" w:type="pct"/>
            <w:vMerge/>
            <w:tcBorders>
              <w:left w:val="single" w:sz="8" w:space="0" w:color="000000"/>
              <w:bottom w:val="single" w:sz="8" w:space="0" w:color="000000"/>
              <w:right w:val="single" w:sz="8" w:space="0" w:color="000000"/>
            </w:tcBorders>
          </w:tcPr>
          <w:p w:rsidR="00295532" w:rsidRDefault="0029553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68313B" w:rsidRPr="004B25B0" w:rsidTr="0068313B">
        <w:tc>
          <w:tcPr>
            <w:tcW w:w="964" w:type="pct"/>
            <w:tcBorders>
              <w:top w:val="single" w:sz="8" w:space="0" w:color="000000"/>
              <w:left w:val="single" w:sz="8" w:space="0" w:color="000000"/>
              <w:bottom w:val="single" w:sz="8" w:space="0" w:color="000000"/>
              <w:right w:val="single" w:sz="8" w:space="0" w:color="000000"/>
            </w:tcBorders>
            <w:vAlign w:val="center"/>
          </w:tcPr>
          <w:p w:rsidR="00295532" w:rsidRDefault="0068313B">
            <w:pPr>
              <w:jc w:val="center"/>
            </w:pPr>
            <w:r>
              <w:rPr>
                <w:bCs/>
                <w:color w:val="000000"/>
                <w:szCs w:val="21"/>
              </w:rPr>
              <w:t>2,111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266,735.08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200,017,000.00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35.52%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363,060,746.71</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64.48%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109.65</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3</w:t>
            </w:r>
            <w:r w:rsidR="00146153" w:rsidRPr="00300454">
              <w:rPr>
                <w:sz w:val="24"/>
              </w:rPr>
              <w:t>月</w:t>
            </w:r>
            <w:r w:rsidR="00146153" w:rsidRPr="00300454">
              <w:rPr>
                <w:sz w:val="24"/>
              </w:rPr>
              <w:t>25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988,953,938.88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689,816,851.23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620,990.32</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127,360,094.84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lastRenderedPageBreak/>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563,077,746.71</w:t>
            </w:r>
          </w:p>
        </w:tc>
      </w:tr>
    </w:tbl>
    <w:p w:rsidR="00295532" w:rsidRDefault="0068313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295532" w:rsidRDefault="0068313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295532" w:rsidRDefault="0068313B">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295532" w:rsidRDefault="0068313B">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w:t>
      </w:r>
      <w:r>
        <w:rPr>
          <w:color w:val="000000"/>
          <w:sz w:val="24"/>
        </w:rPr>
        <w:t>事会第五次会议审议通过，选举谢卫先生担任公司总经理，阮红女士不再担任公司总经理。期后变动敬请关注基金管理人发布的相关公告。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0068313B" w:rsidRPr="0068313B">
        <w:rPr>
          <w:rFonts w:hint="eastAsia"/>
          <w:color w:val="000000"/>
          <w:sz w:val="24"/>
        </w:rPr>
        <w:t>本基金托管人中国民生银行股份有限公司于</w:t>
      </w:r>
      <w:r w:rsidR="0068313B" w:rsidRPr="0068313B">
        <w:rPr>
          <w:rFonts w:hint="eastAsia"/>
          <w:color w:val="000000"/>
          <w:sz w:val="24"/>
        </w:rPr>
        <w:t>2018</w:t>
      </w:r>
      <w:r w:rsidR="0068313B" w:rsidRPr="0068313B">
        <w:rPr>
          <w:rFonts w:hint="eastAsia"/>
          <w:color w:val="000000"/>
          <w:sz w:val="24"/>
        </w:rPr>
        <w:t>年</w:t>
      </w:r>
      <w:r w:rsidR="0068313B" w:rsidRPr="0068313B">
        <w:rPr>
          <w:rFonts w:hint="eastAsia"/>
          <w:color w:val="000000"/>
          <w:sz w:val="24"/>
        </w:rPr>
        <w:t>4</w:t>
      </w:r>
      <w:r w:rsidR="0068313B" w:rsidRPr="0068313B">
        <w:rPr>
          <w:rFonts w:hint="eastAsia"/>
          <w:color w:val="000000"/>
          <w:sz w:val="24"/>
        </w:rPr>
        <w:t>月</w:t>
      </w:r>
      <w:r w:rsidR="0068313B" w:rsidRPr="0068313B">
        <w:rPr>
          <w:rFonts w:hint="eastAsia"/>
          <w:color w:val="000000"/>
          <w:sz w:val="24"/>
        </w:rPr>
        <w:t>19</w:t>
      </w:r>
      <w:r w:rsidR="0068313B" w:rsidRPr="0068313B">
        <w:rPr>
          <w:rFonts w:hint="eastAsia"/>
          <w:color w:val="000000"/>
          <w:sz w:val="24"/>
        </w:rPr>
        <w:t>日公告，根据工作需要，任命张庆先生担任本公司资产托管部总经理，主持资产托管部相关工作。</w:t>
      </w:r>
      <w:bookmarkStart w:id="87" w:name="_GoBack"/>
      <w:bookmarkEnd w:id="87"/>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90,000.00</w:t>
      </w:r>
      <w:r w:rsidRPr="00700C00">
        <w:rPr>
          <w:color w:val="000000"/>
          <w:sz w:val="24"/>
        </w:rPr>
        <w:t>元</w:t>
      </w:r>
      <w:r w:rsidRPr="00700C00">
        <w:rPr>
          <w:color w:val="000000"/>
          <w:sz w:val="24"/>
        </w:rPr>
        <w:t xml:space="preserve"> </w:t>
      </w:r>
      <w:r w:rsidRPr="00700C00">
        <w:rPr>
          <w:color w:val="000000"/>
          <w:sz w:val="24"/>
        </w:rPr>
        <w:t>。自本基金合同生效以来，本基金未改聘为其审计的会计师事务所。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lastRenderedPageBreak/>
        <w:t xml:space="preserve">11.6 </w:t>
      </w:r>
      <w:r w:rsidRPr="00245C29">
        <w:rPr>
          <w:rFonts w:ascii="Times New Roman" w:hAnsi="Times New Roman" w:hint="eastAsia"/>
          <w:kern w:val="0"/>
          <w:szCs w:val="24"/>
        </w:rPr>
        <w:t>管理人、托管人及其高级管理人员受稽查或处罚等情况</w:t>
      </w:r>
      <w:bookmarkEnd w:id="92"/>
    </w:p>
    <w:p w:rsidR="00295532" w:rsidRDefault="0068313B">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295532" w:rsidRDefault="0068313B">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295532" w:rsidRDefault="0068313B">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295532">
        <w:tc>
          <w:tcPr>
            <w:tcW w:w="1559" w:type="dxa"/>
            <w:vAlign w:val="center"/>
          </w:tcPr>
          <w:p w:rsidR="00295532" w:rsidRDefault="0068313B">
            <w:pPr>
              <w:jc w:val="left"/>
            </w:pPr>
            <w:r>
              <w:rPr>
                <w:color w:val="000000"/>
                <w:szCs w:val="21"/>
              </w:rPr>
              <w:t>长江证券股份有限公司</w:t>
            </w:r>
          </w:p>
        </w:tc>
        <w:tc>
          <w:tcPr>
            <w:tcW w:w="779" w:type="dxa"/>
            <w:vAlign w:val="center"/>
          </w:tcPr>
          <w:p w:rsidR="00295532" w:rsidRDefault="0068313B">
            <w:pPr>
              <w:jc w:val="right"/>
            </w:pPr>
            <w:r>
              <w:rPr>
                <w:color w:val="000000"/>
                <w:szCs w:val="21"/>
              </w:rPr>
              <w:t>2</w:t>
            </w:r>
          </w:p>
        </w:tc>
        <w:tc>
          <w:tcPr>
            <w:tcW w:w="1800" w:type="dxa"/>
            <w:vAlign w:val="center"/>
          </w:tcPr>
          <w:p w:rsidR="00295532" w:rsidRDefault="0068313B">
            <w:pPr>
              <w:jc w:val="right"/>
            </w:pPr>
            <w:r>
              <w:rPr>
                <w:color w:val="000000"/>
                <w:szCs w:val="21"/>
              </w:rPr>
              <w:t>-</w:t>
            </w:r>
          </w:p>
        </w:tc>
        <w:tc>
          <w:tcPr>
            <w:tcW w:w="1080" w:type="dxa"/>
            <w:vAlign w:val="center"/>
          </w:tcPr>
          <w:p w:rsidR="00295532" w:rsidRDefault="0068313B">
            <w:pPr>
              <w:jc w:val="right"/>
            </w:pPr>
            <w:r>
              <w:rPr>
                <w:color w:val="000000"/>
                <w:szCs w:val="21"/>
              </w:rPr>
              <w:t>-</w:t>
            </w:r>
          </w:p>
        </w:tc>
        <w:tc>
          <w:tcPr>
            <w:tcW w:w="1620" w:type="dxa"/>
            <w:vAlign w:val="center"/>
          </w:tcPr>
          <w:p w:rsidR="00295532" w:rsidRDefault="0068313B">
            <w:pPr>
              <w:jc w:val="right"/>
            </w:pPr>
            <w:r>
              <w:rPr>
                <w:color w:val="000000"/>
                <w:szCs w:val="21"/>
              </w:rPr>
              <w:t>-</w:t>
            </w:r>
          </w:p>
        </w:tc>
        <w:tc>
          <w:tcPr>
            <w:tcW w:w="1080" w:type="dxa"/>
            <w:vAlign w:val="center"/>
          </w:tcPr>
          <w:p w:rsidR="00295532" w:rsidRDefault="0068313B">
            <w:pPr>
              <w:jc w:val="right"/>
            </w:pPr>
            <w:r>
              <w:rPr>
                <w:color w:val="000000"/>
                <w:szCs w:val="21"/>
              </w:rPr>
              <w:t>-</w:t>
            </w:r>
          </w:p>
        </w:tc>
        <w:tc>
          <w:tcPr>
            <w:tcW w:w="1080" w:type="dxa"/>
            <w:vAlign w:val="center"/>
          </w:tcPr>
          <w:p w:rsidR="00295532" w:rsidRDefault="0068313B">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295532">
        <w:tc>
          <w:tcPr>
            <w:tcW w:w="1559" w:type="dxa"/>
            <w:vAlign w:val="center"/>
          </w:tcPr>
          <w:p w:rsidR="00295532" w:rsidRDefault="0068313B">
            <w:pPr>
              <w:jc w:val="left"/>
            </w:pPr>
            <w:r>
              <w:rPr>
                <w:color w:val="000000"/>
                <w:szCs w:val="21"/>
              </w:rPr>
              <w:t>长江证券股份有限公司</w:t>
            </w:r>
          </w:p>
        </w:tc>
        <w:tc>
          <w:tcPr>
            <w:tcW w:w="1319" w:type="dxa"/>
            <w:vAlign w:val="center"/>
          </w:tcPr>
          <w:p w:rsidR="00295532" w:rsidRDefault="0068313B">
            <w:pPr>
              <w:jc w:val="right"/>
            </w:pPr>
            <w:r>
              <w:rPr>
                <w:color w:val="000000"/>
                <w:szCs w:val="21"/>
              </w:rPr>
              <w:t>114,064,414.57</w:t>
            </w:r>
          </w:p>
        </w:tc>
        <w:tc>
          <w:tcPr>
            <w:tcW w:w="1080" w:type="dxa"/>
            <w:vAlign w:val="center"/>
          </w:tcPr>
          <w:p w:rsidR="00295532" w:rsidRDefault="0068313B">
            <w:pPr>
              <w:jc w:val="right"/>
            </w:pPr>
            <w:r>
              <w:rPr>
                <w:color w:val="000000"/>
                <w:szCs w:val="21"/>
              </w:rPr>
              <w:t>100.00%</w:t>
            </w:r>
          </w:p>
        </w:tc>
        <w:tc>
          <w:tcPr>
            <w:tcW w:w="1143" w:type="dxa"/>
            <w:vAlign w:val="center"/>
          </w:tcPr>
          <w:p w:rsidR="00295532" w:rsidRDefault="0068313B">
            <w:pPr>
              <w:jc w:val="right"/>
            </w:pPr>
            <w:r>
              <w:rPr>
                <w:color w:val="000000"/>
                <w:szCs w:val="21"/>
              </w:rPr>
              <w:t>26,934,900,000.00</w:t>
            </w:r>
          </w:p>
        </w:tc>
        <w:tc>
          <w:tcPr>
            <w:tcW w:w="1197" w:type="dxa"/>
            <w:vAlign w:val="center"/>
          </w:tcPr>
          <w:p w:rsidR="00295532" w:rsidRDefault="0068313B">
            <w:pPr>
              <w:jc w:val="right"/>
            </w:pPr>
            <w:r>
              <w:rPr>
                <w:color w:val="000000"/>
                <w:szCs w:val="21"/>
              </w:rPr>
              <w:t>100.00%</w:t>
            </w:r>
          </w:p>
        </w:tc>
        <w:tc>
          <w:tcPr>
            <w:tcW w:w="1497" w:type="dxa"/>
            <w:vAlign w:val="center"/>
          </w:tcPr>
          <w:p w:rsidR="00295532" w:rsidRDefault="0068313B">
            <w:pPr>
              <w:jc w:val="right"/>
            </w:pPr>
            <w:r>
              <w:rPr>
                <w:color w:val="000000"/>
                <w:szCs w:val="21"/>
              </w:rPr>
              <w:t>-</w:t>
            </w:r>
          </w:p>
        </w:tc>
        <w:tc>
          <w:tcPr>
            <w:tcW w:w="1203" w:type="dxa"/>
            <w:vAlign w:val="center"/>
          </w:tcPr>
          <w:p w:rsidR="00295532" w:rsidRDefault="0068313B">
            <w:pPr>
              <w:jc w:val="right"/>
            </w:pPr>
            <w:r>
              <w:rPr>
                <w:color w:val="000000"/>
                <w:szCs w:val="21"/>
              </w:rPr>
              <w:t>-</w:t>
            </w:r>
          </w:p>
        </w:tc>
      </w:tr>
    </w:tbl>
    <w:p w:rsidR="00295532" w:rsidRDefault="0068313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95532" w:rsidRDefault="0068313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95532">
        <w:tc>
          <w:tcPr>
            <w:tcW w:w="993" w:type="dxa"/>
            <w:vMerge w:val="restart"/>
          </w:tcPr>
          <w:p w:rsidR="00295532" w:rsidRDefault="00295532"/>
          <w:p w:rsidR="00295532" w:rsidRDefault="0068313B">
            <w:r>
              <w:rPr>
                <w:rFonts w:ascii="宋体" w:hAnsi="宋体" w:hint="eastAsia"/>
                <w:bCs/>
                <w:color w:val="000000"/>
                <w:kern w:val="0"/>
                <w:szCs w:val="21"/>
              </w:rPr>
              <w:t>机构</w:t>
            </w:r>
          </w:p>
        </w:tc>
        <w:tc>
          <w:tcPr>
            <w:tcW w:w="992" w:type="dxa"/>
            <w:vAlign w:val="center"/>
          </w:tcPr>
          <w:p w:rsidR="00295532" w:rsidRDefault="0068313B">
            <w:pPr>
              <w:jc w:val="center"/>
            </w:pPr>
            <w:r>
              <w:rPr>
                <w:rFonts w:ascii="宋体" w:hAnsi="宋体"/>
                <w:color w:val="000000"/>
                <w:kern w:val="0"/>
                <w:szCs w:val="21"/>
              </w:rPr>
              <w:t>1</w:t>
            </w:r>
          </w:p>
        </w:tc>
        <w:tc>
          <w:tcPr>
            <w:tcW w:w="1843" w:type="dxa"/>
            <w:vAlign w:val="center"/>
          </w:tcPr>
          <w:p w:rsidR="00295532" w:rsidRDefault="0068313B">
            <w:pPr>
              <w:jc w:val="center"/>
            </w:pPr>
            <w:r>
              <w:rPr>
                <w:rFonts w:ascii="宋体" w:hAnsi="宋体"/>
                <w:color w:val="000000"/>
                <w:kern w:val="0"/>
                <w:szCs w:val="21"/>
              </w:rPr>
              <w:t>2018/1/1-2018/12/31</w:t>
            </w:r>
          </w:p>
        </w:tc>
        <w:tc>
          <w:tcPr>
            <w:tcW w:w="851" w:type="dxa"/>
            <w:vAlign w:val="center"/>
          </w:tcPr>
          <w:p w:rsidR="00295532" w:rsidRDefault="0068313B">
            <w:pPr>
              <w:jc w:val="center"/>
            </w:pPr>
            <w:r>
              <w:rPr>
                <w:rFonts w:ascii="宋体" w:hAnsi="宋体"/>
                <w:color w:val="000000"/>
                <w:kern w:val="0"/>
                <w:szCs w:val="21"/>
              </w:rPr>
              <w:t>200,017,000.00</w:t>
            </w:r>
          </w:p>
        </w:tc>
        <w:tc>
          <w:tcPr>
            <w:tcW w:w="850" w:type="dxa"/>
            <w:vAlign w:val="center"/>
          </w:tcPr>
          <w:p w:rsidR="00295532" w:rsidRDefault="0068313B">
            <w:pPr>
              <w:jc w:val="center"/>
            </w:pPr>
            <w:r>
              <w:rPr>
                <w:rFonts w:ascii="宋体" w:hAnsi="宋体"/>
                <w:color w:val="000000"/>
                <w:kern w:val="0"/>
                <w:szCs w:val="21"/>
              </w:rPr>
              <w:t>-</w:t>
            </w:r>
          </w:p>
        </w:tc>
        <w:tc>
          <w:tcPr>
            <w:tcW w:w="1134" w:type="dxa"/>
            <w:vAlign w:val="center"/>
          </w:tcPr>
          <w:p w:rsidR="00295532" w:rsidRDefault="0068313B">
            <w:pPr>
              <w:jc w:val="center"/>
            </w:pPr>
            <w:r>
              <w:rPr>
                <w:rFonts w:ascii="宋体" w:hAnsi="宋体"/>
                <w:color w:val="000000"/>
                <w:kern w:val="0"/>
                <w:szCs w:val="21"/>
              </w:rPr>
              <w:t>-</w:t>
            </w:r>
          </w:p>
        </w:tc>
        <w:tc>
          <w:tcPr>
            <w:tcW w:w="1419" w:type="dxa"/>
            <w:vAlign w:val="center"/>
          </w:tcPr>
          <w:p w:rsidR="00295532" w:rsidRDefault="0068313B">
            <w:pPr>
              <w:jc w:val="center"/>
            </w:pPr>
            <w:r>
              <w:rPr>
                <w:rFonts w:ascii="宋体" w:hAnsi="宋体"/>
                <w:color w:val="000000"/>
                <w:kern w:val="0"/>
                <w:szCs w:val="21"/>
              </w:rPr>
              <w:t>200,017,000.00</w:t>
            </w:r>
          </w:p>
        </w:tc>
        <w:tc>
          <w:tcPr>
            <w:tcW w:w="1130" w:type="dxa"/>
            <w:vAlign w:val="center"/>
          </w:tcPr>
          <w:p w:rsidR="00295532" w:rsidRDefault="0068313B">
            <w:pPr>
              <w:jc w:val="center"/>
            </w:pPr>
            <w:r>
              <w:rPr>
                <w:rFonts w:ascii="宋体" w:hAnsi="宋体"/>
                <w:color w:val="000000"/>
                <w:kern w:val="0"/>
                <w:szCs w:val="21"/>
              </w:rPr>
              <w:t>35.52%</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295532" w:rsidRDefault="0068313B">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68313B">
      <w:rPr>
        <w:noProof/>
        <w:kern w:val="0"/>
        <w:szCs w:val="21"/>
      </w:rPr>
      <w:t>30</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68313B">
      <w:rPr>
        <w:noProof/>
        <w:kern w:val="0"/>
        <w:szCs w:val="21"/>
      </w:rPr>
      <w:t>32</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交银施罗德荣鑫保本混合型证券投资基金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532"/>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13B"/>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43562FA-3FE0-4F84-B30A-74579EB4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32</Pages>
  <Words>3531</Words>
  <Characters>20127</Characters>
  <Application>Microsoft Office Word</Application>
  <DocSecurity>0</DocSecurity>
  <Lines>167</Lines>
  <Paragraphs>47</Paragraphs>
  <ScaleCrop>false</ScaleCrop>
  <Company/>
  <LinksUpToDate>false</LinksUpToDate>
  <CharactersWithSpaces>23611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554</cp:revision>
  <cp:lastPrinted>2007-07-19T00:46:00Z</cp:lastPrinted>
  <dcterms:created xsi:type="dcterms:W3CDTF">2013-10-15T01:57:00Z</dcterms:created>
  <dcterms:modified xsi:type="dcterms:W3CDTF">2019-03-26T01:48:00Z</dcterms:modified>
</cp:coreProperties>
</file>